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drawings/drawing3.xml" ContentType="application/vnd.openxmlformats-officedocument.drawingml.chartshapes+xml"/>
  <Override PartName="/word/drawings/drawing4.xml" ContentType="application/vnd.openxmlformats-officedocument.drawingml.chartshapes+xml"/>
  <Override PartName="/word/drawings/drawing5.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F776A" w:rsidRPr="00CF776A" w:rsidP="00CF776A">
      <w:pPr>
        <w:spacing w:after="0"/>
        <w:jc w:val="center"/>
        <w:rPr>
          <w:rFonts w:ascii="Calibri" w:hAnsi="Calibri" w:cs="Calibri"/>
          <w:b/>
          <w:bCs/>
          <w:color w:val="000000" w:themeColor="text1"/>
          <w:sz w:val="22"/>
          <w:szCs w:val="22"/>
        </w:rPr>
      </w:pPr>
      <w:r w:rsidRPr="00CF776A">
        <w:rPr>
          <w:rFonts w:ascii="Calibri" w:hAnsi="Calibri" w:cs="Calibri"/>
          <w:b/>
          <w:bCs/>
          <w:color w:val="000000" w:themeColor="text1"/>
          <w:sz w:val="22"/>
          <w:szCs w:val="22"/>
        </w:rPr>
        <w:t xml:space="preserve">Written evidence by </w:t>
      </w:r>
      <w:r w:rsidRPr="00CF776A">
        <w:rPr>
          <w:rFonts w:ascii="Calibri" w:hAnsi="Calibri" w:cs="Calibri"/>
          <w:b/>
          <w:bCs/>
          <w:color w:val="000000" w:themeColor="text1"/>
          <w:sz w:val="22"/>
          <w:szCs w:val="22"/>
        </w:rPr>
        <w:t>Professor Nadia Siddiqui and Dr Elle Young</w:t>
      </w:r>
      <w:r w:rsidRPr="00CF776A">
        <w:rPr>
          <w:rFonts w:ascii="Calibri" w:hAnsi="Calibri" w:cs="Calibri"/>
          <w:b/>
          <w:bCs/>
          <w:color w:val="000000" w:themeColor="text1"/>
          <w:sz w:val="22"/>
          <w:szCs w:val="22"/>
        </w:rPr>
        <w:t xml:space="preserve"> (</w:t>
      </w:r>
      <w:r w:rsidRPr="00CF776A">
        <w:rPr>
          <w:rFonts w:ascii="Calibri" w:hAnsi="Calibri" w:cs="Calibri"/>
          <w:b/>
          <w:bCs/>
          <w:color w:val="000000" w:themeColor="text1"/>
          <w:sz w:val="22"/>
          <w:szCs w:val="22"/>
        </w:rPr>
        <w:t>ECA0110</w:t>
      </w:r>
      <w:r w:rsidRPr="00CF776A">
        <w:rPr>
          <w:rFonts w:ascii="Calibri" w:hAnsi="Calibri" w:cs="Calibri"/>
          <w:b/>
          <w:bCs/>
          <w:color w:val="000000" w:themeColor="text1"/>
          <w:sz w:val="22"/>
          <w:szCs w:val="22"/>
        </w:rPr>
        <w:t>)</w:t>
      </w:r>
    </w:p>
    <w:p w:rsidR="00CF776A" w:rsidRPr="00CF776A" w:rsidP="00CF776A">
      <w:pPr>
        <w:spacing w:after="0"/>
        <w:rPr>
          <w:rFonts w:ascii="Calibri" w:hAnsi="Calibri" w:cs="Calibri"/>
          <w:b/>
          <w:bCs/>
          <w:color w:val="000000" w:themeColor="text1"/>
          <w:sz w:val="22"/>
          <w:szCs w:val="22"/>
        </w:rPr>
      </w:pPr>
    </w:p>
    <w:p w:rsidR="00CF776A" w:rsidRPr="00CF776A" w:rsidP="00CF776A">
      <w:pPr>
        <w:spacing w:after="0"/>
        <w:rPr>
          <w:rFonts w:ascii="Calibri" w:hAnsi="Calibri" w:cs="Calibri"/>
          <w:b/>
          <w:bCs/>
          <w:color w:val="000000" w:themeColor="text1"/>
          <w:sz w:val="22"/>
          <w:szCs w:val="22"/>
        </w:rPr>
      </w:pPr>
      <w:r w:rsidRPr="00CF776A">
        <w:rPr>
          <w:rFonts w:ascii="Calibri" w:hAnsi="Calibri" w:cs="Calibri"/>
          <w:b/>
          <w:bCs/>
          <w:color w:val="000000" w:themeColor="text1"/>
          <w:sz w:val="22"/>
          <w:szCs w:val="22"/>
        </w:rPr>
        <w:t>Education Committee</w:t>
      </w:r>
    </w:p>
    <w:p w:rsidR="00CF776A" w:rsidRPr="00CF776A" w:rsidP="00CF776A">
      <w:pPr>
        <w:spacing w:after="0"/>
        <w:rPr>
          <w:rFonts w:ascii="Calibri" w:hAnsi="Calibri" w:cs="Calibri"/>
          <w:b/>
          <w:bCs/>
          <w:color w:val="000000" w:themeColor="text1"/>
          <w:sz w:val="22"/>
          <w:szCs w:val="22"/>
        </w:rPr>
      </w:pPr>
      <w:r w:rsidRPr="00CF776A">
        <w:rPr>
          <w:rFonts w:ascii="Calibri" w:eastAsia="Aptos" w:hAnsi="Calibri" w:cs="Calibri"/>
          <w:b/>
          <w:bCs/>
          <w:sz w:val="22"/>
          <w:szCs w:val="22"/>
        </w:rPr>
        <w:t>Every Child Achieving and Thriving’ White Paper</w:t>
      </w:r>
    </w:p>
    <w:p w:rsidR="00CF776A" w:rsidRPr="00CF776A" w:rsidP="00CF776A">
      <w:pPr>
        <w:spacing w:after="0"/>
        <w:jc w:val="center"/>
        <w:rPr>
          <w:rFonts w:ascii="Calibri" w:hAnsi="Calibri" w:cs="Calibri"/>
          <w:b/>
          <w:bCs/>
          <w:color w:val="000000" w:themeColor="text1"/>
          <w:sz w:val="22"/>
          <w:szCs w:val="22"/>
        </w:rPr>
      </w:pPr>
    </w:p>
    <w:p w:rsidR="00CF776A" w:rsidRPr="00CF776A" w:rsidP="00DC175E">
      <w:pPr>
        <w:spacing w:after="0"/>
        <w:jc w:val="both"/>
        <w:rPr>
          <w:rFonts w:ascii="Calibri" w:hAnsi="Calibri" w:cs="Calibri"/>
          <w:b/>
          <w:bCs/>
          <w:color w:val="000000" w:themeColor="text1"/>
          <w:sz w:val="22"/>
          <w:szCs w:val="22"/>
        </w:rPr>
      </w:pPr>
    </w:p>
    <w:p w:rsidR="008D76F8" w:rsidRPr="00CF776A" w:rsidP="00DC175E">
      <w:pPr>
        <w:spacing w:after="0"/>
        <w:jc w:val="both"/>
        <w:rPr>
          <w:rFonts w:ascii="Calibri" w:hAnsi="Calibri" w:cs="Calibri"/>
          <w:b/>
          <w:bCs/>
          <w:color w:val="000000" w:themeColor="text1"/>
          <w:sz w:val="22"/>
          <w:szCs w:val="22"/>
        </w:rPr>
      </w:pPr>
      <w:r w:rsidRPr="00CF776A">
        <w:rPr>
          <w:rFonts w:ascii="Calibri" w:hAnsi="Calibri" w:cs="Calibri"/>
          <w:b/>
          <w:bCs/>
          <w:color w:val="000000" w:themeColor="text1"/>
          <w:sz w:val="22"/>
          <w:szCs w:val="22"/>
        </w:rPr>
        <w:t xml:space="preserve">Disadvantaged Pupils in Place-Based Education Policy: Lessons for Mission Coastal and Mission </w:t>
      </w:r>
      <w:r w:rsidRPr="00CF776A">
        <w:rPr>
          <w:rFonts w:ascii="Calibri" w:hAnsi="Calibri" w:cs="Calibri"/>
          <w:b/>
          <w:bCs/>
          <w:color w:val="000000" w:themeColor="text1"/>
          <w:sz w:val="22"/>
          <w:szCs w:val="22"/>
        </w:rPr>
        <w:t>North</w:t>
      </w:r>
      <w:r w:rsidRPr="00CF776A">
        <w:rPr>
          <w:rFonts w:ascii="Calibri" w:hAnsi="Calibri" w:cs="Calibri"/>
          <w:b/>
          <w:bCs/>
          <w:color w:val="000000" w:themeColor="text1"/>
          <w:sz w:val="22"/>
          <w:szCs w:val="22"/>
        </w:rPr>
        <w:t xml:space="preserve"> E</w:t>
      </w:r>
      <w:r w:rsidRPr="00CF776A">
        <w:rPr>
          <w:rFonts w:ascii="Calibri" w:hAnsi="Calibri" w:cs="Calibri"/>
          <w:b/>
          <w:bCs/>
          <w:color w:val="000000" w:themeColor="text1"/>
          <w:sz w:val="22"/>
          <w:szCs w:val="22"/>
        </w:rPr>
        <w:t>ast</w:t>
      </w:r>
      <w:r w:rsidRPr="00CF776A">
        <w:rPr>
          <w:rFonts w:ascii="Calibri" w:hAnsi="Calibri" w:cs="Calibri"/>
          <w:b/>
          <w:bCs/>
          <w:color w:val="000000" w:themeColor="text1"/>
          <w:sz w:val="22"/>
          <w:szCs w:val="22"/>
        </w:rPr>
        <w:t xml:space="preserve"> from Previous Area-Based Initiatives</w:t>
      </w:r>
    </w:p>
    <w:p w:rsidR="008D76F8" w:rsidRPr="00CF776A" w:rsidP="00393058">
      <w:pPr>
        <w:spacing w:after="0"/>
        <w:rPr>
          <w:rFonts w:ascii="Calibri" w:hAnsi="Calibri" w:cs="Calibri"/>
          <w:b/>
          <w:bCs/>
          <w:color w:val="000000" w:themeColor="text1"/>
          <w:sz w:val="22"/>
          <w:szCs w:val="22"/>
        </w:rPr>
      </w:pPr>
    </w:p>
    <w:p w:rsidR="008D76F8" w:rsidRPr="00CF776A" w:rsidP="00393058">
      <w:pPr>
        <w:spacing w:after="0"/>
        <w:rPr>
          <w:rFonts w:ascii="Calibri" w:hAnsi="Calibri" w:cs="Calibri"/>
          <w:color w:val="000000" w:themeColor="text1"/>
          <w:sz w:val="22"/>
          <w:szCs w:val="22"/>
        </w:rPr>
      </w:pPr>
      <w:r w:rsidRPr="00CF776A">
        <w:rPr>
          <w:rFonts w:ascii="Calibri" w:hAnsi="Calibri" w:cs="Calibri"/>
          <w:color w:val="000000" w:themeColor="text1"/>
          <w:sz w:val="22"/>
          <w:szCs w:val="22"/>
        </w:rPr>
        <w:br/>
      </w:r>
      <w:r w:rsidRPr="00CF776A">
        <w:rPr>
          <w:rFonts w:ascii="Calibri" w:hAnsi="Calibri" w:cs="Calibri"/>
          <w:b/>
          <w:bCs/>
          <w:color w:val="000000" w:themeColor="text1"/>
          <w:sz w:val="22"/>
          <w:szCs w:val="22"/>
        </w:rPr>
        <w:t>Contributing authors:</w:t>
      </w:r>
      <w:r w:rsidRPr="00CF776A">
        <w:rPr>
          <w:rFonts w:ascii="Calibri" w:hAnsi="Calibri" w:cs="Calibri"/>
          <w:color w:val="000000" w:themeColor="text1"/>
          <w:sz w:val="22"/>
          <w:szCs w:val="22"/>
        </w:rPr>
        <w:t xml:space="preserve"> </w:t>
      </w:r>
      <w:r w:rsidRPr="00CF776A">
        <w:rPr>
          <w:rFonts w:ascii="Calibri" w:hAnsi="Calibri" w:cs="Calibri"/>
          <w:color w:val="000000" w:themeColor="text1"/>
          <w:sz w:val="22"/>
          <w:szCs w:val="22"/>
        </w:rPr>
        <w:t xml:space="preserve">Professor </w:t>
      </w:r>
      <w:r w:rsidRPr="00CF776A">
        <w:rPr>
          <w:rFonts w:ascii="Calibri" w:hAnsi="Calibri" w:cs="Calibri"/>
          <w:color w:val="000000" w:themeColor="text1"/>
          <w:sz w:val="22"/>
          <w:szCs w:val="22"/>
        </w:rPr>
        <w:t xml:space="preserve">Mike Donnelly, </w:t>
      </w:r>
      <w:r w:rsidRPr="00CF776A">
        <w:rPr>
          <w:rFonts w:ascii="Calibri" w:hAnsi="Calibri" w:cs="Calibri"/>
          <w:color w:val="000000" w:themeColor="text1"/>
          <w:sz w:val="22"/>
          <w:szCs w:val="22"/>
        </w:rPr>
        <w:t xml:space="preserve">Professor </w:t>
      </w:r>
      <w:r w:rsidRPr="00CF776A">
        <w:rPr>
          <w:rFonts w:ascii="Calibri" w:hAnsi="Calibri" w:cs="Calibri"/>
          <w:color w:val="000000" w:themeColor="text1"/>
          <w:sz w:val="22"/>
          <w:szCs w:val="22"/>
        </w:rPr>
        <w:t xml:space="preserve">Ceri Brown, </w:t>
      </w:r>
      <w:r w:rsidRPr="00CF776A">
        <w:rPr>
          <w:rFonts w:ascii="Calibri" w:hAnsi="Calibri" w:cs="Calibri"/>
          <w:color w:val="000000" w:themeColor="text1"/>
          <w:sz w:val="22"/>
          <w:szCs w:val="22"/>
        </w:rPr>
        <w:t xml:space="preserve">Dr </w:t>
      </w:r>
      <w:r w:rsidRPr="00CF776A">
        <w:rPr>
          <w:rFonts w:ascii="Calibri" w:hAnsi="Calibri" w:cs="Calibri"/>
          <w:color w:val="000000" w:themeColor="text1"/>
          <w:sz w:val="22"/>
          <w:szCs w:val="22"/>
        </w:rPr>
        <w:t xml:space="preserve">Jo Davies, </w:t>
      </w:r>
      <w:r w:rsidRPr="00CF776A">
        <w:rPr>
          <w:rFonts w:ascii="Calibri" w:hAnsi="Calibri" w:cs="Calibri"/>
          <w:color w:val="000000" w:themeColor="text1"/>
          <w:sz w:val="22"/>
          <w:szCs w:val="22"/>
        </w:rPr>
        <w:t xml:space="preserve">Dr </w:t>
      </w:r>
      <w:r w:rsidRPr="00CF776A">
        <w:rPr>
          <w:rFonts w:ascii="Calibri" w:hAnsi="Calibri" w:cs="Calibri"/>
          <w:color w:val="000000" w:themeColor="text1"/>
          <w:sz w:val="22"/>
          <w:szCs w:val="22"/>
        </w:rPr>
        <w:t xml:space="preserve">Chris Cunningham, </w:t>
      </w:r>
      <w:r w:rsidRPr="00CF776A">
        <w:rPr>
          <w:rFonts w:ascii="Calibri" w:hAnsi="Calibri" w:cs="Calibri"/>
          <w:color w:val="000000" w:themeColor="text1"/>
          <w:sz w:val="22"/>
          <w:szCs w:val="22"/>
        </w:rPr>
        <w:t xml:space="preserve">Professor </w:t>
      </w:r>
      <w:r w:rsidRPr="00CF776A">
        <w:rPr>
          <w:rFonts w:ascii="Calibri" w:hAnsi="Calibri" w:cs="Calibri"/>
          <w:color w:val="000000" w:themeColor="text1"/>
          <w:sz w:val="22"/>
          <w:szCs w:val="22"/>
        </w:rPr>
        <w:t xml:space="preserve">Matt Dickson, </w:t>
      </w:r>
      <w:r w:rsidRPr="00CF776A">
        <w:rPr>
          <w:rFonts w:ascii="Calibri" w:hAnsi="Calibri" w:cs="Calibri"/>
          <w:color w:val="000000" w:themeColor="text1"/>
          <w:sz w:val="22"/>
          <w:szCs w:val="22"/>
        </w:rPr>
        <w:t xml:space="preserve">Professor </w:t>
      </w:r>
      <w:r w:rsidRPr="00CF776A">
        <w:rPr>
          <w:rFonts w:ascii="Calibri" w:hAnsi="Calibri" w:cs="Calibri"/>
          <w:color w:val="000000" w:themeColor="text1"/>
          <w:sz w:val="22"/>
          <w:szCs w:val="22"/>
        </w:rPr>
        <w:t>Richard Harris</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We are submitting this evidence to inform the Committee's consideration of the Government's Mission Coastal and Mission </w:t>
      </w:r>
      <w:r w:rsidRPr="00CF776A">
        <w:rPr>
          <w:rFonts w:ascii="Calibri" w:hAnsi="Calibri" w:cs="Calibri"/>
          <w:color w:val="000000" w:themeColor="text1"/>
          <w:sz w:val="22"/>
          <w:szCs w:val="22"/>
        </w:rPr>
        <w:t>North East</w:t>
      </w:r>
      <w:r w:rsidRPr="00CF776A">
        <w:rPr>
          <w:rFonts w:ascii="Calibri" w:hAnsi="Calibri" w:cs="Calibri"/>
          <w:color w:val="000000" w:themeColor="text1"/>
          <w:sz w:val="22"/>
          <w:szCs w:val="22"/>
        </w:rPr>
        <w:t xml:space="preserve"> initiatives, both of which seek to improve outcomes for children and young people in geographically disadvantaged communities.</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This submission draws on our analysis of school census data and stakeholder interviews conducted as part of a wider evaluation of the Opportunity Areas (OA) programme, a major place-based education initiative introduced by the Department for Education in 2016. The programme targeted twelve areas across England that were characterised by relatively poor educational outcomes and weak indicators of social mobility</w:t>
      </w:r>
      <w:r w:rsidRPr="00CF776A">
        <w:rPr>
          <w:rFonts w:ascii="Calibri" w:hAnsi="Calibri" w:cs="Calibri"/>
          <w:color w:val="000000" w:themeColor="text1"/>
          <w:sz w:val="22"/>
          <w:szCs w:val="22"/>
        </w:rPr>
        <w:t xml:space="preserve"> (Siddiqui et al., 2025)</w:t>
      </w:r>
      <w:r w:rsidRPr="00CF776A">
        <w:rPr>
          <w:rFonts w:ascii="Calibri" w:hAnsi="Calibri" w:cs="Calibri"/>
          <w:color w:val="000000" w:themeColor="text1"/>
          <w:sz w:val="22"/>
          <w:szCs w:val="22"/>
        </w:rPr>
        <w:t xml:space="preserve">. </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Our evidence focuses particularly on school attendance, exclusions, and attainment among disadvantaged pupils. It examines whether targeted place-based interventions improved educational outcomes and identifies lessons that may help shape the design and implementation of future regional initiatives in coastal communities and the </w:t>
      </w:r>
      <w:r w:rsidRPr="00CF776A">
        <w:rPr>
          <w:rFonts w:ascii="Calibri" w:hAnsi="Calibri" w:cs="Calibri"/>
          <w:color w:val="000000" w:themeColor="text1"/>
          <w:sz w:val="22"/>
          <w:szCs w:val="22"/>
        </w:rPr>
        <w:t>North East</w:t>
      </w:r>
      <w:r w:rsidRPr="00CF776A">
        <w:rPr>
          <w:rFonts w:ascii="Calibri" w:hAnsi="Calibri" w:cs="Calibri"/>
          <w:color w:val="000000" w:themeColor="text1"/>
          <w:sz w:val="22"/>
          <w:szCs w:val="22"/>
        </w:rPr>
        <w:t xml:space="preserve">. </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The evidence from previous place-based educational initiatives suggests that additional funding alone is unlikely to generate sustained improvements in educational outcomes. Programmes such as Opportunity Areas largely channelled resources through existing educational infrastructures without fundamentally changing the structural conditions associated with educational disadvantage</w:t>
      </w:r>
      <w:r w:rsidRPr="00CF776A">
        <w:rPr>
          <w:rFonts w:ascii="Calibri" w:hAnsi="Calibri" w:cs="Calibri"/>
          <w:color w:val="000000" w:themeColor="text1"/>
          <w:sz w:val="22"/>
          <w:szCs w:val="22"/>
        </w:rPr>
        <w:t xml:space="preserve"> (Scandone et al., 2022)</w:t>
      </w:r>
      <w:r w:rsidRPr="00CF776A">
        <w:rPr>
          <w:rFonts w:ascii="Calibri" w:hAnsi="Calibri" w:cs="Calibri"/>
          <w:color w:val="000000" w:themeColor="text1"/>
          <w:sz w:val="22"/>
          <w:szCs w:val="22"/>
        </w:rPr>
        <w:t xml:space="preserve">. While some short-term improvements were observed in attendance, exclusions and attainment, there is little evidence that these gains were sustained beyond the funding period. </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Many interventions increased the capacity of schools temporarily by funding additional staff, specialist programmes, external partners and targeted support services</w:t>
      </w:r>
      <w:r w:rsidRPr="00CF776A">
        <w:rPr>
          <w:rFonts w:ascii="Calibri" w:hAnsi="Calibri" w:cs="Calibri"/>
          <w:color w:val="000000" w:themeColor="text1"/>
          <w:sz w:val="22"/>
          <w:szCs w:val="22"/>
        </w:rPr>
        <w:t xml:space="preserve"> (Young et al. 2025)</w:t>
      </w:r>
      <w:r w:rsidRPr="00CF776A">
        <w:rPr>
          <w:rFonts w:ascii="Calibri" w:hAnsi="Calibri" w:cs="Calibri"/>
          <w:color w:val="000000" w:themeColor="text1"/>
          <w:sz w:val="22"/>
          <w:szCs w:val="22"/>
        </w:rPr>
        <w:t xml:space="preserve">. However, these initiatives often operated alongside existing systems rather than transforming them. As a result, they frequently addressed the immediate symptoms of disadvantage without tackling the deeper and longer-term causes. </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ind w:left="72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“No matter how anybody wants to spin that around, if you systematically don't fund and support public services… if you take away funding for youth offending teams, or for the social care system, or for school, or for any education system, or for community support groups… </w:t>
      </w:r>
      <w:r w:rsidRPr="00CF776A">
        <w:rPr>
          <w:rFonts w:ascii="Calibri" w:hAnsi="Calibri" w:cs="Calibri"/>
          <w:color w:val="000000" w:themeColor="text1"/>
          <w:sz w:val="22"/>
          <w:szCs w:val="22"/>
        </w:rPr>
        <w:t>then they're going to fold or not work, and then suddenly there isn't that community help, so communities fold in on themselves.” (</w:t>
      </w:r>
      <w:r w:rsidRPr="00CF776A">
        <w:rPr>
          <w:rFonts w:ascii="Calibri" w:hAnsi="Calibri" w:cs="Calibri"/>
          <w:i/>
          <w:iCs/>
          <w:color w:val="000000" w:themeColor="text1"/>
          <w:sz w:val="22"/>
          <w:szCs w:val="22"/>
        </w:rPr>
        <w:t>Primary Headteacher A, Bradford</w:t>
      </w:r>
      <w:r w:rsidRPr="00CF776A">
        <w:rPr>
          <w:rFonts w:ascii="Calibri" w:hAnsi="Calibri" w:cs="Calibri"/>
          <w:color w:val="000000" w:themeColor="text1"/>
          <w:sz w:val="22"/>
          <w:szCs w:val="22"/>
        </w:rPr>
        <w:t>)</w:t>
      </w:r>
    </w:p>
    <w:p w:rsidR="008D76F8" w:rsidRPr="00CF776A" w:rsidP="00197CCD">
      <w:pPr>
        <w:spacing w:after="0"/>
        <w:ind w:left="72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The central lesson for Mission Coastal and Mission </w:t>
      </w:r>
      <w:r w:rsidRPr="00CF776A">
        <w:rPr>
          <w:rFonts w:ascii="Calibri" w:hAnsi="Calibri" w:cs="Calibri"/>
          <w:color w:val="000000" w:themeColor="text1"/>
          <w:sz w:val="22"/>
          <w:szCs w:val="22"/>
        </w:rPr>
        <w:t>North East</w:t>
      </w:r>
      <w:r w:rsidRPr="00CF776A">
        <w:rPr>
          <w:rFonts w:ascii="Calibri" w:hAnsi="Calibri" w:cs="Calibri"/>
          <w:color w:val="000000" w:themeColor="text1"/>
          <w:sz w:val="22"/>
          <w:szCs w:val="22"/>
        </w:rPr>
        <w:t xml:space="preserve"> is that place-based policy should not be viewed simply as a mechanism for distributing additional funding. Sustainable improvement requires long-term investment in workforce capacity, local services, family support, community infrastructure and economic development, alongside realistic timescales for implementation and evaluation.</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Our findings suggest five key lessons for Mission Coastal and Mission </w:t>
      </w:r>
      <w:r w:rsidRPr="00CF776A">
        <w:rPr>
          <w:rFonts w:ascii="Calibri" w:hAnsi="Calibri" w:cs="Calibri"/>
          <w:color w:val="000000" w:themeColor="text1"/>
          <w:sz w:val="22"/>
          <w:szCs w:val="22"/>
        </w:rPr>
        <w:t>North East</w:t>
      </w:r>
      <w:r w:rsidRPr="00CF776A">
        <w:rPr>
          <w:rFonts w:ascii="Calibri" w:hAnsi="Calibri" w:cs="Calibri"/>
          <w:color w:val="000000" w:themeColor="text1"/>
          <w:sz w:val="22"/>
          <w:szCs w:val="22"/>
        </w:rPr>
        <w:t>:</w:t>
      </w:r>
    </w:p>
    <w:p w:rsidR="008D76F8" w:rsidRPr="00CF776A" w:rsidP="00197CCD">
      <w:pPr>
        <w:pStyle w:val="ListParagraph"/>
        <w:numPr>
          <w:ilvl w:val="0"/>
          <w:numId w:val="8"/>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Educational disadvantage is geographically concentrated and closely linked to local economic and social conditions. Coastal and post-industrial areas continue to experience particularly high levels of disadvantage. </w:t>
      </w:r>
    </w:p>
    <w:p w:rsidR="008D76F8" w:rsidRPr="00CF776A" w:rsidP="00197CCD">
      <w:pPr>
        <w:pStyle w:val="ListParagraph"/>
        <w:numPr>
          <w:ilvl w:val="0"/>
          <w:numId w:val="8"/>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Short-term funding can generate short-term improvements. Several Opportunity Areas showed reductions in exclusions and improvements in attendance and attainment during the funded period. </w:t>
      </w:r>
    </w:p>
    <w:p w:rsidR="008D76F8" w:rsidRPr="00CF776A" w:rsidP="00197CCD">
      <w:pPr>
        <w:pStyle w:val="ListParagraph"/>
        <w:numPr>
          <w:ilvl w:val="0"/>
          <w:numId w:val="8"/>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Sustainability is the central challenge. Most successful interventions depended on additional specialist staff, multi-agency support, and external expertise that largely disappeared when funding ended. </w:t>
      </w:r>
    </w:p>
    <w:p w:rsidR="008D76F8" w:rsidRPr="00CF776A" w:rsidP="00197CCD">
      <w:pPr>
        <w:pStyle w:val="ListParagraph"/>
        <w:numPr>
          <w:ilvl w:val="0"/>
          <w:numId w:val="8"/>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Many educational problems are symptoms of wider social disadvantage. Attendance, exclusions, behaviour, mental health difficulties, and attainment cannot be addressed through schools alone. </w:t>
      </w:r>
    </w:p>
    <w:p w:rsidR="008D76F8" w:rsidRPr="00CF776A" w:rsidP="00197CCD">
      <w:pPr>
        <w:pStyle w:val="ListParagraph"/>
        <w:numPr>
          <w:ilvl w:val="0"/>
          <w:numId w:val="8"/>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Future place-based initiatives require longer-term commitments. Lasting improvements are unlikely to be achieved through relatively short funding cycles. Interventions need sufficient time to be embedded and needs pre-specified outcomes for impact evaluation.</w:t>
      </w:r>
    </w:p>
    <w:p w:rsidR="008D76F8" w:rsidRPr="00CF776A" w:rsidP="00197CCD">
      <w:pPr>
        <w:spacing w:after="0"/>
        <w:jc w:val="both"/>
        <w:rPr>
          <w:rFonts w:ascii="Calibri" w:hAnsi="Calibri" w:cs="Calibri"/>
          <w:b/>
          <w:bCs/>
          <w:color w:val="000000" w:themeColor="text1"/>
          <w:sz w:val="22"/>
          <w:szCs w:val="22"/>
        </w:rPr>
      </w:pPr>
    </w:p>
    <w:p w:rsidR="008D76F8" w:rsidRPr="00CF776A" w:rsidP="00197CCD">
      <w:pPr>
        <w:spacing w:after="0"/>
        <w:jc w:val="both"/>
        <w:rPr>
          <w:rFonts w:ascii="Calibri" w:hAnsi="Calibri" w:cs="Calibri"/>
          <w:b/>
          <w:bCs/>
          <w:color w:val="000000" w:themeColor="text1"/>
          <w:sz w:val="22"/>
          <w:szCs w:val="22"/>
        </w:rPr>
      </w:pPr>
      <w:r w:rsidRPr="00CF776A">
        <w:rPr>
          <w:rFonts w:ascii="Calibri" w:hAnsi="Calibri" w:cs="Calibri"/>
          <w:b/>
          <w:bCs/>
          <w:color w:val="000000" w:themeColor="text1"/>
          <w:sz w:val="22"/>
          <w:szCs w:val="22"/>
        </w:rPr>
        <w:t xml:space="preserve">What </w:t>
      </w:r>
      <w:r w:rsidRPr="00CF776A">
        <w:rPr>
          <w:rFonts w:ascii="Calibri" w:hAnsi="Calibri" w:cs="Calibri"/>
          <w:b/>
          <w:bCs/>
          <w:color w:val="000000" w:themeColor="text1"/>
          <w:sz w:val="22"/>
          <w:szCs w:val="22"/>
        </w:rPr>
        <w:t>p</w:t>
      </w:r>
      <w:r w:rsidRPr="00CF776A">
        <w:rPr>
          <w:rFonts w:ascii="Calibri" w:hAnsi="Calibri" w:cs="Calibri"/>
          <w:b/>
          <w:bCs/>
          <w:color w:val="000000" w:themeColor="text1"/>
          <w:sz w:val="22"/>
          <w:szCs w:val="22"/>
        </w:rPr>
        <w:t xml:space="preserve">revious </w:t>
      </w:r>
      <w:r w:rsidRPr="00CF776A">
        <w:rPr>
          <w:rFonts w:ascii="Calibri" w:hAnsi="Calibri" w:cs="Calibri"/>
          <w:b/>
          <w:bCs/>
          <w:color w:val="000000" w:themeColor="text1"/>
          <w:sz w:val="22"/>
          <w:szCs w:val="22"/>
        </w:rPr>
        <w:t>p</w:t>
      </w:r>
      <w:r w:rsidRPr="00CF776A">
        <w:rPr>
          <w:rFonts w:ascii="Calibri" w:hAnsi="Calibri" w:cs="Calibri"/>
          <w:b/>
          <w:bCs/>
          <w:color w:val="000000" w:themeColor="text1"/>
          <w:sz w:val="22"/>
          <w:szCs w:val="22"/>
        </w:rPr>
        <w:t>lace-</w:t>
      </w:r>
      <w:r w:rsidRPr="00CF776A">
        <w:rPr>
          <w:rFonts w:ascii="Calibri" w:hAnsi="Calibri" w:cs="Calibri"/>
          <w:b/>
          <w:bCs/>
          <w:color w:val="000000" w:themeColor="text1"/>
          <w:sz w:val="22"/>
          <w:szCs w:val="22"/>
        </w:rPr>
        <w:t>b</w:t>
      </w:r>
      <w:r w:rsidRPr="00CF776A">
        <w:rPr>
          <w:rFonts w:ascii="Calibri" w:hAnsi="Calibri" w:cs="Calibri"/>
          <w:b/>
          <w:bCs/>
          <w:color w:val="000000" w:themeColor="text1"/>
          <w:sz w:val="22"/>
          <w:szCs w:val="22"/>
        </w:rPr>
        <w:t xml:space="preserve">ased </w:t>
      </w:r>
      <w:r w:rsidRPr="00CF776A">
        <w:rPr>
          <w:rFonts w:ascii="Calibri" w:hAnsi="Calibri" w:cs="Calibri"/>
          <w:b/>
          <w:bCs/>
          <w:color w:val="000000" w:themeColor="text1"/>
          <w:sz w:val="22"/>
          <w:szCs w:val="22"/>
        </w:rPr>
        <w:t>i</w:t>
      </w:r>
      <w:r w:rsidRPr="00CF776A">
        <w:rPr>
          <w:rFonts w:ascii="Calibri" w:hAnsi="Calibri" w:cs="Calibri"/>
          <w:b/>
          <w:bCs/>
          <w:color w:val="000000" w:themeColor="text1"/>
          <w:sz w:val="22"/>
          <w:szCs w:val="22"/>
        </w:rPr>
        <w:t xml:space="preserve">nitiatives </w:t>
      </w:r>
      <w:r w:rsidRPr="00CF776A">
        <w:rPr>
          <w:rFonts w:ascii="Calibri" w:hAnsi="Calibri" w:cs="Calibri"/>
          <w:b/>
          <w:bCs/>
          <w:color w:val="000000" w:themeColor="text1"/>
          <w:sz w:val="22"/>
          <w:szCs w:val="22"/>
        </w:rPr>
        <w:t>t</w:t>
      </w:r>
      <w:r w:rsidRPr="00CF776A">
        <w:rPr>
          <w:rFonts w:ascii="Calibri" w:hAnsi="Calibri" w:cs="Calibri"/>
          <w:b/>
          <w:bCs/>
          <w:color w:val="000000" w:themeColor="text1"/>
          <w:sz w:val="22"/>
          <w:szCs w:val="22"/>
        </w:rPr>
        <w:t xml:space="preserve">each </w:t>
      </w:r>
      <w:r w:rsidRPr="00CF776A">
        <w:rPr>
          <w:rFonts w:ascii="Calibri" w:hAnsi="Calibri" w:cs="Calibri"/>
          <w:b/>
          <w:bCs/>
          <w:color w:val="000000" w:themeColor="text1"/>
          <w:sz w:val="22"/>
          <w:szCs w:val="22"/>
        </w:rPr>
        <w:t>u</w:t>
      </w:r>
      <w:r w:rsidRPr="00CF776A">
        <w:rPr>
          <w:rFonts w:ascii="Calibri" w:hAnsi="Calibri" w:cs="Calibri"/>
          <w:b/>
          <w:bCs/>
          <w:color w:val="000000" w:themeColor="text1"/>
          <w:sz w:val="22"/>
          <w:szCs w:val="22"/>
        </w:rPr>
        <w:t>s</w:t>
      </w:r>
      <w:r w:rsidRPr="00CF776A">
        <w:rPr>
          <w:rFonts w:ascii="Calibri" w:hAnsi="Calibri" w:cs="Calibri"/>
          <w:b/>
          <w:bCs/>
          <w:color w:val="000000" w:themeColor="text1"/>
          <w:sz w:val="22"/>
          <w:szCs w:val="22"/>
        </w:rPr>
        <w:t>?</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A key finding emerging from our analysis is that previous area-based educational interventions have generally struggled to demonstrate sustained long-term impacts on educational outcomes. Opportunity Areas provided significant opportunities for schools and local partnerships to experiment with new approaches, but the programme largely represented an additional layer of funding applied to existing systems rather than a fundamental restructuring of educational provision</w:t>
      </w:r>
      <w:r w:rsidRPr="00CF776A">
        <w:rPr>
          <w:rFonts w:ascii="Calibri" w:hAnsi="Calibri" w:cs="Calibri"/>
          <w:color w:val="000000" w:themeColor="text1"/>
          <w:sz w:val="22"/>
          <w:szCs w:val="22"/>
        </w:rPr>
        <w:t xml:space="preserve"> (</w:t>
      </w:r>
      <w:r w:rsidRPr="00CF776A">
        <w:rPr>
          <w:rFonts w:ascii="Calibri" w:hAnsi="Calibri" w:cs="Calibri"/>
          <w:color w:val="000000" w:themeColor="text1"/>
          <w:sz w:val="22"/>
          <w:szCs w:val="22"/>
        </w:rPr>
        <w:t>S</w:t>
      </w:r>
      <w:r w:rsidRPr="00CF776A">
        <w:rPr>
          <w:rFonts w:ascii="Calibri" w:hAnsi="Calibri" w:cs="Calibri"/>
          <w:color w:val="000000" w:themeColor="text1"/>
          <w:sz w:val="22"/>
          <w:szCs w:val="22"/>
        </w:rPr>
        <w:t xml:space="preserve">pear </w:t>
      </w:r>
      <w:r w:rsidRPr="00CF776A">
        <w:rPr>
          <w:rFonts w:ascii="Calibri" w:hAnsi="Calibri" w:cs="Calibri"/>
          <w:color w:val="000000" w:themeColor="text1"/>
          <w:sz w:val="22"/>
          <w:szCs w:val="22"/>
        </w:rPr>
        <w:t>and Kirkman, 2024)</w:t>
      </w:r>
      <w:r w:rsidRPr="00CF776A">
        <w:rPr>
          <w:rFonts w:ascii="Calibri" w:hAnsi="Calibri" w:cs="Calibri"/>
          <w:color w:val="000000" w:themeColor="text1"/>
          <w:sz w:val="22"/>
          <w:szCs w:val="22"/>
        </w:rPr>
        <w:t>.</w:t>
      </w:r>
      <w:r w:rsidRPr="00CF776A">
        <w:rPr>
          <w:rFonts w:ascii="Calibri" w:hAnsi="Calibri" w:cs="Calibri"/>
          <w:color w:val="000000" w:themeColor="text1"/>
          <w:sz w:val="22"/>
          <w:szCs w:val="22"/>
        </w:rPr>
        <w:t xml:space="preserve"> </w:t>
      </w:r>
    </w:p>
    <w:p w:rsidR="008D76F8" w:rsidRPr="00CF776A" w:rsidP="00197CCD">
      <w:pPr>
        <w:spacing w:after="0"/>
        <w:jc w:val="both"/>
        <w:rPr>
          <w:rFonts w:ascii="Calibri" w:hAnsi="Calibri" w:cs="Calibri"/>
          <w:color w:val="000000" w:themeColor="text1"/>
          <w:sz w:val="22"/>
          <w:szCs w:val="22"/>
        </w:rPr>
      </w:pPr>
    </w:p>
    <w:p w:rsidR="008D76F8" w:rsidRPr="00CF776A" w:rsidP="00197CCD">
      <w:pPr>
        <w:pStyle w:val="ListParagraph"/>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“The opportunity area, what it gave them was a frame – it gave them a frame to hang everything together… it’s the capacity to act together that really matters in Bradford… we shouldn’t underestimate how much of a test bed it was in the places where it really worked for different ways of doing things.” (</w:t>
      </w:r>
      <w:r w:rsidRPr="00CF776A">
        <w:rPr>
          <w:rFonts w:ascii="Calibri" w:hAnsi="Calibri" w:cs="Calibri"/>
          <w:i/>
          <w:iCs/>
          <w:color w:val="000000" w:themeColor="text1"/>
          <w:sz w:val="22"/>
          <w:szCs w:val="22"/>
        </w:rPr>
        <w:t>Partnership board member A, Bradford</w:t>
      </w:r>
      <w:r w:rsidRPr="00CF776A">
        <w:rPr>
          <w:rFonts w:ascii="Calibri" w:hAnsi="Calibri" w:cs="Calibri"/>
          <w:color w:val="000000" w:themeColor="text1"/>
          <w:sz w:val="22"/>
          <w:szCs w:val="22"/>
        </w:rPr>
        <w:t xml:space="preserve">) </w:t>
      </w:r>
    </w:p>
    <w:p w:rsidR="008D76F8" w:rsidRPr="00CF776A" w:rsidP="00197CCD">
      <w:pPr>
        <w:pStyle w:val="ListParagraph"/>
        <w:spacing w:after="0"/>
        <w:jc w:val="both"/>
        <w:rPr>
          <w:rFonts w:ascii="Calibri" w:hAnsi="Calibri" w:cs="Calibri"/>
          <w:color w:val="000000" w:themeColor="text1"/>
          <w:sz w:val="22"/>
          <w:szCs w:val="22"/>
        </w:rPr>
      </w:pPr>
    </w:p>
    <w:p w:rsidR="008D76F8" w:rsidRPr="00CF776A" w:rsidP="00197CCD">
      <w:pPr>
        <w:spacing w:after="0"/>
        <w:ind w:left="720"/>
        <w:jc w:val="both"/>
        <w:rPr>
          <w:rFonts w:ascii="Calibri" w:hAnsi="Calibri" w:cs="Calibri"/>
          <w:color w:val="000000" w:themeColor="text1"/>
          <w:sz w:val="22"/>
          <w:szCs w:val="22"/>
        </w:rPr>
      </w:pPr>
      <w:r w:rsidRPr="00CF776A">
        <w:rPr>
          <w:rFonts w:ascii="Calibri" w:hAnsi="Calibri" w:cs="Calibri"/>
          <w:color w:val="000000" w:themeColor="text1"/>
          <w:sz w:val="22"/>
          <w:szCs w:val="22"/>
        </w:rPr>
        <w:t>“I don’t think it solved all the educational problems in Hastings at all…the challenges in Hastings educationally are so deep that a five-year, six-year program was not going to be able to change all of that” (</w:t>
      </w:r>
      <w:r w:rsidRPr="00CF776A">
        <w:rPr>
          <w:rFonts w:ascii="Calibri" w:hAnsi="Calibri" w:cs="Calibri"/>
          <w:i/>
          <w:iCs/>
          <w:color w:val="000000" w:themeColor="text1"/>
          <w:sz w:val="22"/>
          <w:szCs w:val="22"/>
        </w:rPr>
        <w:t>Partnership board member A, Hastings)</w:t>
      </w:r>
      <w:r w:rsidRPr="00CF776A">
        <w:rPr>
          <w:rFonts w:ascii="Calibri" w:hAnsi="Calibri" w:cs="Calibri"/>
          <w:color w:val="000000" w:themeColor="text1"/>
          <w:sz w:val="22"/>
          <w:szCs w:val="22"/>
        </w:rPr>
        <w:t xml:space="preserve"> </w:t>
      </w:r>
    </w:p>
    <w:p w:rsidR="008D76F8" w:rsidRPr="00CF776A" w:rsidP="00197CCD">
      <w:pPr>
        <w:spacing w:after="0"/>
        <w:ind w:left="72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Schools serving disadvantaged communities often face longstanding challenges including high staff turnover, workforce shortages, special educational needs pressures, family poverty, behavioural difficulties and poor attendance. These challenges require substantial </w:t>
      </w:r>
      <w:r w:rsidRPr="00CF776A">
        <w:rPr>
          <w:rFonts w:ascii="Calibri" w:hAnsi="Calibri" w:cs="Calibri"/>
          <w:color w:val="000000" w:themeColor="text1"/>
          <w:sz w:val="22"/>
          <w:szCs w:val="22"/>
        </w:rPr>
        <w:t xml:space="preserve">organisational capacity to </w:t>
      </w:r>
      <w:r w:rsidRPr="00CF776A">
        <w:rPr>
          <w:rFonts w:ascii="Calibri" w:hAnsi="Calibri" w:cs="Calibri"/>
          <w:color w:val="000000" w:themeColor="text1"/>
          <w:sz w:val="22"/>
          <w:szCs w:val="22"/>
        </w:rPr>
        <w:t xml:space="preserve">address effectively. Yet many participating schools were already operating under considerable resource constraints. Consequently, new programmes often focused on managing immediate problems rather than resolving their underlying causes. </w:t>
      </w:r>
    </w:p>
    <w:p w:rsidR="008D76F8" w:rsidRPr="00CF776A" w:rsidP="00197CCD">
      <w:pPr>
        <w:spacing w:after="0"/>
        <w:jc w:val="both"/>
        <w:rPr>
          <w:rFonts w:ascii="Calibri" w:hAnsi="Calibri" w:cs="Calibri"/>
          <w:color w:val="000000" w:themeColor="text1"/>
          <w:sz w:val="22"/>
          <w:szCs w:val="22"/>
        </w:rPr>
      </w:pPr>
    </w:p>
    <w:p w:rsidR="008D76F8" w:rsidRPr="00CF776A" w:rsidP="00197CCD">
      <w:pPr>
        <w:pStyle w:val="ListParagraph"/>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“I think it [Opportunity Areas] was helpful because it brought additional resource into Hastings. I think it put a spotlight on Hastings at a national level… I think it did help further develop some of the partnership working that we needed in Hastings. And I think it did have… an impact on individual children and young people in terms of raising aspirations, which I think was good. But the underlying challenges are still there.” (</w:t>
      </w:r>
      <w:r w:rsidRPr="00CF776A">
        <w:rPr>
          <w:rFonts w:ascii="Calibri" w:hAnsi="Calibri" w:cs="Calibri"/>
          <w:i/>
          <w:iCs/>
          <w:color w:val="000000" w:themeColor="text1"/>
          <w:sz w:val="22"/>
          <w:szCs w:val="22"/>
        </w:rPr>
        <w:t>Partnership board member A, Hastings)</w:t>
      </w:r>
      <w:r w:rsidRPr="00CF776A">
        <w:rPr>
          <w:rFonts w:ascii="Calibri" w:hAnsi="Calibri" w:cs="Calibri"/>
          <w:color w:val="000000" w:themeColor="text1"/>
          <w:sz w:val="22"/>
          <w:szCs w:val="22"/>
        </w:rPr>
        <w:t xml:space="preserve"> </w:t>
      </w:r>
    </w:p>
    <w:p w:rsidR="008D76F8" w:rsidRPr="00CF776A" w:rsidP="00197CCD">
      <w:pPr>
        <w:pStyle w:val="ListParagraph"/>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The evidence suggests that many interventions only scratched the surface of deeply embedded challenges. Delivery plans were ambitious, but implementation timescales were short and frequently dependent on temporary staffing arrangements</w:t>
      </w:r>
      <w:r w:rsidRPr="00CF776A">
        <w:rPr>
          <w:rFonts w:ascii="Calibri" w:hAnsi="Calibri" w:cs="Calibri"/>
          <w:color w:val="000000" w:themeColor="text1"/>
          <w:sz w:val="22"/>
          <w:szCs w:val="22"/>
        </w:rPr>
        <w:t xml:space="preserve"> (York Consulting Unit, 2022)</w:t>
      </w:r>
      <w:r w:rsidRPr="00CF776A">
        <w:rPr>
          <w:rFonts w:ascii="Calibri" w:hAnsi="Calibri" w:cs="Calibri"/>
          <w:color w:val="000000" w:themeColor="text1"/>
          <w:sz w:val="22"/>
          <w:szCs w:val="22"/>
        </w:rPr>
        <w:t>. While additional funding enabled schools to introduce targeted initiatives, there was often insufficient time or capacity to embed these changes into normal practice before funding ended</w:t>
      </w:r>
      <w:r w:rsidRPr="00CF776A">
        <w:rPr>
          <w:rFonts w:ascii="Calibri" w:hAnsi="Calibri" w:cs="Calibri"/>
          <w:color w:val="000000" w:themeColor="text1"/>
          <w:sz w:val="22"/>
          <w:szCs w:val="22"/>
        </w:rPr>
        <w:t>.</w:t>
      </w:r>
    </w:p>
    <w:p w:rsidR="008D76F8" w:rsidRPr="00CF776A" w:rsidP="00197CCD">
      <w:pPr>
        <w:spacing w:after="0"/>
        <w:jc w:val="both"/>
        <w:rPr>
          <w:rFonts w:ascii="Calibri" w:hAnsi="Calibri" w:cs="Calibri"/>
          <w:color w:val="000000" w:themeColor="text1"/>
          <w:sz w:val="22"/>
          <w:szCs w:val="22"/>
        </w:rPr>
      </w:pPr>
    </w:p>
    <w:p w:rsidR="008D76F8" w:rsidRPr="00CF776A" w:rsidP="00197CCD">
      <w:pPr>
        <w:pStyle w:val="ListParagraph"/>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“We were asked to submit for funding for one year three times, not three years’ worth of funding. It changes how you plan your outcome… It was that constant uncertainty that something of this scale should not have had. We shouldn’t be forever doing short</w:t>
      </w:r>
      <w:r w:rsidRPr="00CF776A">
        <w:rPr>
          <w:rFonts w:ascii="Cambria Math" w:hAnsi="Cambria Math" w:cs="Cambria Math"/>
          <w:color w:val="000000" w:themeColor="text1"/>
          <w:sz w:val="22"/>
          <w:szCs w:val="22"/>
        </w:rPr>
        <w:t>‑</w:t>
      </w:r>
      <w:r w:rsidRPr="00CF776A">
        <w:rPr>
          <w:rFonts w:ascii="Calibri" w:hAnsi="Calibri" w:cs="Calibri"/>
          <w:color w:val="000000" w:themeColor="text1"/>
          <w:sz w:val="22"/>
          <w:szCs w:val="22"/>
        </w:rPr>
        <w:t>term project plans.” (</w:t>
      </w:r>
      <w:r w:rsidRPr="00CF776A">
        <w:rPr>
          <w:rFonts w:ascii="Calibri" w:hAnsi="Calibri" w:cs="Calibri"/>
          <w:i/>
          <w:iCs/>
          <w:color w:val="000000" w:themeColor="text1"/>
          <w:sz w:val="22"/>
          <w:szCs w:val="22"/>
        </w:rPr>
        <w:t>Primary Headteacher, Stoke-on-Trent</w:t>
      </w:r>
      <w:r w:rsidRPr="00CF776A">
        <w:rPr>
          <w:rFonts w:ascii="Calibri" w:hAnsi="Calibri" w:cs="Calibri"/>
          <w:color w:val="000000" w:themeColor="text1"/>
          <w:sz w:val="22"/>
          <w:szCs w:val="22"/>
        </w:rPr>
        <w:t xml:space="preserve">) </w:t>
      </w:r>
    </w:p>
    <w:p w:rsidR="008D76F8" w:rsidRPr="00CF776A" w:rsidP="00197CCD">
      <w:pPr>
        <w:pStyle w:val="ListParagraph"/>
        <w:spacing w:after="0"/>
        <w:jc w:val="both"/>
        <w:rPr>
          <w:rFonts w:ascii="Calibri" w:hAnsi="Calibri" w:cs="Calibri"/>
          <w:color w:val="000000" w:themeColor="text1"/>
          <w:sz w:val="22"/>
          <w:szCs w:val="22"/>
        </w:rPr>
      </w:pPr>
    </w:p>
    <w:p w:rsidR="008D76F8" w:rsidRPr="00CF776A" w:rsidP="00197CCD">
      <w:pPr>
        <w:pStyle w:val="ListParagraph"/>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“In our sustainability plan… our challenge was what aspects of delivery could we keep going with </w:t>
      </w:r>
      <w:r w:rsidRPr="00CF776A">
        <w:rPr>
          <w:rFonts w:ascii="Calibri" w:hAnsi="Calibri" w:cs="Calibri"/>
          <w:i/>
          <w:iCs/>
          <w:color w:val="000000" w:themeColor="text1"/>
          <w:sz w:val="22"/>
          <w:szCs w:val="22"/>
        </w:rPr>
        <w:t>no money</w:t>
      </w:r>
      <w:r w:rsidRPr="00CF776A">
        <w:rPr>
          <w:rFonts w:ascii="Calibri" w:hAnsi="Calibri" w:cs="Calibri"/>
          <w:color w:val="000000" w:themeColor="text1"/>
          <w:sz w:val="22"/>
          <w:szCs w:val="22"/>
        </w:rPr>
        <w:t>. And there lies the challenge.” (</w:t>
      </w:r>
      <w:r w:rsidRPr="00CF776A">
        <w:rPr>
          <w:rFonts w:ascii="Calibri" w:hAnsi="Calibri" w:cs="Calibri"/>
          <w:i/>
          <w:iCs/>
          <w:color w:val="000000" w:themeColor="text1"/>
          <w:sz w:val="22"/>
          <w:szCs w:val="22"/>
        </w:rPr>
        <w:t>Partnership board member B, Bradford</w:t>
      </w:r>
      <w:r w:rsidRPr="00CF776A">
        <w:rPr>
          <w:rFonts w:ascii="Calibri" w:hAnsi="Calibri" w:cs="Calibri"/>
          <w:color w:val="000000" w:themeColor="text1"/>
          <w:sz w:val="22"/>
          <w:szCs w:val="22"/>
        </w:rPr>
        <w:t xml:space="preserve">) </w:t>
      </w:r>
    </w:p>
    <w:p w:rsidR="008D76F8" w:rsidRPr="00CF776A" w:rsidP="00197CCD">
      <w:pPr>
        <w:spacing w:after="0"/>
        <w:jc w:val="both"/>
        <w:rPr>
          <w:rFonts w:ascii="Calibri" w:hAnsi="Calibri" w:cs="Calibri"/>
          <w:b/>
          <w:bCs/>
          <w:color w:val="000000" w:themeColor="text1"/>
          <w:sz w:val="22"/>
          <w:szCs w:val="22"/>
        </w:rPr>
      </w:pPr>
      <w:r w:rsidRPr="00CF776A">
        <w:rPr>
          <w:rFonts w:ascii="Calibri" w:hAnsi="Calibri" w:cs="Calibri"/>
          <w:b/>
          <w:bCs/>
          <w:color w:val="000000" w:themeColor="text1"/>
          <w:sz w:val="22"/>
          <w:szCs w:val="22"/>
        </w:rPr>
        <w:t>Disadvantage remains concentrated in Opportunity Areas</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Analysis of school census data demonstrates that pupils in Opportunity Areas experienced substantially higher levels of socioeconomic disadvantage than pupils nationally. Free School Meal (FSM) eligibility rates were consistently above national averages across both primary and secondary schools throughout the period examined. </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Particularly high levels of disadvantage were observed in:</w:t>
      </w:r>
    </w:p>
    <w:p w:rsidR="008D76F8" w:rsidRPr="00CF776A" w:rsidP="00197CCD">
      <w:pPr>
        <w:pStyle w:val="ListParagraph"/>
        <w:numPr>
          <w:ilvl w:val="0"/>
          <w:numId w:val="9"/>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Blackpool</w:t>
      </w:r>
    </w:p>
    <w:p w:rsidR="008D76F8" w:rsidRPr="00CF776A" w:rsidP="00197CCD">
      <w:pPr>
        <w:pStyle w:val="ListParagraph"/>
        <w:numPr>
          <w:ilvl w:val="0"/>
          <w:numId w:val="9"/>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Hastings</w:t>
      </w:r>
    </w:p>
    <w:p w:rsidR="008D76F8" w:rsidRPr="00CF776A" w:rsidP="00197CCD">
      <w:pPr>
        <w:pStyle w:val="ListParagraph"/>
        <w:numPr>
          <w:ilvl w:val="0"/>
          <w:numId w:val="9"/>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North Yorkshire Coast</w:t>
      </w:r>
    </w:p>
    <w:p w:rsidR="008D76F8" w:rsidRPr="00CF776A" w:rsidP="00197CCD">
      <w:pPr>
        <w:pStyle w:val="ListParagraph"/>
        <w:numPr>
          <w:ilvl w:val="0"/>
          <w:numId w:val="9"/>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Stoke-on-Trent</w:t>
      </w:r>
    </w:p>
    <w:p w:rsidR="008D76F8" w:rsidRPr="00CF776A" w:rsidP="00197CCD">
      <w:pPr>
        <w:pStyle w:val="ListParagraph"/>
        <w:numPr>
          <w:ilvl w:val="0"/>
          <w:numId w:val="9"/>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Bradford</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These findings are especially relevant because several of these areas share characteristics with communities targeted by Mission Coastal and Mission </w:t>
      </w:r>
      <w:r w:rsidRPr="00CF776A">
        <w:rPr>
          <w:rFonts w:ascii="Calibri" w:hAnsi="Calibri" w:cs="Calibri"/>
          <w:color w:val="000000" w:themeColor="text1"/>
          <w:sz w:val="22"/>
          <w:szCs w:val="22"/>
        </w:rPr>
        <w:t>North East</w:t>
      </w:r>
      <w:r w:rsidRPr="00CF776A">
        <w:rPr>
          <w:rFonts w:ascii="Calibri" w:hAnsi="Calibri" w:cs="Calibri"/>
          <w:color w:val="000000" w:themeColor="text1"/>
          <w:sz w:val="22"/>
          <w:szCs w:val="22"/>
        </w:rPr>
        <w:t xml:space="preserve">, including economic restructuring, geographical isolation, lower educational attainment, and persistent poverty. </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The evidence demonstrates that educational disadvantage is often spatially concentrated rather than randomly distributed. Consequently, place-based responses remain an important policy mechanism.</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b/>
          <w:bCs/>
          <w:color w:val="000000" w:themeColor="text1"/>
          <w:sz w:val="22"/>
          <w:szCs w:val="22"/>
        </w:rPr>
      </w:pPr>
      <w:r w:rsidRPr="00CF776A">
        <w:rPr>
          <w:rFonts w:ascii="Calibri" w:hAnsi="Calibri" w:cs="Calibri"/>
          <w:b/>
          <w:bCs/>
          <w:color w:val="000000" w:themeColor="text1"/>
          <w:sz w:val="22"/>
          <w:szCs w:val="22"/>
        </w:rPr>
        <w:t>Attendance and exclusions are closely linked to local disadvantage</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One of the key findings from our research is the close relationship between educational outcomes and wider social conditions. School attendance and exclusion rates are frequently treated as school-level </w:t>
      </w:r>
      <w:r w:rsidRPr="00CF776A">
        <w:rPr>
          <w:rFonts w:ascii="Calibri" w:hAnsi="Calibri" w:cs="Calibri"/>
          <w:color w:val="000000" w:themeColor="text1"/>
          <w:sz w:val="22"/>
          <w:szCs w:val="22"/>
        </w:rPr>
        <w:t xml:space="preserve">issues. However, interviews with school leaders, programme directors, and local stakeholders consistently suggested that these problems often originate beyond the school gates. </w:t>
      </w:r>
    </w:p>
    <w:p w:rsidR="008D76F8" w:rsidRPr="00CF776A" w:rsidP="00197CCD">
      <w:pPr>
        <w:spacing w:after="0"/>
        <w:jc w:val="both"/>
        <w:rPr>
          <w:rFonts w:ascii="Calibri" w:hAnsi="Calibri" w:cs="Calibri"/>
          <w:color w:val="000000" w:themeColor="text1"/>
          <w:sz w:val="22"/>
          <w:szCs w:val="22"/>
        </w:rPr>
      </w:pPr>
    </w:p>
    <w:p w:rsidR="008D76F8" w:rsidRPr="00CF776A" w:rsidP="00197CCD">
      <w:pPr>
        <w:pStyle w:val="ListParagraph"/>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“We talk about attendance as if it’s just a child not turning up to school. </w:t>
      </w:r>
      <w:r w:rsidRPr="00CF776A">
        <w:rPr>
          <w:rFonts w:ascii="Calibri" w:hAnsi="Calibri" w:cs="Calibri"/>
          <w:color w:val="000000" w:themeColor="text1"/>
          <w:sz w:val="22"/>
          <w:szCs w:val="22"/>
        </w:rPr>
        <w:t>Actually, when</w:t>
      </w:r>
      <w:r w:rsidRPr="00CF776A">
        <w:rPr>
          <w:rFonts w:ascii="Calibri" w:hAnsi="Calibri" w:cs="Calibri"/>
          <w:color w:val="000000" w:themeColor="text1"/>
          <w:sz w:val="22"/>
          <w:szCs w:val="22"/>
        </w:rPr>
        <w:t xml:space="preserve"> you look underneath, what you see are families in real crisis — parental mental health, social care, debt, unstable housing. Those things are what are driving a lot of the persistent absence, not simply a lack of respect for school.” (</w:t>
      </w:r>
      <w:r w:rsidRPr="00CF776A">
        <w:rPr>
          <w:rFonts w:ascii="Calibri" w:hAnsi="Calibri" w:cs="Calibri"/>
          <w:i/>
          <w:iCs/>
          <w:color w:val="000000" w:themeColor="text1"/>
          <w:sz w:val="22"/>
          <w:szCs w:val="22"/>
        </w:rPr>
        <w:t>National education lead, Stoke-on-Trent)</w:t>
      </w:r>
      <w:r w:rsidRPr="00CF776A">
        <w:rPr>
          <w:rFonts w:ascii="Calibri" w:hAnsi="Calibri" w:cs="Calibri"/>
          <w:color w:val="000000" w:themeColor="text1"/>
          <w:sz w:val="22"/>
          <w:szCs w:val="22"/>
        </w:rPr>
        <w:t xml:space="preserve"> </w:t>
      </w:r>
    </w:p>
    <w:p w:rsidR="008D76F8" w:rsidRPr="00CF776A" w:rsidP="00197CCD">
      <w:pPr>
        <w:pStyle w:val="ListParagraph"/>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Stakeholders highlighted:</w:t>
      </w:r>
    </w:p>
    <w:p w:rsidR="008D76F8" w:rsidRPr="00CF776A" w:rsidP="00197CCD">
      <w:pPr>
        <w:pStyle w:val="ListParagraph"/>
        <w:numPr>
          <w:ilvl w:val="0"/>
          <w:numId w:val="10"/>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family poverty</w:t>
      </w:r>
    </w:p>
    <w:p w:rsidR="008D76F8" w:rsidRPr="00CF776A" w:rsidP="00197CCD">
      <w:pPr>
        <w:pStyle w:val="ListParagraph"/>
        <w:numPr>
          <w:ilvl w:val="0"/>
          <w:numId w:val="10"/>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housing insecurity</w:t>
      </w:r>
    </w:p>
    <w:p w:rsidR="008D76F8" w:rsidRPr="00CF776A" w:rsidP="00197CCD">
      <w:pPr>
        <w:pStyle w:val="ListParagraph"/>
        <w:numPr>
          <w:ilvl w:val="0"/>
          <w:numId w:val="10"/>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mental health difficulties</w:t>
      </w:r>
    </w:p>
    <w:p w:rsidR="008D76F8" w:rsidRPr="00CF776A" w:rsidP="00197CCD">
      <w:pPr>
        <w:pStyle w:val="ListParagraph"/>
        <w:numPr>
          <w:ilvl w:val="0"/>
          <w:numId w:val="10"/>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unmet special educational needs</w:t>
      </w:r>
    </w:p>
    <w:p w:rsidR="008D76F8" w:rsidRPr="00CF776A" w:rsidP="00197CCD">
      <w:pPr>
        <w:pStyle w:val="ListParagraph"/>
        <w:numPr>
          <w:ilvl w:val="0"/>
          <w:numId w:val="10"/>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limited access to services</w:t>
      </w:r>
    </w:p>
    <w:p w:rsidR="008D76F8" w:rsidRPr="00CF776A" w:rsidP="00197CCD">
      <w:pPr>
        <w:pStyle w:val="ListParagraph"/>
        <w:numPr>
          <w:ilvl w:val="0"/>
          <w:numId w:val="10"/>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weak transport connections</w:t>
      </w:r>
    </w:p>
    <w:p w:rsidR="008D76F8" w:rsidRPr="00CF776A" w:rsidP="00197CCD">
      <w:pPr>
        <w:pStyle w:val="ListParagraph"/>
        <w:numPr>
          <w:ilvl w:val="0"/>
          <w:numId w:val="10"/>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workforce instability</w:t>
      </w:r>
    </w:p>
    <w:p w:rsidR="008D76F8" w:rsidRPr="00CF776A" w:rsidP="00197CCD">
      <w:pPr>
        <w:pStyle w:val="ListParagraph"/>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as major contributors to low attendance and exclusion risks. </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Many schools reported significant demand for family support, social work provision, mental health services, and specialist interventions. Teachers and school leaders regularly described operating as providers of wider social support rather than solely educational services. </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ind w:left="720"/>
        <w:jc w:val="both"/>
        <w:rPr>
          <w:rFonts w:ascii="Calibri" w:hAnsi="Calibri" w:cs="Calibri"/>
          <w:color w:val="000000" w:themeColor="text1"/>
          <w:sz w:val="22"/>
          <w:szCs w:val="22"/>
        </w:rPr>
      </w:pPr>
      <w:r w:rsidRPr="00CF776A">
        <w:rPr>
          <w:rFonts w:ascii="Calibri" w:hAnsi="Calibri" w:cs="Calibri"/>
          <w:color w:val="000000" w:themeColor="text1"/>
          <w:sz w:val="22"/>
          <w:szCs w:val="22"/>
        </w:rPr>
        <w:t>“Hastings is one of the most deprived areas of the country… high rates of children with special educational needs, very high levels of free school meals. Schools that are in quite significant challenges and having to do a lot to improve the outcomes that they’ve got don’t always have the capacity to be involved in projects… because it always involves senior leaders taking some time out to attend project meetings.” (</w:t>
      </w:r>
      <w:r w:rsidRPr="00CF776A">
        <w:rPr>
          <w:rFonts w:ascii="Calibri" w:hAnsi="Calibri" w:cs="Calibri"/>
          <w:i/>
          <w:iCs/>
          <w:color w:val="000000" w:themeColor="text1"/>
          <w:sz w:val="22"/>
          <w:szCs w:val="22"/>
        </w:rPr>
        <w:t>Partnership board member A, Hastings</w:t>
      </w:r>
      <w:r w:rsidRPr="00CF776A">
        <w:rPr>
          <w:rFonts w:ascii="Calibri" w:hAnsi="Calibri" w:cs="Calibri"/>
          <w:color w:val="000000" w:themeColor="text1"/>
          <w:sz w:val="22"/>
          <w:szCs w:val="22"/>
        </w:rPr>
        <w:t xml:space="preserve">) </w:t>
      </w:r>
    </w:p>
    <w:p w:rsidR="008D76F8" w:rsidRPr="00CF776A" w:rsidP="00197CCD">
      <w:pPr>
        <w:spacing w:after="0"/>
        <w:ind w:left="720"/>
        <w:jc w:val="both"/>
        <w:rPr>
          <w:rFonts w:ascii="Calibri" w:hAnsi="Calibri" w:cs="Calibri"/>
          <w:color w:val="000000" w:themeColor="text1"/>
          <w:sz w:val="22"/>
          <w:szCs w:val="22"/>
        </w:rPr>
      </w:pPr>
    </w:p>
    <w:p w:rsidR="008D76F8" w:rsidRPr="00CF776A" w:rsidP="00197CCD">
      <w:pPr>
        <w:pStyle w:val="ListParagraph"/>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“We had social workers based in schools because so many of the issues that were presenting as ‘attendance problems’ were </w:t>
      </w:r>
      <w:r w:rsidRPr="00CF776A">
        <w:rPr>
          <w:rFonts w:ascii="Calibri" w:hAnsi="Calibri" w:cs="Calibri"/>
          <w:color w:val="000000" w:themeColor="text1"/>
          <w:sz w:val="22"/>
          <w:szCs w:val="22"/>
        </w:rPr>
        <w:t>actually about</w:t>
      </w:r>
      <w:r w:rsidRPr="00CF776A">
        <w:rPr>
          <w:rFonts w:ascii="Calibri" w:hAnsi="Calibri" w:cs="Calibri"/>
          <w:color w:val="000000" w:themeColor="text1"/>
          <w:sz w:val="22"/>
          <w:szCs w:val="22"/>
        </w:rPr>
        <w:t> family poverty, parental mental health and safeguarding. The school almost became the place where all of that had to be held.” (</w:t>
      </w:r>
      <w:r w:rsidRPr="00CF776A">
        <w:rPr>
          <w:rFonts w:ascii="Calibri" w:hAnsi="Calibri" w:cs="Calibri"/>
          <w:i/>
          <w:iCs/>
          <w:color w:val="000000" w:themeColor="text1"/>
          <w:sz w:val="22"/>
          <w:szCs w:val="22"/>
        </w:rPr>
        <w:t>National education lead, Stoke-on-Trent</w:t>
      </w:r>
      <w:r w:rsidRPr="00CF776A">
        <w:rPr>
          <w:rFonts w:ascii="Calibri" w:hAnsi="Calibri" w:cs="Calibri"/>
          <w:color w:val="000000" w:themeColor="text1"/>
          <w:sz w:val="22"/>
          <w:szCs w:val="22"/>
        </w:rPr>
        <w:t xml:space="preserve">) </w:t>
      </w:r>
    </w:p>
    <w:p w:rsidR="008D76F8" w:rsidRPr="00CF776A" w:rsidP="00197CCD">
      <w:pPr>
        <w:pStyle w:val="ListParagraph"/>
        <w:spacing w:after="0"/>
        <w:jc w:val="both"/>
        <w:rPr>
          <w:rFonts w:ascii="Calibri" w:hAnsi="Calibri" w:cs="Calibri"/>
          <w:color w:val="000000" w:themeColor="text1"/>
          <w:sz w:val="22"/>
          <w:szCs w:val="22"/>
        </w:rPr>
      </w:pPr>
    </w:p>
    <w:p w:rsidR="008D76F8" w:rsidRPr="00CF776A" w:rsidP="00197CCD">
      <w:pPr>
        <w:pStyle w:val="ListParagraph"/>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“Teachers are there to teach; there should be people there to support the teachers in getting these young people ready to learn.” (</w:t>
      </w:r>
      <w:r w:rsidRPr="00CF776A">
        <w:rPr>
          <w:rFonts w:ascii="Calibri" w:hAnsi="Calibri" w:cs="Calibri"/>
          <w:i/>
          <w:iCs/>
          <w:color w:val="000000" w:themeColor="text1"/>
          <w:sz w:val="22"/>
          <w:szCs w:val="22"/>
        </w:rPr>
        <w:t>Charity worker A, Blackpool</w:t>
      </w:r>
      <w:r w:rsidRPr="00CF776A">
        <w:rPr>
          <w:rFonts w:ascii="Calibri" w:hAnsi="Calibri" w:cs="Calibri"/>
          <w:color w:val="000000" w:themeColor="text1"/>
          <w:sz w:val="22"/>
          <w:szCs w:val="22"/>
        </w:rPr>
        <w:t>)</w:t>
      </w:r>
    </w:p>
    <w:p w:rsidR="008D76F8" w:rsidRPr="00CF776A" w:rsidP="00197CCD">
      <w:pPr>
        <w:pStyle w:val="ListParagraph"/>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For Mission Coastal and Mission </w:t>
      </w:r>
      <w:r w:rsidRPr="00CF776A">
        <w:rPr>
          <w:rFonts w:ascii="Calibri" w:hAnsi="Calibri" w:cs="Calibri"/>
          <w:color w:val="000000" w:themeColor="text1"/>
          <w:sz w:val="22"/>
          <w:szCs w:val="22"/>
        </w:rPr>
        <w:t>North East</w:t>
      </w:r>
      <w:r w:rsidRPr="00CF776A">
        <w:rPr>
          <w:rFonts w:ascii="Calibri" w:hAnsi="Calibri" w:cs="Calibri"/>
          <w:color w:val="000000" w:themeColor="text1"/>
          <w:sz w:val="22"/>
          <w:szCs w:val="22"/>
        </w:rPr>
        <w:t>, this suggests that improvements in educational outcomes are unlikely to be achieved through school-focused reforms alone.</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Some improvements were achieved during the Opportunity Areas programme</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The evidence indicates that some positive changes occurred during the funded period.</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Relative to national trends, several Opportunity Areas showed reductions in:</w:t>
      </w:r>
    </w:p>
    <w:p w:rsidR="008D76F8" w:rsidRPr="00CF776A" w:rsidP="00197CCD">
      <w:pPr>
        <w:spacing w:after="0"/>
        <w:jc w:val="both"/>
        <w:rPr>
          <w:rFonts w:ascii="Calibri" w:hAnsi="Calibri" w:cs="Calibri"/>
          <w:color w:val="000000" w:themeColor="text1"/>
          <w:sz w:val="22"/>
          <w:szCs w:val="22"/>
        </w:rPr>
      </w:pPr>
    </w:p>
    <w:p w:rsidR="008D76F8" w:rsidRPr="00CF776A" w:rsidP="00197CCD">
      <w:pPr>
        <w:pStyle w:val="ListParagraph"/>
        <w:numPr>
          <w:ilvl w:val="0"/>
          <w:numId w:val="11"/>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permanent exclusions</w:t>
      </w:r>
      <w:r w:rsidRPr="00CF776A">
        <w:rPr>
          <w:rFonts w:ascii="Calibri" w:hAnsi="Calibri" w:cs="Calibri"/>
          <w:color w:val="000000" w:themeColor="text1"/>
          <w:sz w:val="22"/>
          <w:szCs w:val="22"/>
        </w:rPr>
        <w:t xml:space="preserve"> (Figure 1)</w:t>
      </w:r>
    </w:p>
    <w:p w:rsidR="008D76F8" w:rsidRPr="00CF776A" w:rsidP="00197CCD">
      <w:pPr>
        <w:pStyle w:val="ListParagraph"/>
        <w:numPr>
          <w:ilvl w:val="0"/>
          <w:numId w:val="11"/>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secondary school absence</w:t>
      </w:r>
      <w:r w:rsidRPr="00CF776A">
        <w:rPr>
          <w:rFonts w:ascii="Calibri" w:hAnsi="Calibri" w:cs="Calibri"/>
          <w:color w:val="000000" w:themeColor="text1"/>
          <w:sz w:val="22"/>
          <w:szCs w:val="22"/>
        </w:rPr>
        <w:t xml:space="preserve"> (Figure 2)</w:t>
      </w:r>
    </w:p>
    <w:p w:rsidR="008D76F8" w:rsidRPr="00CF776A" w:rsidP="00197CCD">
      <w:pPr>
        <w:pStyle w:val="ListParagraph"/>
        <w:numPr>
          <w:ilvl w:val="0"/>
          <w:numId w:val="11"/>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persistent absence</w:t>
      </w:r>
      <w:r w:rsidRPr="00CF776A">
        <w:rPr>
          <w:rFonts w:ascii="Calibri" w:hAnsi="Calibri" w:cs="Calibri"/>
          <w:color w:val="000000" w:themeColor="text1"/>
          <w:sz w:val="22"/>
          <w:szCs w:val="22"/>
        </w:rPr>
        <w:t xml:space="preserve"> (Figure 3)</w:t>
      </w:r>
    </w:p>
    <w:p w:rsidR="008D76F8" w:rsidRPr="00CF776A" w:rsidP="00197CCD">
      <w:pPr>
        <w:spacing w:after="0"/>
        <w:ind w:left="360"/>
        <w:jc w:val="both"/>
        <w:rPr>
          <w:rFonts w:ascii="Calibri" w:hAnsi="Calibri" w:cs="Calibri"/>
          <w:color w:val="000000" w:themeColor="text1"/>
          <w:sz w:val="22"/>
          <w:szCs w:val="22"/>
        </w:rPr>
      </w:pPr>
    </w:p>
    <w:p w:rsidR="008D76F8" w:rsidRPr="00CF776A" w:rsidP="00197CCD">
      <w:pPr>
        <w:pStyle w:val="Caption"/>
        <w:spacing w:after="0"/>
        <w:jc w:val="both"/>
        <w:rPr>
          <w:rFonts w:ascii="Calibri" w:hAnsi="Calibri" w:cs="Calibri"/>
          <w:szCs w:val="22"/>
        </w:rPr>
      </w:pPr>
      <w:r w:rsidRPr="00CF776A">
        <w:rPr>
          <w:rFonts w:ascii="Calibri" w:hAnsi="Calibri" w:cs="Calibri"/>
          <w:szCs w:val="22"/>
        </w:rPr>
        <w:t xml:space="preserve">Figure </w:t>
      </w:r>
      <w:r w:rsidRPr="00CF776A">
        <w:rPr>
          <w:rFonts w:ascii="Calibri" w:hAnsi="Calibri" w:cs="Calibri"/>
          <w:szCs w:val="22"/>
        </w:rPr>
        <w:t>1</w:t>
      </w:r>
      <w:r w:rsidRPr="00CF776A">
        <w:rPr>
          <w:rFonts w:ascii="Calibri" w:hAnsi="Calibri" w:cs="Calibri"/>
          <w:szCs w:val="22"/>
        </w:rPr>
        <w:t xml:space="preserve">. Percentage Permanent Exclusions </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noProof/>
          <w:color w:val="000000" w:themeColor="text1"/>
          <w:sz w:val="22"/>
          <w:szCs w:val="22"/>
        </w:rPr>
        <w:drawing>
          <wp:inline distT="0" distB="0" distL="0" distR="0">
            <wp:extent cx="4763973" cy="3970820"/>
            <wp:effectExtent l="0" t="0" r="17780" b="10795"/>
            <wp:docPr id="58461510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8D76F8" w:rsidRPr="00CF776A" w:rsidP="00197CCD">
      <w:pPr>
        <w:pStyle w:val="Caption"/>
        <w:spacing w:after="0"/>
        <w:jc w:val="both"/>
        <w:rPr>
          <w:rFonts w:ascii="Calibri" w:hAnsi="Calibri" w:cs="Calibri"/>
          <w:szCs w:val="22"/>
        </w:rPr>
      </w:pPr>
    </w:p>
    <w:p w:rsidR="008D76F8" w:rsidRPr="00CF776A" w:rsidP="00197CCD">
      <w:pPr>
        <w:pStyle w:val="Caption"/>
        <w:spacing w:after="0"/>
        <w:jc w:val="both"/>
        <w:rPr>
          <w:rFonts w:ascii="Calibri" w:hAnsi="Calibri" w:cs="Calibri"/>
          <w:szCs w:val="22"/>
        </w:rPr>
      </w:pPr>
    </w:p>
    <w:p w:rsidR="008D76F8" w:rsidRPr="00CF776A" w:rsidP="00197CCD">
      <w:pPr>
        <w:pStyle w:val="Caption"/>
        <w:spacing w:after="0"/>
        <w:jc w:val="both"/>
        <w:rPr>
          <w:rFonts w:ascii="Calibri" w:hAnsi="Calibri" w:cs="Calibri"/>
          <w:szCs w:val="22"/>
        </w:rPr>
      </w:pPr>
    </w:p>
    <w:p w:rsidR="008D76F8" w:rsidRPr="00CF776A" w:rsidP="00197CCD">
      <w:pPr>
        <w:pStyle w:val="Caption"/>
        <w:spacing w:after="0"/>
        <w:jc w:val="both"/>
        <w:rPr>
          <w:rFonts w:ascii="Calibri" w:hAnsi="Calibri" w:cs="Calibri"/>
          <w:szCs w:val="22"/>
        </w:rPr>
      </w:pPr>
      <w:r w:rsidRPr="00CF776A">
        <w:rPr>
          <w:rFonts w:ascii="Calibri" w:hAnsi="Calibri" w:cs="Calibri"/>
          <w:szCs w:val="22"/>
        </w:rPr>
        <w:t xml:space="preserve">Figure </w:t>
      </w:r>
      <w:r w:rsidRPr="00CF776A">
        <w:rPr>
          <w:rFonts w:ascii="Calibri" w:hAnsi="Calibri" w:cs="Calibri"/>
          <w:szCs w:val="22"/>
        </w:rPr>
        <w:t>2</w:t>
      </w:r>
      <w:r w:rsidRPr="00CF776A">
        <w:rPr>
          <w:rFonts w:ascii="Calibri" w:hAnsi="Calibri" w:cs="Calibri"/>
          <w:szCs w:val="22"/>
        </w:rPr>
        <w:t>. Percentage Secondary School Absence</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noProof/>
          <w:color w:val="000000" w:themeColor="text1"/>
          <w:sz w:val="22"/>
          <w:szCs w:val="22"/>
        </w:rPr>
        <w:drawing>
          <wp:inline distT="0" distB="0" distL="0" distR="0">
            <wp:extent cx="5264115" cy="4152689"/>
            <wp:effectExtent l="0" t="0" r="13335" b="635"/>
            <wp:docPr id="101600014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8D76F8" w:rsidRPr="00CF776A" w:rsidP="00197CCD">
      <w:pPr>
        <w:pStyle w:val="Caption"/>
        <w:spacing w:after="0"/>
        <w:jc w:val="both"/>
        <w:rPr>
          <w:rFonts w:ascii="Calibri" w:hAnsi="Calibri" w:cs="Calibri"/>
          <w:szCs w:val="22"/>
        </w:rPr>
      </w:pPr>
      <w:r w:rsidRPr="00CF776A">
        <w:rPr>
          <w:rFonts w:ascii="Calibri" w:hAnsi="Calibri" w:cs="Calibri"/>
          <w:szCs w:val="22"/>
        </w:rPr>
        <w:t xml:space="preserve">Figure </w:t>
      </w:r>
      <w:r w:rsidRPr="00CF776A">
        <w:rPr>
          <w:rFonts w:ascii="Calibri" w:hAnsi="Calibri" w:cs="Calibri"/>
          <w:szCs w:val="22"/>
        </w:rPr>
        <w:t>3</w:t>
      </w:r>
      <w:r w:rsidRPr="00CF776A">
        <w:rPr>
          <w:rFonts w:ascii="Calibri" w:hAnsi="Calibri" w:cs="Calibri"/>
          <w:szCs w:val="22"/>
        </w:rPr>
        <w:t xml:space="preserve">. Percentage Secondary School Persistent Absence </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noProof/>
          <w:color w:val="000000" w:themeColor="text1"/>
          <w:sz w:val="22"/>
          <w:szCs w:val="22"/>
        </w:rPr>
        <w:drawing>
          <wp:inline distT="0" distB="0" distL="0" distR="0">
            <wp:extent cx="5122661" cy="3753587"/>
            <wp:effectExtent l="0" t="0" r="1905" b="18415"/>
            <wp:docPr id="7722721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Importantly, these improvements occurred at a time when some national indicators were deteriorating.</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Areas such as Blackpool, Stoke-on-Trent, Doncaster, Norwich, and Hastings implemented targeted programmes focused on attendance, behaviour, inclusion, family engagement, and mental health support. These programmes frequently involved dedicated staff, intensive pupil support, and closer collaboration between agencies. </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ind w:left="720"/>
        <w:jc w:val="both"/>
        <w:rPr>
          <w:rFonts w:ascii="Calibri" w:hAnsi="Calibri" w:cs="Calibri"/>
          <w:color w:val="000000" w:themeColor="text1"/>
          <w:sz w:val="22"/>
          <w:szCs w:val="22"/>
        </w:rPr>
      </w:pPr>
      <w:r w:rsidRPr="00CF776A">
        <w:rPr>
          <w:rFonts w:ascii="Calibri" w:hAnsi="Calibri" w:cs="Calibri"/>
          <w:color w:val="000000" w:themeColor="text1"/>
          <w:sz w:val="22"/>
          <w:szCs w:val="22"/>
        </w:rPr>
        <w:t>“We got 80,000 pounds per school… and each school got 80,000 pounds to develop a programme whereby they would reduce permanent exclusions… and you see significant reductions in the permanent exclusions.” (</w:t>
      </w:r>
      <w:r w:rsidRPr="00CF776A">
        <w:rPr>
          <w:rFonts w:ascii="Calibri" w:hAnsi="Calibri" w:cs="Calibri"/>
          <w:i/>
          <w:iCs/>
          <w:color w:val="000000" w:themeColor="text1"/>
          <w:sz w:val="22"/>
          <w:szCs w:val="22"/>
        </w:rPr>
        <w:t>Partnership board member B, Blackpool</w:t>
      </w:r>
      <w:r w:rsidRPr="00CF776A">
        <w:rPr>
          <w:rFonts w:ascii="Calibri" w:hAnsi="Calibri" w:cs="Calibri"/>
          <w:color w:val="000000" w:themeColor="text1"/>
          <w:sz w:val="22"/>
          <w:szCs w:val="22"/>
        </w:rPr>
        <w:t xml:space="preserve">) </w:t>
      </w:r>
    </w:p>
    <w:p w:rsidR="008D76F8" w:rsidRPr="00CF776A" w:rsidP="00197CCD">
      <w:pPr>
        <w:spacing w:after="0"/>
        <w:ind w:left="720"/>
        <w:jc w:val="both"/>
        <w:rPr>
          <w:rFonts w:ascii="Calibri" w:hAnsi="Calibri" w:cs="Calibri"/>
          <w:color w:val="000000" w:themeColor="text1"/>
          <w:sz w:val="22"/>
          <w:szCs w:val="22"/>
        </w:rPr>
      </w:pPr>
    </w:p>
    <w:p w:rsidR="008D76F8" w:rsidRPr="00CF776A" w:rsidP="00197CCD">
      <w:pPr>
        <w:spacing w:after="0"/>
        <w:ind w:left="720"/>
        <w:jc w:val="both"/>
        <w:rPr>
          <w:rFonts w:ascii="Calibri" w:hAnsi="Calibri" w:cs="Calibri"/>
          <w:color w:val="000000" w:themeColor="text1"/>
          <w:sz w:val="22"/>
          <w:szCs w:val="22"/>
        </w:rPr>
      </w:pPr>
      <w:r w:rsidRPr="00CF776A">
        <w:rPr>
          <w:rFonts w:ascii="Calibri" w:hAnsi="Calibri" w:cs="Calibri"/>
          <w:color w:val="000000" w:themeColor="text1"/>
          <w:sz w:val="22"/>
          <w:szCs w:val="22"/>
        </w:rPr>
        <w:t>“For the students who’ve used our alternative provision, we’ve seen a 73% reduction in suspensions and a 21% increase in attendance from one year to the next. These are some of the most challenging pupils – several would almost certainly have been permanently excluded without that provision.” (</w:t>
      </w:r>
      <w:r w:rsidRPr="00CF776A">
        <w:rPr>
          <w:rFonts w:ascii="Calibri" w:hAnsi="Calibri" w:cs="Calibri"/>
          <w:i/>
          <w:iCs/>
          <w:color w:val="000000" w:themeColor="text1"/>
          <w:sz w:val="22"/>
          <w:szCs w:val="22"/>
        </w:rPr>
        <w:t>Secondary Headteacher, Stoke-on-Trent</w:t>
      </w:r>
      <w:r w:rsidRPr="00CF776A">
        <w:rPr>
          <w:rFonts w:ascii="Calibri" w:hAnsi="Calibri" w:cs="Calibri"/>
          <w:color w:val="000000" w:themeColor="text1"/>
          <w:sz w:val="22"/>
          <w:szCs w:val="22"/>
        </w:rPr>
        <w:t>)</w:t>
      </w:r>
    </w:p>
    <w:p w:rsidR="008D76F8" w:rsidRPr="00CF776A" w:rsidP="00197CCD">
      <w:pPr>
        <w:spacing w:after="0"/>
        <w:ind w:left="720"/>
        <w:jc w:val="both"/>
        <w:rPr>
          <w:rFonts w:ascii="Calibri" w:hAnsi="Calibri" w:cs="Calibri"/>
          <w:color w:val="000000" w:themeColor="text1"/>
          <w:sz w:val="22"/>
          <w:szCs w:val="22"/>
        </w:rPr>
      </w:pPr>
    </w:p>
    <w:p w:rsidR="008D76F8" w:rsidRPr="00CF776A" w:rsidP="00197CCD">
      <w:pPr>
        <w:spacing w:after="0"/>
        <w:ind w:left="720"/>
        <w:jc w:val="both"/>
        <w:rPr>
          <w:rFonts w:ascii="Calibri" w:hAnsi="Calibri" w:cs="Calibri"/>
          <w:color w:val="000000" w:themeColor="text1"/>
          <w:sz w:val="22"/>
          <w:szCs w:val="22"/>
        </w:rPr>
      </w:pPr>
      <w:r w:rsidRPr="00CF776A">
        <w:rPr>
          <w:rFonts w:ascii="Calibri" w:hAnsi="Calibri" w:cs="Calibri"/>
          <w:color w:val="000000" w:themeColor="text1"/>
          <w:sz w:val="22"/>
          <w:szCs w:val="22"/>
        </w:rPr>
        <w:t>“During the 2020/2021 academic year, Port Vale Foundation supported 114 young people… 85% of pupils reported an increase in attendance at school and improved behaviour during the school day and at home” (</w:t>
      </w:r>
      <w:r w:rsidRPr="00CF776A">
        <w:rPr>
          <w:rFonts w:ascii="Calibri" w:hAnsi="Calibri" w:cs="Calibri"/>
          <w:i/>
          <w:iCs/>
          <w:color w:val="000000" w:themeColor="text1"/>
          <w:sz w:val="22"/>
          <w:szCs w:val="22"/>
        </w:rPr>
        <w:t>Charity worker B, Blackpool</w:t>
      </w:r>
      <w:r w:rsidRPr="00CF776A">
        <w:rPr>
          <w:rFonts w:ascii="Calibri" w:hAnsi="Calibri" w:cs="Calibri"/>
          <w:color w:val="000000" w:themeColor="text1"/>
          <w:sz w:val="22"/>
          <w:szCs w:val="22"/>
        </w:rPr>
        <w:t xml:space="preserve">) </w:t>
      </w:r>
    </w:p>
    <w:p w:rsidR="008D76F8" w:rsidRPr="00CF776A" w:rsidP="00197CCD">
      <w:pPr>
        <w:spacing w:after="0"/>
        <w:ind w:left="72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Stakeholders generally viewed these interventions positively and reported improvements in relationships between schools, families, and support services. </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ind w:left="720"/>
        <w:jc w:val="both"/>
        <w:rPr>
          <w:rFonts w:ascii="Calibri" w:hAnsi="Calibri" w:cs="Calibri"/>
          <w:color w:val="000000" w:themeColor="text1"/>
          <w:sz w:val="22"/>
          <w:szCs w:val="22"/>
        </w:rPr>
      </w:pPr>
      <w:r w:rsidRPr="00CF776A">
        <w:rPr>
          <w:rFonts w:ascii="Calibri" w:hAnsi="Calibri" w:cs="Calibri"/>
          <w:color w:val="000000" w:themeColor="text1"/>
          <w:sz w:val="22"/>
          <w:szCs w:val="22"/>
        </w:rPr>
        <w:t>“Relational working was at the heart of everything we did, which is why things have been able to continue afterwards. It hasn’t been formal memorandums of understanding that have sustained the opportunity area legacy in Bradford – it’s been relationships.” (</w:t>
      </w:r>
      <w:r w:rsidRPr="00CF776A">
        <w:rPr>
          <w:rFonts w:ascii="Calibri" w:hAnsi="Calibri" w:cs="Calibri"/>
          <w:i/>
          <w:iCs/>
          <w:color w:val="000000" w:themeColor="text1"/>
          <w:sz w:val="22"/>
          <w:szCs w:val="22"/>
        </w:rPr>
        <w:t>Partnership board member C, Bradford</w:t>
      </w:r>
      <w:r w:rsidRPr="00CF776A">
        <w:rPr>
          <w:rFonts w:ascii="Calibri" w:hAnsi="Calibri" w:cs="Calibri"/>
          <w:color w:val="000000" w:themeColor="text1"/>
          <w:sz w:val="22"/>
          <w:szCs w:val="22"/>
        </w:rPr>
        <w:t xml:space="preserve">) </w:t>
      </w:r>
    </w:p>
    <w:p w:rsidR="008D76F8" w:rsidRPr="00CF776A" w:rsidP="00197CCD">
      <w:pPr>
        <w:spacing w:after="0"/>
        <w:ind w:left="72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The evidence therefore suggests that place-based initiatives can help address</w:t>
      </w:r>
      <w:r w:rsidRPr="00CF776A">
        <w:rPr>
          <w:rFonts w:ascii="Calibri" w:hAnsi="Calibri" w:cs="Calibri"/>
          <w:color w:val="000000" w:themeColor="text1"/>
          <w:sz w:val="22"/>
          <w:szCs w:val="22"/>
        </w:rPr>
        <w:t xml:space="preserve"> emerging</w:t>
      </w:r>
      <w:r w:rsidRPr="00CF776A">
        <w:rPr>
          <w:rFonts w:ascii="Calibri" w:hAnsi="Calibri" w:cs="Calibri"/>
          <w:color w:val="000000" w:themeColor="text1"/>
          <w:sz w:val="22"/>
          <w:szCs w:val="22"/>
        </w:rPr>
        <w:t xml:space="preserve"> local problems when they provide schools with additional capacity and resources.</w:t>
      </w:r>
    </w:p>
    <w:p w:rsidR="008D76F8" w:rsidRPr="00CF776A" w:rsidP="00197CCD">
      <w:pPr>
        <w:spacing w:after="0"/>
        <w:jc w:val="both"/>
        <w:rPr>
          <w:rFonts w:ascii="Calibri" w:hAnsi="Calibri" w:cs="Calibri"/>
          <w:b/>
          <w:bCs/>
          <w:color w:val="000000" w:themeColor="text1"/>
          <w:sz w:val="22"/>
          <w:szCs w:val="22"/>
        </w:rPr>
      </w:pPr>
    </w:p>
    <w:p w:rsidR="008D76F8" w:rsidRPr="00CF776A" w:rsidP="00197CCD">
      <w:pPr>
        <w:spacing w:after="0"/>
        <w:jc w:val="both"/>
        <w:rPr>
          <w:rFonts w:ascii="Calibri" w:hAnsi="Calibri" w:cs="Calibri"/>
          <w:b/>
          <w:bCs/>
          <w:color w:val="000000" w:themeColor="text1"/>
          <w:sz w:val="22"/>
          <w:szCs w:val="22"/>
        </w:rPr>
      </w:pPr>
      <w:r w:rsidRPr="00CF776A">
        <w:rPr>
          <w:rFonts w:ascii="Calibri" w:hAnsi="Calibri" w:cs="Calibri"/>
          <w:b/>
          <w:bCs/>
          <w:color w:val="000000" w:themeColor="text1"/>
          <w:sz w:val="22"/>
          <w:szCs w:val="22"/>
        </w:rPr>
        <w:t xml:space="preserve">Attainment improved, but gains were </w:t>
      </w:r>
      <w:r w:rsidRPr="00CF776A">
        <w:rPr>
          <w:rFonts w:ascii="Calibri" w:hAnsi="Calibri" w:cs="Calibri"/>
          <w:b/>
          <w:bCs/>
          <w:color w:val="000000" w:themeColor="text1"/>
          <w:sz w:val="22"/>
          <w:szCs w:val="22"/>
        </w:rPr>
        <w:t>small</w:t>
      </w:r>
      <w:r w:rsidRPr="00CF776A">
        <w:rPr>
          <w:rFonts w:ascii="Calibri" w:hAnsi="Calibri" w:cs="Calibri"/>
          <w:b/>
          <w:bCs/>
          <w:color w:val="000000" w:themeColor="text1"/>
          <w:sz w:val="22"/>
          <w:szCs w:val="22"/>
        </w:rPr>
        <w:t xml:space="preserve"> and uneven</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Our aggregate analysis suggests a mixed picture regarding attainment.</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At Key Stage 2, Opportunity Areas experienced a short-lived improvement shortly after programme implementation. </w:t>
      </w:r>
      <w:r w:rsidRPr="00CF776A">
        <w:rPr>
          <w:rFonts w:ascii="Calibri" w:hAnsi="Calibri" w:cs="Calibri"/>
          <w:color w:val="000000" w:themeColor="text1"/>
          <w:sz w:val="22"/>
          <w:szCs w:val="22"/>
        </w:rPr>
        <w:t xml:space="preserve">As shown in figure </w:t>
      </w:r>
      <w:r w:rsidRPr="00CF776A">
        <w:rPr>
          <w:rFonts w:ascii="Calibri" w:hAnsi="Calibri" w:cs="Calibri"/>
          <w:color w:val="000000" w:themeColor="text1"/>
          <w:sz w:val="22"/>
          <w:szCs w:val="22"/>
        </w:rPr>
        <w:t>4,</w:t>
      </w:r>
      <w:r w:rsidRPr="00CF776A">
        <w:rPr>
          <w:rFonts w:ascii="Calibri" w:hAnsi="Calibri" w:cs="Calibri"/>
          <w:color w:val="000000" w:themeColor="text1"/>
          <w:sz w:val="22"/>
          <w:szCs w:val="22"/>
        </w:rPr>
        <w:t xml:space="preserve"> </w:t>
      </w:r>
      <w:r w:rsidRPr="00CF776A">
        <w:rPr>
          <w:rFonts w:ascii="Calibri" w:hAnsi="Calibri" w:cs="Calibri"/>
          <w:color w:val="000000" w:themeColor="text1"/>
          <w:sz w:val="22"/>
          <w:szCs w:val="22"/>
        </w:rPr>
        <w:t xml:space="preserve">In 2016-17, attainment briefly exceeded national averages before returning to previous patterns. This suggests a short-term gain that was not sustained. </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line="240" w:lineRule="auto"/>
        <w:jc w:val="both"/>
        <w:rPr>
          <w:rFonts w:ascii="Calibri" w:eastAsia="Aptos" w:hAnsi="Calibri" w:cs="Calibri"/>
          <w:iCs/>
          <w:color w:val="000000" w:themeColor="text1"/>
          <w:sz w:val="22"/>
          <w:szCs w:val="22"/>
        </w:rPr>
      </w:pPr>
      <w:r w:rsidRPr="00CF776A">
        <w:rPr>
          <w:rFonts w:ascii="Calibri" w:eastAsia="Aptos" w:hAnsi="Calibri" w:cs="Calibri"/>
          <w:iCs/>
          <w:color w:val="000000" w:themeColor="text1"/>
          <w:sz w:val="22"/>
          <w:szCs w:val="22"/>
        </w:rPr>
        <w:t xml:space="preserve">Figure </w:t>
      </w:r>
      <w:r w:rsidRPr="00CF776A">
        <w:rPr>
          <w:rFonts w:ascii="Calibri" w:eastAsia="Aptos" w:hAnsi="Calibri" w:cs="Calibri"/>
          <w:iCs/>
          <w:color w:val="000000" w:themeColor="text1"/>
          <w:sz w:val="22"/>
          <w:szCs w:val="22"/>
        </w:rPr>
        <w:t>4</w:t>
      </w:r>
      <w:r w:rsidRPr="00CF776A">
        <w:rPr>
          <w:rFonts w:ascii="Calibri" w:eastAsia="Aptos" w:hAnsi="Calibri" w:cs="Calibri"/>
          <w:iCs/>
          <w:color w:val="000000" w:themeColor="text1"/>
          <w:sz w:val="22"/>
          <w:szCs w:val="22"/>
        </w:rPr>
        <w:t xml:space="preserve">. Aggregate </w:t>
      </w:r>
      <w:r w:rsidRPr="00CF776A">
        <w:rPr>
          <w:rFonts w:ascii="Calibri" w:eastAsia="Aptos" w:hAnsi="Calibri" w:cs="Calibri"/>
          <w:iCs/>
          <w:color w:val="000000" w:themeColor="text1"/>
          <w:sz w:val="22"/>
          <w:szCs w:val="22"/>
        </w:rPr>
        <w:t>p</w:t>
      </w:r>
      <w:r w:rsidRPr="00CF776A">
        <w:rPr>
          <w:rFonts w:ascii="Calibri" w:eastAsia="Aptos" w:hAnsi="Calibri" w:cs="Calibri"/>
          <w:iCs/>
          <w:color w:val="000000" w:themeColor="text1"/>
          <w:sz w:val="22"/>
          <w:szCs w:val="22"/>
        </w:rPr>
        <w:t xml:space="preserve">ercentage of KS2 meeting expected </w:t>
      </w:r>
      <w:r w:rsidRPr="00CF776A">
        <w:rPr>
          <w:rFonts w:ascii="Calibri" w:eastAsia="Aptos" w:hAnsi="Calibri" w:cs="Calibri"/>
          <w:iCs/>
          <w:color w:val="000000" w:themeColor="text1"/>
          <w:sz w:val="22"/>
          <w:szCs w:val="22"/>
        </w:rPr>
        <w:t xml:space="preserve">learning </w:t>
      </w:r>
      <w:r w:rsidRPr="00CF776A">
        <w:rPr>
          <w:rFonts w:ascii="Calibri" w:eastAsia="Aptos" w:hAnsi="Calibri" w:cs="Calibri"/>
          <w:iCs/>
          <w:color w:val="000000" w:themeColor="text1"/>
          <w:sz w:val="22"/>
          <w:szCs w:val="22"/>
        </w:rPr>
        <w:t xml:space="preserve">levels </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eastAsia="Aptos" w:hAnsi="Calibri" w:cs="Calibri"/>
          <w:noProof/>
          <w:color w:val="000000" w:themeColor="text1"/>
          <w:sz w:val="22"/>
          <w:szCs w:val="22"/>
        </w:rPr>
        <w:drawing>
          <wp:inline distT="0" distB="0" distL="0" distR="0">
            <wp:extent cx="5731510" cy="2810644"/>
            <wp:effectExtent l="0" t="0" r="2540" b="8890"/>
            <wp:docPr id="71846971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At Key Stage 4, evidence appears somewhat stronger.</w:t>
      </w:r>
    </w:p>
    <w:p w:rsidR="008D76F8" w:rsidRPr="00CF776A" w:rsidP="00197CCD">
      <w:pPr>
        <w:spacing w:after="0" w:line="240" w:lineRule="auto"/>
        <w:jc w:val="both"/>
        <w:rPr>
          <w:rFonts w:ascii="Calibri" w:eastAsia="Aptos" w:hAnsi="Calibri" w:cs="Calibri"/>
          <w:iCs/>
          <w:color w:val="000000" w:themeColor="text1"/>
          <w:sz w:val="22"/>
          <w:szCs w:val="22"/>
        </w:rPr>
      </w:pPr>
      <w:r w:rsidRPr="00CF776A">
        <w:rPr>
          <w:rFonts w:ascii="Calibri" w:eastAsia="Aptos" w:hAnsi="Calibri" w:cs="Calibri"/>
          <w:iCs/>
          <w:color w:val="000000" w:themeColor="text1"/>
          <w:sz w:val="22"/>
          <w:szCs w:val="22"/>
        </w:rPr>
        <w:t xml:space="preserve">Figure </w:t>
      </w:r>
      <w:r w:rsidRPr="00CF776A">
        <w:rPr>
          <w:rFonts w:ascii="Calibri" w:eastAsia="Aptos" w:hAnsi="Calibri" w:cs="Calibri"/>
          <w:iCs/>
          <w:color w:val="000000" w:themeColor="text1"/>
          <w:sz w:val="22"/>
          <w:szCs w:val="22"/>
        </w:rPr>
        <w:t>5</w:t>
      </w:r>
      <w:r w:rsidRPr="00CF776A">
        <w:rPr>
          <w:rFonts w:ascii="Calibri" w:eastAsia="Aptos" w:hAnsi="Calibri" w:cs="Calibri"/>
          <w:iCs/>
          <w:color w:val="000000" w:themeColor="text1"/>
          <w:sz w:val="22"/>
          <w:szCs w:val="22"/>
        </w:rPr>
        <w:t xml:space="preserve">:  Aggregate percentage of KS4 meeting expected learning levels. </w:t>
      </w:r>
    </w:p>
    <w:p w:rsidR="008D76F8" w:rsidRPr="00CF776A" w:rsidP="00197CCD">
      <w:pPr>
        <w:spacing w:after="0"/>
        <w:jc w:val="both"/>
        <w:rPr>
          <w:rFonts w:ascii="Calibri" w:hAnsi="Calibri" w:cs="Calibri"/>
          <w:color w:val="000000" w:themeColor="text1"/>
          <w:sz w:val="22"/>
          <w:szCs w:val="22"/>
        </w:rPr>
      </w:pPr>
      <w:r w:rsidRPr="00CF776A">
        <w:rPr>
          <w:rFonts w:ascii="Calibri" w:eastAsia="Aptos" w:hAnsi="Calibri" w:cs="Calibri"/>
          <w:noProof/>
          <w:color w:val="000000" w:themeColor="text1"/>
          <w:sz w:val="22"/>
          <w:szCs w:val="22"/>
        </w:rPr>
        <w:drawing>
          <wp:inline distT="0" distB="0" distL="0" distR="0">
            <wp:extent cx="5326878" cy="2435032"/>
            <wp:effectExtent l="0" t="0" r="7620" b="3810"/>
            <wp:docPr id="214316337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As shown in figure </w:t>
      </w:r>
      <w:r w:rsidRPr="00CF776A">
        <w:rPr>
          <w:rFonts w:ascii="Calibri" w:hAnsi="Calibri" w:cs="Calibri"/>
          <w:color w:val="000000" w:themeColor="text1"/>
          <w:sz w:val="22"/>
          <w:szCs w:val="22"/>
        </w:rPr>
        <w:t>5</w:t>
      </w:r>
      <w:r w:rsidRPr="00CF776A">
        <w:rPr>
          <w:rFonts w:ascii="Calibri" w:hAnsi="Calibri" w:cs="Calibri"/>
          <w:color w:val="000000" w:themeColor="text1"/>
          <w:sz w:val="22"/>
          <w:szCs w:val="22"/>
        </w:rPr>
        <w:t xml:space="preserve">, </w:t>
      </w:r>
      <w:r w:rsidRPr="00CF776A">
        <w:rPr>
          <w:rFonts w:ascii="Calibri" w:hAnsi="Calibri" w:cs="Calibri"/>
          <w:color w:val="000000" w:themeColor="text1"/>
          <w:sz w:val="22"/>
          <w:szCs w:val="22"/>
        </w:rPr>
        <w:t>t</w:t>
      </w:r>
      <w:r w:rsidRPr="00CF776A">
        <w:rPr>
          <w:rFonts w:ascii="Calibri" w:hAnsi="Calibri" w:cs="Calibri"/>
          <w:color w:val="000000" w:themeColor="text1"/>
          <w:sz w:val="22"/>
          <w:szCs w:val="22"/>
        </w:rPr>
        <w:t xml:space="preserve">he gap between Opportunity Areas and national attainment narrowed between 2016-17 and 2018-19. Similar improvements were observed among FSM pupils, with disadvantaged pupils making relative gains against national benchmarks. However, attainment gaps were not eliminated. Opportunity Area pupils continued to perform below national averages. </w:t>
      </w:r>
    </w:p>
    <w:p w:rsidR="008D76F8" w:rsidRPr="00CF776A" w:rsidP="00197CCD">
      <w:pPr>
        <w:spacing w:after="0"/>
        <w:jc w:val="both"/>
        <w:rPr>
          <w:rFonts w:ascii="Calibri" w:hAnsi="Calibri" w:cs="Calibri"/>
          <w:color w:val="000000" w:themeColor="text1"/>
          <w:sz w:val="22"/>
          <w:szCs w:val="22"/>
        </w:rPr>
      </w:pPr>
    </w:p>
    <w:p w:rsidR="008D76F8" w:rsidRPr="00CF776A" w:rsidP="00197CCD">
      <w:pPr>
        <w:pStyle w:val="ListParagraph"/>
        <w:spacing w:after="0"/>
        <w:jc w:val="both"/>
        <w:rPr>
          <w:rFonts w:ascii="Calibri" w:hAnsi="Calibri" w:cs="Calibri"/>
          <w:i/>
          <w:iCs/>
          <w:color w:val="000000" w:themeColor="text1"/>
          <w:sz w:val="22"/>
          <w:szCs w:val="22"/>
        </w:rPr>
      </w:pPr>
      <w:r w:rsidRPr="00CF776A">
        <w:rPr>
          <w:rFonts w:ascii="Calibri" w:hAnsi="Calibri" w:cs="Calibri"/>
          <w:color w:val="000000" w:themeColor="text1"/>
          <w:sz w:val="22"/>
          <w:szCs w:val="22"/>
        </w:rPr>
        <w:t xml:space="preserve">“It did reduce [exclusions], yeah, dramatically… it really </w:t>
      </w:r>
      <w:r w:rsidRPr="00CF776A">
        <w:rPr>
          <w:rFonts w:ascii="Calibri" w:hAnsi="Calibri" w:cs="Calibri"/>
          <w:color w:val="000000" w:themeColor="text1"/>
          <w:sz w:val="22"/>
          <w:szCs w:val="22"/>
        </w:rPr>
        <w:t>closed down</w:t>
      </w:r>
      <w:r w:rsidRPr="00CF776A">
        <w:rPr>
          <w:rFonts w:ascii="Calibri" w:hAnsi="Calibri" w:cs="Calibri"/>
          <w:color w:val="000000" w:themeColor="text1"/>
          <w:sz w:val="22"/>
          <w:szCs w:val="22"/>
        </w:rPr>
        <w:t xml:space="preserve"> the gap. But it still didn’t… close the gap in national exclusion rates.” (</w:t>
      </w:r>
      <w:r w:rsidRPr="00CF776A">
        <w:rPr>
          <w:rFonts w:ascii="Calibri" w:hAnsi="Calibri" w:cs="Calibri"/>
          <w:i/>
          <w:iCs/>
          <w:color w:val="000000" w:themeColor="text1"/>
          <w:sz w:val="22"/>
          <w:szCs w:val="22"/>
        </w:rPr>
        <w:t xml:space="preserve">Secondary Headteacher, Blackpool) </w:t>
      </w:r>
    </w:p>
    <w:p w:rsidR="008D76F8" w:rsidRPr="00CF776A" w:rsidP="00197CCD">
      <w:pPr>
        <w:pStyle w:val="ListParagraph"/>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These findings suggest that place-based programmes can improve outcomes, but the scale of improvement may be limited when underlying structural inequalities remain unchanged.</w:t>
      </w:r>
    </w:p>
    <w:p w:rsidR="008D76F8" w:rsidRPr="00CF776A" w:rsidP="00197CCD">
      <w:pPr>
        <w:spacing w:after="0"/>
        <w:jc w:val="both"/>
        <w:rPr>
          <w:rFonts w:ascii="Calibri" w:hAnsi="Calibri" w:cs="Calibri"/>
          <w:b/>
          <w:bCs/>
          <w:color w:val="000000" w:themeColor="text1"/>
          <w:sz w:val="22"/>
          <w:szCs w:val="22"/>
        </w:rPr>
      </w:pPr>
    </w:p>
    <w:p w:rsidR="008D76F8" w:rsidRPr="00CF776A" w:rsidP="00197CCD">
      <w:pPr>
        <w:spacing w:after="0"/>
        <w:jc w:val="both"/>
        <w:rPr>
          <w:rFonts w:ascii="Calibri" w:hAnsi="Calibri" w:cs="Calibri"/>
          <w:b/>
          <w:bCs/>
          <w:color w:val="000000" w:themeColor="text1"/>
          <w:sz w:val="22"/>
          <w:szCs w:val="22"/>
        </w:rPr>
      </w:pPr>
      <w:r w:rsidRPr="00CF776A">
        <w:rPr>
          <w:rFonts w:ascii="Calibri" w:hAnsi="Calibri" w:cs="Calibri"/>
          <w:b/>
          <w:bCs/>
          <w:color w:val="000000" w:themeColor="text1"/>
          <w:sz w:val="22"/>
          <w:szCs w:val="22"/>
        </w:rPr>
        <w:t>Sustainability and Capacity Constraints</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The most important lesson from the OA programme concerns sustainability. Interviews with school leaders, programme leads and partnership board members consistently highlighted that many interventions depended heavily on temporary resources. Once funding ended, schools frequently lacked the financial capacity to continue successful activities. </w:t>
      </w:r>
    </w:p>
    <w:p w:rsidR="008D76F8" w:rsidRPr="00CF776A" w:rsidP="00197CCD">
      <w:pPr>
        <w:spacing w:after="0"/>
        <w:jc w:val="both"/>
        <w:rPr>
          <w:rFonts w:ascii="Calibri" w:hAnsi="Calibri" w:cs="Calibri"/>
          <w:color w:val="000000" w:themeColor="text1"/>
          <w:sz w:val="22"/>
          <w:szCs w:val="22"/>
        </w:rPr>
      </w:pPr>
    </w:p>
    <w:p w:rsidR="008D76F8" w:rsidRPr="00CF776A" w:rsidP="00197CCD">
      <w:pPr>
        <w:pStyle w:val="ListParagraph"/>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“I think we made a pretty good stab at it. But the pity, as with so many of these grant type programs, is they stop, and you sort of reach a dead end, and people try to carry on some of the work. It’s </w:t>
      </w:r>
      <w:r w:rsidRPr="00CF776A">
        <w:rPr>
          <w:rFonts w:ascii="Calibri" w:hAnsi="Calibri" w:cs="Calibri"/>
          <w:color w:val="000000" w:themeColor="text1"/>
          <w:sz w:val="22"/>
          <w:szCs w:val="22"/>
        </w:rPr>
        <w:t>pretty difficult</w:t>
      </w:r>
      <w:r w:rsidRPr="00CF776A">
        <w:rPr>
          <w:rFonts w:ascii="Calibri" w:hAnsi="Calibri" w:cs="Calibri"/>
          <w:color w:val="000000" w:themeColor="text1"/>
          <w:sz w:val="22"/>
          <w:szCs w:val="22"/>
        </w:rPr>
        <w:t xml:space="preserve"> without funding.” (</w:t>
      </w:r>
      <w:r w:rsidRPr="00CF776A">
        <w:rPr>
          <w:rFonts w:ascii="Calibri" w:hAnsi="Calibri" w:cs="Calibri"/>
          <w:i/>
          <w:iCs/>
          <w:color w:val="000000" w:themeColor="text1"/>
          <w:sz w:val="22"/>
          <w:szCs w:val="22"/>
        </w:rPr>
        <w:t>Partnership board member, Hastings</w:t>
      </w:r>
      <w:r w:rsidRPr="00CF776A">
        <w:rPr>
          <w:rFonts w:ascii="Calibri" w:hAnsi="Calibri" w:cs="Calibri"/>
          <w:color w:val="000000" w:themeColor="text1"/>
          <w:sz w:val="22"/>
          <w:szCs w:val="22"/>
        </w:rPr>
        <w:t xml:space="preserve">) </w:t>
      </w:r>
    </w:p>
    <w:p w:rsidR="008D76F8" w:rsidRPr="00CF776A" w:rsidP="00197CCD">
      <w:pPr>
        <w:pStyle w:val="ListParagraph"/>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For example, in areas where exclusions and suspensions had been identified as priority concerns, funding enabled schools to employ inclusion workers, family support staff, attendance officers and specialist behavioural support teams. In some cases, exclusion rates fell during the funding period. However, these reductions often reflected intensive short-term support and additional staffing capacity rather than permanent changes to underlying conditions. Stakeholders reported that many of these positions disa</w:t>
      </w:r>
      <w:r w:rsidRPr="00CF776A">
        <w:rPr>
          <w:rFonts w:ascii="Calibri" w:hAnsi="Calibri" w:cs="Calibri"/>
          <w:color w:val="000000" w:themeColor="text1"/>
          <w:sz w:val="22"/>
          <w:szCs w:val="22"/>
        </w:rPr>
        <w:t xml:space="preserve">ppeared once funding ceased. </w:t>
      </w:r>
    </w:p>
    <w:p w:rsidR="008D76F8" w:rsidRPr="00CF776A" w:rsidP="00197CCD">
      <w:pPr>
        <w:spacing w:after="0"/>
        <w:jc w:val="both"/>
        <w:rPr>
          <w:rFonts w:ascii="Calibri" w:hAnsi="Calibri" w:cs="Calibri"/>
          <w:color w:val="000000" w:themeColor="text1"/>
          <w:sz w:val="22"/>
          <w:szCs w:val="22"/>
        </w:rPr>
      </w:pPr>
    </w:p>
    <w:p w:rsidR="008D76F8" w:rsidRPr="00CF776A" w:rsidP="00197CCD">
      <w:pPr>
        <w:pStyle w:val="ListParagraph"/>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“We put in attendance officers, family workers, behaviour mentors – the sort of people schools simply couldn’t afford before. Exclusions did fall while those roles were in place, but once the Opportunity Area funding stopped, most of those posts disappeared.” (</w:t>
      </w:r>
      <w:r w:rsidRPr="00CF776A">
        <w:rPr>
          <w:rFonts w:ascii="Calibri" w:hAnsi="Calibri" w:cs="Calibri"/>
          <w:i/>
          <w:iCs/>
          <w:color w:val="000000" w:themeColor="text1"/>
          <w:sz w:val="22"/>
          <w:szCs w:val="22"/>
        </w:rPr>
        <w:t xml:space="preserve">MAT </w:t>
      </w:r>
      <w:r w:rsidRPr="00CF776A">
        <w:rPr>
          <w:rFonts w:ascii="Calibri" w:hAnsi="Calibri" w:cs="Calibri"/>
          <w:i/>
          <w:iCs/>
          <w:color w:val="000000" w:themeColor="text1"/>
          <w:sz w:val="22"/>
          <w:szCs w:val="22"/>
        </w:rPr>
        <w:t>Lead</w:t>
      </w:r>
      <w:r w:rsidRPr="00CF776A">
        <w:rPr>
          <w:rFonts w:ascii="Calibri" w:hAnsi="Calibri" w:cs="Calibri"/>
          <w:i/>
          <w:iCs/>
          <w:color w:val="000000" w:themeColor="text1"/>
          <w:sz w:val="22"/>
          <w:szCs w:val="22"/>
        </w:rPr>
        <w:t>, Blackpool</w:t>
      </w:r>
      <w:r w:rsidRPr="00CF776A">
        <w:rPr>
          <w:rFonts w:ascii="Calibri" w:hAnsi="Calibri" w:cs="Calibri"/>
          <w:color w:val="000000" w:themeColor="text1"/>
          <w:sz w:val="22"/>
          <w:szCs w:val="22"/>
        </w:rPr>
        <w:t xml:space="preserve">) </w:t>
      </w:r>
    </w:p>
    <w:p w:rsidR="008D76F8" w:rsidRPr="00CF776A" w:rsidP="00197CCD">
      <w:pPr>
        <w:pStyle w:val="ListParagraph"/>
        <w:spacing w:after="0"/>
        <w:jc w:val="both"/>
        <w:rPr>
          <w:rFonts w:ascii="Calibri" w:hAnsi="Calibri" w:cs="Calibri"/>
          <w:color w:val="000000" w:themeColor="text1"/>
          <w:sz w:val="22"/>
          <w:szCs w:val="22"/>
        </w:rPr>
      </w:pPr>
    </w:p>
    <w:p w:rsidR="008D76F8" w:rsidRPr="00CF776A" w:rsidP="00197CCD">
      <w:pPr>
        <w:pStyle w:val="ListParagraph"/>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“Without the [OA] funding, because you’re only going to run something like that if the funding is there to release your staff… especially as budgets get tighter, as much as you might want to be altruistic and go out and spread love and joy, if there’s not the money to do so, then it’s not going to happen because we’re not a charity, and we’re not in a position to take our school funding, which is for our children, to then [use] somewhere else.” (</w:t>
      </w:r>
      <w:r w:rsidRPr="00CF776A">
        <w:rPr>
          <w:rFonts w:ascii="Calibri" w:hAnsi="Calibri" w:cs="Calibri"/>
          <w:i/>
          <w:iCs/>
          <w:color w:val="000000" w:themeColor="text1"/>
          <w:sz w:val="22"/>
          <w:szCs w:val="22"/>
        </w:rPr>
        <w:t>Secondary Deputy Headteacher, Bradford</w:t>
      </w:r>
      <w:r w:rsidRPr="00CF776A">
        <w:rPr>
          <w:rFonts w:ascii="Calibri" w:hAnsi="Calibri" w:cs="Calibri"/>
          <w:color w:val="000000" w:themeColor="text1"/>
          <w:sz w:val="22"/>
          <w:szCs w:val="22"/>
        </w:rPr>
        <w:t>)</w:t>
      </w:r>
    </w:p>
    <w:p w:rsidR="008D76F8" w:rsidRPr="00CF776A" w:rsidP="00197CCD">
      <w:pPr>
        <w:pStyle w:val="ListParagraph"/>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Similarly, attainment-focused interventions enabled schools to recruit specialist teaching assistants, literacy support staff, research champions and intervention coordinators. These staff introduced evidence-informed programmes and targeted support for disadvantaged pupils. However, many appointments were made on fixed-term contracts linked directly to OA funding. When the programme ended, schools frequently lacked the resources to retain staff and maintain the interventions. Consequently, much of the expe</w:t>
      </w:r>
      <w:r w:rsidRPr="00CF776A">
        <w:rPr>
          <w:rFonts w:ascii="Calibri" w:hAnsi="Calibri" w:cs="Calibri"/>
          <w:color w:val="000000" w:themeColor="text1"/>
          <w:sz w:val="22"/>
          <w:szCs w:val="22"/>
        </w:rPr>
        <w:t xml:space="preserve">rtise developed during the programme was lost. </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ind w:left="720"/>
        <w:jc w:val="both"/>
        <w:rPr>
          <w:rFonts w:ascii="Calibri" w:hAnsi="Calibri" w:cs="Calibri"/>
          <w:color w:val="000000" w:themeColor="text1"/>
          <w:sz w:val="22"/>
          <w:szCs w:val="22"/>
        </w:rPr>
      </w:pPr>
      <w:r w:rsidRPr="00CF776A">
        <w:rPr>
          <w:rFonts w:ascii="Calibri" w:hAnsi="Calibri" w:cs="Calibri"/>
          <w:color w:val="000000" w:themeColor="text1"/>
          <w:sz w:val="22"/>
          <w:szCs w:val="22"/>
        </w:rPr>
        <w:t>“It’s [KS3 Literacy Project] been really sustained in some pockets, but perhaps not as well sustained across the piece as we might have liked, and I think it needed more follow</w:t>
      </w:r>
      <w:r w:rsidRPr="00CF776A">
        <w:rPr>
          <w:rFonts w:ascii="Calibri" w:hAnsi="Calibri" w:cs="Calibri"/>
          <w:color w:val="000000" w:themeColor="text1"/>
          <w:sz w:val="22"/>
          <w:szCs w:val="22"/>
        </w:rPr>
        <w:noBreakHyphen/>
        <w:t>on funding… There just wasn’t that level of funding to sustain that project. It was the intensity that really made a difference and having that money to do the buy</w:t>
      </w:r>
      <w:r w:rsidRPr="00CF776A">
        <w:rPr>
          <w:rFonts w:ascii="Calibri" w:hAnsi="Calibri" w:cs="Calibri"/>
          <w:color w:val="000000" w:themeColor="text1"/>
          <w:sz w:val="22"/>
          <w:szCs w:val="22"/>
        </w:rPr>
        <w:noBreakHyphen/>
        <w:t xml:space="preserve">out that I think was </w:t>
      </w:r>
      <w:r w:rsidRPr="00CF776A">
        <w:rPr>
          <w:rFonts w:ascii="Calibri" w:hAnsi="Calibri" w:cs="Calibri"/>
          <w:color w:val="000000" w:themeColor="text1"/>
          <w:sz w:val="22"/>
          <w:szCs w:val="22"/>
        </w:rPr>
        <w:t>really important</w:t>
      </w:r>
      <w:r w:rsidRPr="00CF776A">
        <w:rPr>
          <w:rFonts w:ascii="Calibri" w:hAnsi="Calibri" w:cs="Calibri"/>
          <w:color w:val="000000" w:themeColor="text1"/>
          <w:sz w:val="22"/>
          <w:szCs w:val="22"/>
        </w:rPr>
        <w:t>.” (</w:t>
      </w:r>
      <w:r w:rsidRPr="00CF776A">
        <w:rPr>
          <w:rFonts w:ascii="Calibri" w:hAnsi="Calibri" w:cs="Calibri"/>
          <w:i/>
          <w:iCs/>
          <w:color w:val="000000" w:themeColor="text1"/>
          <w:sz w:val="22"/>
          <w:szCs w:val="22"/>
        </w:rPr>
        <w:t>Academic Associate, Blackpool</w:t>
      </w:r>
      <w:r w:rsidRPr="00CF776A">
        <w:rPr>
          <w:rFonts w:ascii="Calibri" w:hAnsi="Calibri" w:cs="Calibri"/>
          <w:color w:val="000000" w:themeColor="text1"/>
          <w:sz w:val="22"/>
          <w:szCs w:val="22"/>
        </w:rPr>
        <w:t xml:space="preserve">) </w:t>
      </w:r>
    </w:p>
    <w:p w:rsidR="008D76F8" w:rsidRPr="00CF776A" w:rsidP="00197CCD">
      <w:pPr>
        <w:spacing w:after="0"/>
        <w:ind w:left="720"/>
        <w:jc w:val="both"/>
        <w:rPr>
          <w:rFonts w:ascii="Calibri" w:hAnsi="Calibri" w:cs="Calibri"/>
          <w:color w:val="000000" w:themeColor="text1"/>
          <w:sz w:val="22"/>
          <w:szCs w:val="22"/>
        </w:rPr>
      </w:pPr>
    </w:p>
    <w:p w:rsidR="008D76F8" w:rsidRPr="00CF776A" w:rsidP="00197CCD">
      <w:pPr>
        <w:spacing w:after="0"/>
        <w:ind w:left="72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“If I were to do all of this again, I would say, you know the opportunity needs to be for a generation, at the very least, because, you know what I felt towards the end of the programme was that those children who happened to be in school during the life of the opportunity area got a better deal. But, if you followed on from that, because you weren’t born at a certain time…then you missed out on the benefit that those that had previously gone ahead of you had, and that didn’t seem right either. It needs to </w:t>
      </w:r>
      <w:r w:rsidRPr="00CF776A">
        <w:rPr>
          <w:rFonts w:ascii="Calibri" w:hAnsi="Calibri" w:cs="Calibri"/>
          <w:color w:val="000000" w:themeColor="text1"/>
          <w:sz w:val="22"/>
          <w:szCs w:val="22"/>
        </w:rPr>
        <w:t>be long-term and sustainable” (</w:t>
      </w:r>
      <w:r w:rsidRPr="00CF776A">
        <w:rPr>
          <w:rFonts w:ascii="Calibri" w:hAnsi="Calibri" w:cs="Calibri"/>
          <w:i/>
          <w:iCs/>
          <w:color w:val="000000" w:themeColor="text1"/>
          <w:sz w:val="22"/>
          <w:szCs w:val="22"/>
        </w:rPr>
        <w:t>Secondary</w:t>
      </w:r>
      <w:r w:rsidRPr="00CF776A">
        <w:rPr>
          <w:rFonts w:ascii="Calibri" w:hAnsi="Calibri" w:cs="Calibri"/>
          <w:color w:val="000000" w:themeColor="text1"/>
          <w:sz w:val="22"/>
          <w:szCs w:val="22"/>
        </w:rPr>
        <w:t xml:space="preserve"> </w:t>
      </w:r>
      <w:r w:rsidRPr="00CF776A">
        <w:rPr>
          <w:rFonts w:ascii="Calibri" w:hAnsi="Calibri" w:cs="Calibri"/>
          <w:i/>
          <w:iCs/>
          <w:color w:val="000000" w:themeColor="text1"/>
          <w:sz w:val="22"/>
          <w:szCs w:val="22"/>
        </w:rPr>
        <w:t>Headteacher, Blackpool</w:t>
      </w:r>
      <w:r w:rsidRPr="00CF776A">
        <w:rPr>
          <w:rFonts w:ascii="Calibri" w:hAnsi="Calibri" w:cs="Calibri"/>
          <w:color w:val="000000" w:themeColor="text1"/>
          <w:sz w:val="22"/>
          <w:szCs w:val="22"/>
        </w:rPr>
        <w:t xml:space="preserve">)      </w:t>
      </w:r>
    </w:p>
    <w:p w:rsidR="008D76F8" w:rsidRPr="00CF776A" w:rsidP="00197CCD">
      <w:pPr>
        <w:spacing w:after="0"/>
        <w:ind w:left="72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 </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The challenge therefore was not simply identifying effective interventions. Rather, it was creating sufficient long-term capacity within schools and local systems to sustain them. Where programmes rely on temporary staff, short-term grants and project-based funding, improvements are unlikely to become embedded within everyday practice.</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This finding has direct implications for Mission Coastal and Mission </w:t>
      </w:r>
      <w:r w:rsidRPr="00CF776A">
        <w:rPr>
          <w:rFonts w:ascii="Calibri" w:hAnsi="Calibri" w:cs="Calibri"/>
          <w:color w:val="000000" w:themeColor="text1"/>
          <w:sz w:val="22"/>
          <w:szCs w:val="22"/>
        </w:rPr>
        <w:t>North East</w:t>
      </w:r>
      <w:r w:rsidRPr="00CF776A">
        <w:rPr>
          <w:rFonts w:ascii="Calibri" w:hAnsi="Calibri" w:cs="Calibri"/>
          <w:color w:val="000000" w:themeColor="text1"/>
          <w:sz w:val="22"/>
          <w:szCs w:val="22"/>
        </w:rPr>
        <w:t>.</w:t>
      </w:r>
    </w:p>
    <w:p w:rsidR="008D76F8" w:rsidRPr="00CF776A" w:rsidP="00197CCD">
      <w:pPr>
        <w:spacing w:after="0"/>
        <w:jc w:val="both"/>
        <w:rPr>
          <w:rFonts w:ascii="Calibri" w:hAnsi="Calibri" w:cs="Calibri"/>
          <w:b/>
          <w:bCs/>
          <w:color w:val="000000" w:themeColor="text1"/>
          <w:sz w:val="22"/>
          <w:szCs w:val="22"/>
        </w:rPr>
      </w:pPr>
    </w:p>
    <w:p w:rsidR="008D76F8" w:rsidRPr="00CF776A" w:rsidP="00197CCD">
      <w:pPr>
        <w:spacing w:after="0"/>
        <w:jc w:val="both"/>
        <w:rPr>
          <w:rFonts w:ascii="Calibri" w:hAnsi="Calibri" w:cs="Calibri"/>
          <w:b/>
          <w:bCs/>
          <w:color w:val="000000" w:themeColor="text1"/>
          <w:sz w:val="22"/>
          <w:szCs w:val="22"/>
        </w:rPr>
      </w:pPr>
      <w:r w:rsidRPr="00CF776A">
        <w:rPr>
          <w:rFonts w:ascii="Calibri" w:hAnsi="Calibri" w:cs="Calibri"/>
          <w:b/>
          <w:bCs/>
          <w:color w:val="000000" w:themeColor="text1"/>
          <w:sz w:val="22"/>
          <w:szCs w:val="22"/>
        </w:rPr>
        <w:t>Lessons for Mission Coastal</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The findings are particularly relevant for coastal communities.</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Several Opportunity Areas, including Blackpool, Hastings, and the North Yorkshire Coast, share characteristics frequently associated with coastal educational disadvantage:</w:t>
      </w:r>
    </w:p>
    <w:p w:rsidR="008D76F8" w:rsidRPr="00CF776A" w:rsidP="00197CCD">
      <w:pPr>
        <w:pStyle w:val="ListParagraph"/>
        <w:numPr>
          <w:ilvl w:val="0"/>
          <w:numId w:val="13"/>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economic isolation</w:t>
      </w:r>
    </w:p>
    <w:p w:rsidR="008D76F8" w:rsidRPr="00CF776A" w:rsidP="00197CCD">
      <w:pPr>
        <w:pStyle w:val="ListParagraph"/>
        <w:numPr>
          <w:ilvl w:val="0"/>
          <w:numId w:val="13"/>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seasonal economies</w:t>
      </w:r>
    </w:p>
    <w:p w:rsidR="008D76F8" w:rsidRPr="00CF776A" w:rsidP="00197CCD">
      <w:pPr>
        <w:pStyle w:val="ListParagraph"/>
        <w:numPr>
          <w:ilvl w:val="0"/>
          <w:numId w:val="13"/>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recruitment challenges</w:t>
      </w:r>
    </w:p>
    <w:p w:rsidR="008D76F8" w:rsidRPr="00CF776A" w:rsidP="00197CCD">
      <w:pPr>
        <w:pStyle w:val="ListParagraph"/>
        <w:numPr>
          <w:ilvl w:val="0"/>
          <w:numId w:val="13"/>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higher deprivation</w:t>
      </w:r>
    </w:p>
    <w:p w:rsidR="008D76F8" w:rsidRPr="00CF776A" w:rsidP="00197CCD">
      <w:pPr>
        <w:pStyle w:val="ListParagraph"/>
        <w:numPr>
          <w:ilvl w:val="0"/>
          <w:numId w:val="13"/>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lower social mobility</w:t>
      </w:r>
    </w:p>
    <w:p w:rsidR="008D76F8" w:rsidRPr="00CF776A" w:rsidP="00197CCD">
      <w:pPr>
        <w:pStyle w:val="ListParagraph"/>
        <w:numPr>
          <w:ilvl w:val="0"/>
          <w:numId w:val="13"/>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weaker access to services</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The evidence suggests that coastal disadvantage cannot be addressed through isolated educational interventions alone. Successful strategies require integration across education, health, social care, employment, transport, and community development. </w:t>
      </w:r>
    </w:p>
    <w:p w:rsidR="008D76F8" w:rsidRPr="00CF776A" w:rsidP="00197CCD">
      <w:pPr>
        <w:spacing w:after="0"/>
        <w:jc w:val="both"/>
        <w:rPr>
          <w:rFonts w:ascii="Calibri" w:hAnsi="Calibri" w:cs="Calibri"/>
          <w:color w:val="000000" w:themeColor="text1"/>
          <w:sz w:val="22"/>
          <w:szCs w:val="22"/>
        </w:rPr>
      </w:pPr>
    </w:p>
    <w:p w:rsidR="008D76F8" w:rsidRPr="00CF776A" w:rsidP="00197CCD">
      <w:pPr>
        <w:pStyle w:val="ListParagraph"/>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“Hastings is a coastal town, so it has lower employment rates, poor transport links, and long</w:t>
      </w:r>
      <w:r w:rsidRPr="00CF776A">
        <w:rPr>
          <w:rFonts w:ascii="Calibri" w:hAnsi="Calibri" w:cs="Calibri"/>
          <w:color w:val="000000" w:themeColor="text1"/>
          <w:sz w:val="22"/>
          <w:szCs w:val="22"/>
        </w:rPr>
        <w:noBreakHyphen/>
        <w:t xml:space="preserve">standing issues in terms of the schools and their performance… You can’t just tackle the issues in Hastings just by education. It </w:t>
      </w:r>
      <w:r w:rsidRPr="00CF776A">
        <w:rPr>
          <w:rFonts w:ascii="Calibri" w:hAnsi="Calibri" w:cs="Calibri"/>
          <w:color w:val="000000" w:themeColor="text1"/>
          <w:sz w:val="22"/>
          <w:szCs w:val="22"/>
        </w:rPr>
        <w:t>has to</w:t>
      </w:r>
      <w:r w:rsidRPr="00CF776A">
        <w:rPr>
          <w:rFonts w:ascii="Calibri" w:hAnsi="Calibri" w:cs="Calibri"/>
          <w:color w:val="000000" w:themeColor="text1"/>
          <w:sz w:val="22"/>
          <w:szCs w:val="22"/>
        </w:rPr>
        <w:t xml:space="preserve"> be multi</w:t>
      </w:r>
      <w:r w:rsidRPr="00CF776A">
        <w:rPr>
          <w:rFonts w:ascii="Calibri" w:hAnsi="Calibri" w:cs="Calibri"/>
          <w:color w:val="000000" w:themeColor="text1"/>
          <w:sz w:val="22"/>
          <w:szCs w:val="22"/>
        </w:rPr>
        <w:noBreakHyphen/>
      </w:r>
      <w:r w:rsidRPr="00CF776A">
        <w:rPr>
          <w:rFonts w:ascii="Calibri" w:hAnsi="Calibri" w:cs="Calibri"/>
          <w:color w:val="000000" w:themeColor="text1"/>
          <w:sz w:val="22"/>
          <w:szCs w:val="22"/>
        </w:rPr>
        <w:t>agency. The Hastings Opportunity Area did try to do this – it wasn’t just education around the table. It was also the District Council, the NHS, the voluntary and community sector, and employers.” (</w:t>
      </w:r>
      <w:r w:rsidRPr="00CF776A">
        <w:rPr>
          <w:rFonts w:ascii="Calibri" w:hAnsi="Calibri" w:cs="Calibri"/>
          <w:i/>
          <w:iCs/>
          <w:color w:val="000000" w:themeColor="text1"/>
          <w:sz w:val="22"/>
          <w:szCs w:val="22"/>
        </w:rPr>
        <w:t>Partnership board member A, Hastings</w:t>
      </w:r>
      <w:r w:rsidRPr="00CF776A">
        <w:rPr>
          <w:rFonts w:ascii="Calibri" w:hAnsi="Calibri" w:cs="Calibri"/>
          <w:color w:val="000000" w:themeColor="text1"/>
          <w:sz w:val="22"/>
          <w:szCs w:val="22"/>
        </w:rPr>
        <w:t xml:space="preserve">) </w:t>
      </w:r>
    </w:p>
    <w:p w:rsidR="008D76F8" w:rsidRPr="00CF776A" w:rsidP="00197CCD">
      <w:pPr>
        <w:pStyle w:val="ListParagraph"/>
        <w:spacing w:after="0"/>
        <w:jc w:val="both"/>
        <w:rPr>
          <w:rFonts w:ascii="Calibri" w:hAnsi="Calibri" w:cs="Calibri"/>
          <w:color w:val="000000" w:themeColor="text1"/>
          <w:sz w:val="22"/>
          <w:szCs w:val="22"/>
        </w:rPr>
      </w:pPr>
    </w:p>
    <w:p w:rsidR="008D76F8" w:rsidRPr="00CF776A" w:rsidP="00197CCD">
      <w:pPr>
        <w:pStyle w:val="ListParagraph"/>
        <w:spacing w:after="0"/>
        <w:jc w:val="both"/>
        <w:rPr>
          <w:rFonts w:ascii="Calibri" w:hAnsi="Calibri" w:cs="Calibri"/>
          <w:i/>
          <w:iCs/>
          <w:color w:val="000000" w:themeColor="text1"/>
          <w:sz w:val="22"/>
          <w:szCs w:val="22"/>
        </w:rPr>
      </w:pPr>
      <w:r w:rsidRPr="00CF776A">
        <w:rPr>
          <w:rFonts w:ascii="Calibri" w:hAnsi="Calibri" w:cs="Calibri"/>
          <w:color w:val="000000" w:themeColor="text1"/>
          <w:sz w:val="22"/>
          <w:szCs w:val="22"/>
        </w:rPr>
        <w:t>“You’re not going to change social mobility in three years. You’re not going to change social mobility through education alone… if you’re going to do this properly… you need to be taking a 20</w:t>
      </w:r>
      <w:r w:rsidRPr="00CF776A">
        <w:rPr>
          <w:rFonts w:ascii="Calibri" w:hAnsi="Calibri" w:cs="Calibri"/>
          <w:color w:val="000000" w:themeColor="text1"/>
          <w:sz w:val="22"/>
          <w:szCs w:val="22"/>
        </w:rPr>
        <w:noBreakHyphen/>
      </w:r>
      <w:r w:rsidRPr="00CF776A">
        <w:rPr>
          <w:rFonts w:ascii="Calibri" w:hAnsi="Calibri" w:cs="Calibri"/>
          <w:color w:val="000000" w:themeColor="text1"/>
          <w:sz w:val="22"/>
          <w:szCs w:val="22"/>
        </w:rPr>
        <w:t>year view. Too often national programmes distract, displace and then disappear, leaving communities further behind once short</w:t>
      </w:r>
      <w:r w:rsidRPr="00CF776A">
        <w:rPr>
          <w:rFonts w:ascii="Calibri" w:hAnsi="Calibri" w:cs="Calibri"/>
          <w:color w:val="000000" w:themeColor="text1"/>
          <w:sz w:val="22"/>
          <w:szCs w:val="22"/>
        </w:rPr>
        <w:noBreakHyphen/>
        <w:t>term funding ends and external agencies withdraw.” (</w:t>
      </w:r>
      <w:r w:rsidRPr="00CF776A">
        <w:rPr>
          <w:rFonts w:ascii="Calibri" w:hAnsi="Calibri" w:cs="Calibri"/>
          <w:i/>
          <w:iCs/>
          <w:color w:val="000000" w:themeColor="text1"/>
          <w:sz w:val="22"/>
          <w:szCs w:val="22"/>
        </w:rPr>
        <w:t>Charity CEO, Blackpool)</w:t>
      </w:r>
    </w:p>
    <w:p w:rsidR="008D76F8" w:rsidRPr="00CF776A" w:rsidP="00197CCD">
      <w:pPr>
        <w:pStyle w:val="ListParagraph"/>
        <w:spacing w:after="0"/>
        <w:jc w:val="both"/>
        <w:rPr>
          <w:rFonts w:ascii="Calibri" w:hAnsi="Calibri" w:cs="Calibri"/>
          <w:i/>
          <w:iCs/>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Place-based investment should therefore be viewed as part of a broader regeneration strategy rather than solely an education programme.</w:t>
      </w:r>
    </w:p>
    <w:p w:rsidR="008D76F8" w:rsidRPr="00CF776A" w:rsidP="00197CCD">
      <w:pPr>
        <w:spacing w:after="0"/>
        <w:jc w:val="both"/>
        <w:rPr>
          <w:rFonts w:ascii="Calibri" w:hAnsi="Calibri" w:cs="Calibri"/>
          <w:b/>
          <w:bCs/>
          <w:color w:val="000000" w:themeColor="text1"/>
          <w:sz w:val="22"/>
          <w:szCs w:val="22"/>
        </w:rPr>
      </w:pPr>
    </w:p>
    <w:p w:rsidR="008D76F8" w:rsidRPr="00CF776A" w:rsidP="00197CCD">
      <w:pPr>
        <w:spacing w:after="0"/>
        <w:jc w:val="both"/>
        <w:rPr>
          <w:rFonts w:ascii="Calibri" w:hAnsi="Calibri" w:cs="Calibri"/>
          <w:b/>
          <w:bCs/>
          <w:color w:val="000000" w:themeColor="text1"/>
          <w:sz w:val="22"/>
          <w:szCs w:val="22"/>
        </w:rPr>
      </w:pPr>
      <w:r w:rsidRPr="00CF776A">
        <w:rPr>
          <w:rFonts w:ascii="Calibri" w:hAnsi="Calibri" w:cs="Calibri"/>
          <w:b/>
          <w:bCs/>
          <w:color w:val="000000" w:themeColor="text1"/>
          <w:sz w:val="22"/>
          <w:szCs w:val="22"/>
        </w:rPr>
        <w:t xml:space="preserve">Lessons for Mission </w:t>
      </w:r>
      <w:r w:rsidRPr="00CF776A">
        <w:rPr>
          <w:rFonts w:ascii="Calibri" w:hAnsi="Calibri" w:cs="Calibri"/>
          <w:b/>
          <w:bCs/>
          <w:color w:val="000000" w:themeColor="text1"/>
          <w:sz w:val="22"/>
          <w:szCs w:val="22"/>
        </w:rPr>
        <w:t>North East</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The </w:t>
      </w:r>
      <w:r w:rsidRPr="00CF776A">
        <w:rPr>
          <w:rFonts w:ascii="Calibri" w:hAnsi="Calibri" w:cs="Calibri"/>
          <w:color w:val="000000" w:themeColor="text1"/>
          <w:sz w:val="22"/>
          <w:szCs w:val="22"/>
        </w:rPr>
        <w:t>North East</w:t>
      </w:r>
      <w:r w:rsidRPr="00CF776A">
        <w:rPr>
          <w:rFonts w:ascii="Calibri" w:hAnsi="Calibri" w:cs="Calibri"/>
          <w:color w:val="000000" w:themeColor="text1"/>
          <w:sz w:val="22"/>
          <w:szCs w:val="22"/>
        </w:rPr>
        <w:t xml:space="preserve"> faces many similar challenges.</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Previous research demonstrates persistent educational inequalities associated with poverty, school segregation, and place-based disadvantage across parts of the region. Many communities continue to </w:t>
      </w:r>
      <w:r w:rsidRPr="00CF776A">
        <w:rPr>
          <w:rFonts w:ascii="Calibri" w:hAnsi="Calibri" w:cs="Calibri"/>
          <w:color w:val="000000" w:themeColor="text1"/>
          <w:sz w:val="22"/>
          <w:szCs w:val="22"/>
        </w:rPr>
        <w:t xml:space="preserve">experience long-term economic restructuring, high child poverty, and lower educational outcomes. These conditions closely resemble those observed in several Opportunity Areas. </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ind w:left="720"/>
        <w:jc w:val="both"/>
        <w:rPr>
          <w:rFonts w:ascii="Calibri" w:hAnsi="Calibri" w:cs="Calibri"/>
          <w:color w:val="000000" w:themeColor="text1"/>
          <w:sz w:val="22"/>
          <w:szCs w:val="22"/>
        </w:rPr>
      </w:pPr>
      <w:r w:rsidRPr="00CF776A">
        <w:rPr>
          <w:rFonts w:ascii="Calibri" w:hAnsi="Calibri" w:cs="Calibri"/>
          <w:color w:val="000000" w:themeColor="text1"/>
          <w:sz w:val="22"/>
          <w:szCs w:val="22"/>
        </w:rPr>
        <w:t>“There are things around in Bradford around high levels of disadvantage layered up with other vulnerabilities… significant levels of child poverty, multi</w:t>
      </w:r>
      <w:r w:rsidRPr="00CF776A">
        <w:rPr>
          <w:rFonts w:ascii="Calibri" w:hAnsi="Calibri" w:cs="Calibri"/>
          <w:color w:val="000000" w:themeColor="text1"/>
          <w:sz w:val="22"/>
          <w:szCs w:val="22"/>
        </w:rPr>
        <w:noBreakHyphen/>
        <w:t>generational economic disengagement, bilingualism, and some of the familial structures within some of our communities… that provide really multi</w:t>
      </w:r>
      <w:r w:rsidRPr="00CF776A">
        <w:rPr>
          <w:rFonts w:ascii="Calibri" w:hAnsi="Calibri" w:cs="Calibri"/>
          <w:color w:val="000000" w:themeColor="text1"/>
          <w:sz w:val="22"/>
          <w:szCs w:val="22"/>
        </w:rPr>
        <w:noBreakHyphen/>
        <w:t>layered challenges.” (</w:t>
      </w:r>
      <w:r w:rsidRPr="00CF776A">
        <w:rPr>
          <w:rFonts w:ascii="Calibri" w:hAnsi="Calibri" w:cs="Calibri"/>
          <w:i/>
          <w:iCs/>
          <w:color w:val="000000" w:themeColor="text1"/>
          <w:sz w:val="22"/>
          <w:szCs w:val="22"/>
        </w:rPr>
        <w:t>Partnership board member A, Bradford</w:t>
      </w:r>
      <w:r w:rsidRPr="00CF776A">
        <w:rPr>
          <w:rFonts w:ascii="Calibri" w:hAnsi="Calibri" w:cs="Calibri"/>
          <w:color w:val="000000" w:themeColor="text1"/>
          <w:sz w:val="22"/>
          <w:szCs w:val="22"/>
        </w:rPr>
        <w:t>)</w:t>
      </w:r>
    </w:p>
    <w:p w:rsidR="008D76F8" w:rsidRPr="00CF776A" w:rsidP="00197CCD">
      <w:pPr>
        <w:spacing w:after="0"/>
        <w:ind w:left="720"/>
        <w:jc w:val="both"/>
        <w:rPr>
          <w:rFonts w:ascii="Calibri" w:hAnsi="Calibri" w:cs="Calibri"/>
          <w:color w:val="000000" w:themeColor="text1"/>
          <w:sz w:val="22"/>
          <w:szCs w:val="22"/>
        </w:rPr>
      </w:pPr>
    </w:p>
    <w:p w:rsidR="008D76F8" w:rsidRPr="00CF776A" w:rsidP="00197CCD">
      <w:pPr>
        <w:spacing w:after="0"/>
        <w:ind w:left="72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“Everybody’s firefighting, aren’t they, all the time </w:t>
      </w:r>
      <w:r w:rsidRPr="00CF776A">
        <w:rPr>
          <w:rFonts w:ascii="Calibri" w:hAnsi="Calibri" w:cs="Calibri"/>
          <w:color w:val="000000" w:themeColor="text1"/>
          <w:sz w:val="22"/>
          <w:szCs w:val="22"/>
        </w:rPr>
        <w:t>at the moment</w:t>
      </w:r>
      <w:r w:rsidRPr="00CF776A">
        <w:rPr>
          <w:rFonts w:ascii="Calibri" w:hAnsi="Calibri" w:cs="Calibri"/>
          <w:color w:val="000000" w:themeColor="text1"/>
          <w:sz w:val="22"/>
          <w:szCs w:val="22"/>
        </w:rPr>
        <w:t xml:space="preserve">, rather than </w:t>
      </w:r>
      <w:r w:rsidRPr="00CF776A">
        <w:rPr>
          <w:rFonts w:ascii="Calibri" w:hAnsi="Calibri" w:cs="Calibri"/>
          <w:color w:val="000000" w:themeColor="text1"/>
          <w:sz w:val="22"/>
          <w:szCs w:val="22"/>
        </w:rPr>
        <w:t>actually doing</w:t>
      </w:r>
      <w:r w:rsidRPr="00CF776A">
        <w:rPr>
          <w:rFonts w:ascii="Calibri" w:hAnsi="Calibri" w:cs="Calibri"/>
          <w:color w:val="000000" w:themeColor="text1"/>
          <w:sz w:val="22"/>
          <w:szCs w:val="22"/>
        </w:rPr>
        <w:t xml:space="preserve"> any of the preventative work behind the scenes… They were just firefighting… you’re dragging people out of the river, but you’re not looking about why they’re falling in.” (</w:t>
      </w:r>
      <w:r w:rsidRPr="00CF776A">
        <w:rPr>
          <w:rFonts w:ascii="Calibri" w:hAnsi="Calibri" w:cs="Calibri"/>
          <w:i/>
          <w:iCs/>
          <w:color w:val="000000" w:themeColor="text1"/>
          <w:sz w:val="22"/>
          <w:szCs w:val="22"/>
        </w:rPr>
        <w:t>National education lead, Stoke-on-Trent</w:t>
      </w:r>
      <w:r w:rsidRPr="00CF776A">
        <w:rPr>
          <w:rFonts w:ascii="Calibri" w:hAnsi="Calibri" w:cs="Calibri"/>
          <w:color w:val="000000" w:themeColor="text1"/>
          <w:sz w:val="22"/>
          <w:szCs w:val="22"/>
        </w:rPr>
        <w:t>)</w:t>
      </w:r>
    </w:p>
    <w:p w:rsidR="008D76F8" w:rsidRPr="00CF776A" w:rsidP="00197CCD">
      <w:pPr>
        <w:spacing w:after="0"/>
        <w:ind w:left="72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The OA experience suggests that Mission </w:t>
      </w:r>
      <w:r w:rsidRPr="00CF776A">
        <w:rPr>
          <w:rFonts w:ascii="Calibri" w:hAnsi="Calibri" w:cs="Calibri"/>
          <w:color w:val="000000" w:themeColor="text1"/>
          <w:sz w:val="22"/>
          <w:szCs w:val="22"/>
        </w:rPr>
        <w:t>North East</w:t>
      </w:r>
      <w:r w:rsidRPr="00CF776A">
        <w:rPr>
          <w:rFonts w:ascii="Calibri" w:hAnsi="Calibri" w:cs="Calibri"/>
          <w:color w:val="000000" w:themeColor="text1"/>
          <w:sz w:val="22"/>
          <w:szCs w:val="22"/>
        </w:rPr>
        <w:t xml:space="preserve"> should prioritise:</w:t>
      </w:r>
    </w:p>
    <w:p w:rsidR="008D76F8" w:rsidRPr="00CF776A" w:rsidP="00197CCD">
      <w:pPr>
        <w:pStyle w:val="ListParagraph"/>
        <w:numPr>
          <w:ilvl w:val="0"/>
          <w:numId w:val="14"/>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long-term investment rather than short funding rounds</w:t>
      </w:r>
    </w:p>
    <w:p w:rsidR="008D76F8" w:rsidRPr="00CF776A" w:rsidP="00197CCD">
      <w:pPr>
        <w:pStyle w:val="ListParagraph"/>
        <w:numPr>
          <w:ilvl w:val="0"/>
          <w:numId w:val="14"/>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sustained partnerships between schools and community services</w:t>
      </w:r>
    </w:p>
    <w:p w:rsidR="008D76F8" w:rsidRPr="00CF776A" w:rsidP="00197CCD">
      <w:pPr>
        <w:pStyle w:val="ListParagraph"/>
        <w:numPr>
          <w:ilvl w:val="0"/>
          <w:numId w:val="14"/>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family support and attendance interventions</w:t>
      </w:r>
    </w:p>
    <w:p w:rsidR="008D76F8" w:rsidRPr="00CF776A" w:rsidP="00197CCD">
      <w:pPr>
        <w:pStyle w:val="ListParagraph"/>
        <w:numPr>
          <w:ilvl w:val="0"/>
          <w:numId w:val="14"/>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mental health provision</w:t>
      </w:r>
    </w:p>
    <w:p w:rsidR="008D76F8" w:rsidRPr="00CF776A" w:rsidP="00197CCD">
      <w:pPr>
        <w:pStyle w:val="ListParagraph"/>
        <w:numPr>
          <w:ilvl w:val="0"/>
          <w:numId w:val="14"/>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teacher recruitment and retention</w:t>
      </w:r>
    </w:p>
    <w:p w:rsidR="008D76F8" w:rsidRPr="00CF776A" w:rsidP="00197CCD">
      <w:pPr>
        <w:pStyle w:val="ListParagraph"/>
        <w:numPr>
          <w:ilvl w:val="0"/>
          <w:numId w:val="14"/>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evidence-informed practices</w:t>
      </w:r>
    </w:p>
    <w:p w:rsidR="008D76F8" w:rsidRPr="00CF776A" w:rsidP="00197CCD">
      <w:pPr>
        <w:pStyle w:val="ListParagraph"/>
        <w:numPr>
          <w:ilvl w:val="0"/>
          <w:numId w:val="14"/>
        </w:num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rigorous evaluation from the outset</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Most importantly, educational policy should be linked to wider social and economic development strategies.</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b/>
          <w:bCs/>
          <w:color w:val="000000" w:themeColor="text1"/>
          <w:sz w:val="22"/>
          <w:szCs w:val="22"/>
        </w:rPr>
      </w:pPr>
      <w:r w:rsidRPr="00CF776A">
        <w:rPr>
          <w:rFonts w:ascii="Calibri" w:hAnsi="Calibri" w:cs="Calibri"/>
          <w:b/>
          <w:bCs/>
          <w:color w:val="000000" w:themeColor="text1"/>
          <w:sz w:val="22"/>
          <w:szCs w:val="22"/>
        </w:rPr>
        <w:t>Recommendations</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Drawing on the Opportunity Areas evidence, we recommend that Mission Coastal and Mission </w:t>
      </w:r>
      <w:r w:rsidRPr="00CF776A">
        <w:rPr>
          <w:rFonts w:ascii="Calibri" w:hAnsi="Calibri" w:cs="Calibri"/>
          <w:color w:val="000000" w:themeColor="text1"/>
          <w:sz w:val="22"/>
          <w:szCs w:val="22"/>
        </w:rPr>
        <w:t>North East</w:t>
      </w:r>
      <w:r w:rsidRPr="00CF776A">
        <w:rPr>
          <w:rFonts w:ascii="Calibri" w:hAnsi="Calibri" w:cs="Calibri"/>
          <w:color w:val="000000" w:themeColor="text1"/>
          <w:sz w:val="22"/>
          <w:szCs w:val="22"/>
        </w:rPr>
        <w:t>:</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1. Commit to long-term funding</w:t>
      </w:r>
    </w:p>
    <w:p w:rsidR="008D76F8" w:rsidRPr="00CF776A" w:rsidP="007831A2">
      <w:pPr>
        <w:spacing w:after="0"/>
        <w:ind w:left="284"/>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Educational outcomes are unlikely to improve sustainably within short political or spending-cycle timescales. Funding horizons should extend beyond typical programme cycles. </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2. Build </w:t>
      </w:r>
      <w:r w:rsidRPr="00CF776A">
        <w:rPr>
          <w:rFonts w:ascii="Calibri" w:hAnsi="Calibri" w:cs="Calibri"/>
          <w:color w:val="000000" w:themeColor="text1"/>
          <w:sz w:val="22"/>
          <w:szCs w:val="22"/>
        </w:rPr>
        <w:t xml:space="preserve">rigorous </w:t>
      </w:r>
      <w:r w:rsidRPr="00CF776A">
        <w:rPr>
          <w:rFonts w:ascii="Calibri" w:hAnsi="Calibri" w:cs="Calibri"/>
          <w:color w:val="000000" w:themeColor="text1"/>
          <w:sz w:val="22"/>
          <w:szCs w:val="22"/>
        </w:rPr>
        <w:t>evaluation into programme design</w:t>
      </w:r>
    </w:p>
    <w:p w:rsidR="008D76F8" w:rsidRPr="00CF776A" w:rsidP="00A0784A">
      <w:pPr>
        <w:spacing w:after="0"/>
        <w:ind w:left="284"/>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Future initiatives should establish clear </w:t>
      </w:r>
      <w:r w:rsidRPr="00CF776A">
        <w:rPr>
          <w:rFonts w:ascii="Calibri" w:hAnsi="Calibri" w:cs="Calibri"/>
          <w:color w:val="000000" w:themeColor="text1"/>
          <w:sz w:val="22"/>
          <w:szCs w:val="22"/>
        </w:rPr>
        <w:t xml:space="preserve">standardised </w:t>
      </w:r>
      <w:r w:rsidRPr="00CF776A">
        <w:rPr>
          <w:rFonts w:ascii="Calibri" w:hAnsi="Calibri" w:cs="Calibri"/>
          <w:color w:val="000000" w:themeColor="text1"/>
          <w:sz w:val="22"/>
          <w:szCs w:val="22"/>
        </w:rPr>
        <w:t>baseline measures</w:t>
      </w:r>
      <w:r w:rsidRPr="00CF776A">
        <w:rPr>
          <w:rFonts w:ascii="Calibri" w:hAnsi="Calibri" w:cs="Calibri"/>
          <w:color w:val="000000" w:themeColor="text1"/>
          <w:sz w:val="22"/>
          <w:szCs w:val="22"/>
        </w:rPr>
        <w:t>,</w:t>
      </w:r>
      <w:r w:rsidRPr="00CF776A">
        <w:rPr>
          <w:rFonts w:ascii="Calibri" w:hAnsi="Calibri" w:cs="Calibri"/>
          <w:color w:val="000000" w:themeColor="text1"/>
          <w:sz w:val="22"/>
          <w:szCs w:val="22"/>
        </w:rPr>
        <w:t xml:space="preserve"> comparison groups, and long-term outcome monitoring from the outset. </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3. Invest in capacity, not only projects</w:t>
      </w:r>
    </w:p>
    <w:p w:rsidR="008D76F8" w:rsidRPr="00CF776A" w:rsidP="00A0784A">
      <w:pPr>
        <w:spacing w:after="0"/>
        <w:ind w:left="284"/>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Short-term projects are unlikely to survive unless schools and local services develop enduring capacity and expertise. </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4. Address wider barriers to learning</w:t>
      </w:r>
    </w:p>
    <w:p w:rsidR="008D76F8" w:rsidRPr="00CF776A" w:rsidP="00197CCD">
      <w:pPr>
        <w:spacing w:after="0"/>
        <w:ind w:left="284"/>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Educational improvement strategies should include mental health, family support, attendance, SEND provision, transport, and community services. </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5. Support local partnerships</w:t>
      </w:r>
    </w:p>
    <w:p w:rsidR="008D76F8" w:rsidRPr="00CF776A" w:rsidP="00197CCD">
      <w:pPr>
        <w:spacing w:after="0"/>
        <w:ind w:left="284"/>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One of the most positively viewed aspects of the Opportunity Areas programme was the development of collaborative local networks and shared decision-making structures. </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6. Focus on structural change</w:t>
      </w:r>
    </w:p>
    <w:p w:rsidR="008D76F8" w:rsidRPr="00CF776A" w:rsidP="00197CCD">
      <w:pPr>
        <w:spacing w:after="0"/>
        <w:ind w:left="284"/>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Future programmes should move beyond remedial interventions and address wider structural contributors to educational inequality. </w:t>
      </w:r>
    </w:p>
    <w:p w:rsidR="008D76F8" w:rsidRPr="00CF776A" w:rsidP="00197CCD">
      <w:pPr>
        <w:spacing w:after="0"/>
        <w:jc w:val="both"/>
        <w:rPr>
          <w:rFonts w:ascii="Calibri" w:hAnsi="Calibri" w:cs="Calibri"/>
          <w:b/>
          <w:bCs/>
          <w:color w:val="000000" w:themeColor="text1"/>
          <w:sz w:val="22"/>
          <w:szCs w:val="22"/>
        </w:rPr>
      </w:pPr>
    </w:p>
    <w:p w:rsidR="008D76F8" w:rsidRPr="00CF776A" w:rsidP="00197CCD">
      <w:pPr>
        <w:spacing w:after="0"/>
        <w:jc w:val="both"/>
        <w:rPr>
          <w:rFonts w:ascii="Calibri" w:hAnsi="Calibri" w:cs="Calibri"/>
          <w:b/>
          <w:bCs/>
          <w:color w:val="000000" w:themeColor="text1"/>
          <w:sz w:val="22"/>
          <w:szCs w:val="22"/>
        </w:rPr>
      </w:pPr>
      <w:r w:rsidRPr="00CF776A">
        <w:rPr>
          <w:rFonts w:ascii="Calibri" w:hAnsi="Calibri" w:cs="Calibri"/>
          <w:b/>
          <w:bCs/>
          <w:color w:val="000000" w:themeColor="text1"/>
          <w:sz w:val="22"/>
          <w:szCs w:val="22"/>
        </w:rPr>
        <w:t>Conclusion</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The Opportunity Areas programme provides valuable evidence for the Government's emerging place-based agenda.</w:t>
      </w:r>
      <w:r w:rsidRPr="00CF776A">
        <w:rPr>
          <w:rFonts w:ascii="Calibri" w:hAnsi="Calibri" w:cs="Calibri"/>
          <w:color w:val="000000" w:themeColor="text1"/>
          <w:sz w:val="22"/>
          <w:szCs w:val="22"/>
        </w:rPr>
        <w:t xml:space="preserve"> </w:t>
      </w:r>
      <w:r w:rsidRPr="00CF776A">
        <w:rPr>
          <w:rFonts w:ascii="Calibri" w:hAnsi="Calibri" w:cs="Calibri"/>
          <w:color w:val="000000" w:themeColor="text1"/>
          <w:sz w:val="22"/>
          <w:szCs w:val="22"/>
        </w:rPr>
        <w:t xml:space="preserve">The programme demonstrates the limitations of short-term funding and the difficulty of achieving lasting change when wider structural inequalities remain unaddressed. </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For Mission Coastal and Mission </w:t>
      </w:r>
      <w:r w:rsidRPr="00CF776A">
        <w:rPr>
          <w:rFonts w:ascii="Calibri" w:hAnsi="Calibri" w:cs="Calibri"/>
          <w:color w:val="000000" w:themeColor="text1"/>
          <w:sz w:val="22"/>
          <w:szCs w:val="22"/>
        </w:rPr>
        <w:t>North East</w:t>
      </w:r>
      <w:r w:rsidRPr="00CF776A">
        <w:rPr>
          <w:rFonts w:ascii="Calibri" w:hAnsi="Calibri" w:cs="Calibri"/>
          <w:color w:val="000000" w:themeColor="text1"/>
          <w:sz w:val="22"/>
          <w:szCs w:val="22"/>
        </w:rPr>
        <w:t>, the principal lesson is clear:</w:t>
      </w:r>
      <w:r w:rsidRPr="00CF776A">
        <w:rPr>
          <w:rFonts w:ascii="Calibri" w:hAnsi="Calibri" w:cs="Calibri"/>
          <w:color w:val="000000" w:themeColor="text1"/>
          <w:sz w:val="22"/>
          <w:szCs w:val="22"/>
        </w:rPr>
        <w:t xml:space="preserve"> </w:t>
      </w:r>
      <w:r w:rsidRPr="00CF776A">
        <w:rPr>
          <w:rFonts w:ascii="Calibri" w:hAnsi="Calibri" w:cs="Calibri"/>
          <w:color w:val="000000" w:themeColor="text1"/>
          <w:sz w:val="22"/>
          <w:szCs w:val="22"/>
        </w:rPr>
        <w:t>The</w:t>
      </w:r>
      <w:r w:rsidRPr="00CF776A">
        <w:rPr>
          <w:rFonts w:ascii="Calibri" w:hAnsi="Calibri" w:cs="Calibri"/>
          <w:color w:val="000000" w:themeColor="text1"/>
          <w:sz w:val="22"/>
          <w:szCs w:val="22"/>
        </w:rPr>
        <w:t xml:space="preserve"> Government's ambition to raise attainment and reduce the disadvantage gap, our evidence suggests caution in making strong claims about the impact of previous place-based initiatives. The available evidence base is limited because many programmes were not evaluated using rigorous counterfactual methods. Nevertheless, practitioners and local stakeholders consistently reported that meaningful improvements require long-term rather than short-term interventions. Sustained funding, strong partnerships between sc</w:t>
      </w:r>
      <w:r w:rsidRPr="00CF776A">
        <w:rPr>
          <w:rFonts w:ascii="Calibri" w:hAnsi="Calibri" w:cs="Calibri"/>
          <w:color w:val="000000" w:themeColor="text1"/>
          <w:sz w:val="22"/>
          <w:szCs w:val="22"/>
        </w:rPr>
        <w:t xml:space="preserve">hools and local agencies, ongoing evaluation, and action to address the broader drivers of disadvantage were viewed as critical conditions for success. This is particularly important in the </w:t>
      </w:r>
      <w:r w:rsidRPr="00CF776A">
        <w:rPr>
          <w:rFonts w:ascii="Calibri" w:hAnsi="Calibri" w:cs="Calibri"/>
          <w:color w:val="000000" w:themeColor="text1"/>
          <w:sz w:val="22"/>
          <w:szCs w:val="22"/>
        </w:rPr>
        <w:t>North East</w:t>
      </w:r>
      <w:r w:rsidRPr="00CF776A">
        <w:rPr>
          <w:rFonts w:ascii="Calibri" w:hAnsi="Calibri" w:cs="Calibri"/>
          <w:color w:val="000000" w:themeColor="text1"/>
          <w:sz w:val="22"/>
          <w:szCs w:val="22"/>
        </w:rPr>
        <w:t>, where educational outcomes are closely linked to persistent socioeconomic inequalities and concentrated disadvantage.</w:t>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b/>
          <w:bCs/>
          <w:color w:val="000000" w:themeColor="text1"/>
          <w:sz w:val="22"/>
          <w:szCs w:val="22"/>
        </w:rPr>
      </w:pPr>
      <w:r w:rsidRPr="00CF776A">
        <w:rPr>
          <w:rFonts w:ascii="Calibri" w:hAnsi="Calibri" w:cs="Calibri"/>
          <w:b/>
          <w:bCs/>
          <w:color w:val="000000" w:themeColor="text1"/>
          <w:sz w:val="22"/>
          <w:szCs w:val="22"/>
        </w:rPr>
        <w:t xml:space="preserve">References </w:t>
      </w: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Scandone, B., Bury, J., Robinson, Y., Rezaian, M., Roberts, E., Takala, H., &amp; Woodbridge, H. (2022). </w:t>
      </w:r>
      <w:r w:rsidRPr="00CF776A">
        <w:rPr>
          <w:rFonts w:ascii="Calibri" w:hAnsi="Calibri" w:cs="Calibri"/>
          <w:i/>
          <w:iCs/>
          <w:color w:val="000000" w:themeColor="text1"/>
          <w:sz w:val="22"/>
          <w:szCs w:val="22"/>
        </w:rPr>
        <w:t>Opportunity Areas process evaluation: Research report</w:t>
      </w:r>
      <w:r w:rsidRPr="00CF776A">
        <w:rPr>
          <w:rFonts w:ascii="Calibri" w:hAnsi="Calibri" w:cs="Calibri"/>
          <w:color w:val="000000" w:themeColor="text1"/>
          <w:sz w:val="22"/>
          <w:szCs w:val="22"/>
        </w:rPr>
        <w:t xml:space="preserve">. Department for Education / NatCen Social Research. </w:t>
      </w:r>
      <w:r>
        <w:fldChar w:fldCharType="begin"/>
      </w:r>
      <w:r>
        <w:instrText xml:space="preserve"> HYPERLINK "https://from-the-centre-to-the-periphery.webspace.durham.ac.uk/wp-content/uploads/sites/424/2025/08/NatCen-DfE-2022-Opportunity-Areas-Process-Evaluation-Research-Report-1.pdf" </w:instrText>
      </w:r>
      <w:r>
        <w:fldChar w:fldCharType="separate"/>
      </w:r>
      <w:r w:rsidRPr="00CF776A">
        <w:rPr>
          <w:rStyle w:val="Hyperlink"/>
          <w:rFonts w:ascii="Calibri" w:hAnsi="Calibri" w:cs="Calibri"/>
          <w:color w:val="000000" w:themeColor="text1"/>
          <w:sz w:val="22"/>
          <w:szCs w:val="22"/>
        </w:rPr>
        <w:t>https://from-the-centre-to-the-periphery.webspace.durham.ac.uk/wp-content/uploads/sites/424/2025/08/NatCen-DfE-2022-Opportunity-Areas-Process-Evaluation-Research-Report-1.pdf</w:t>
      </w:r>
      <w:r>
        <w:fldChar w:fldCharType="end"/>
      </w:r>
      <w:r w:rsidRPr="00CF776A">
        <w:rPr>
          <w:rFonts w:ascii="Calibri" w:hAnsi="Calibri" w:cs="Calibri"/>
          <w:color w:val="000000" w:themeColor="text1"/>
          <w:sz w:val="22"/>
          <w:szCs w:val="22"/>
        </w:rPr>
        <w:t xml:space="preserve"> </w:t>
      </w:r>
    </w:p>
    <w:p w:rsidR="008D76F8" w:rsidRPr="00CF776A" w:rsidP="00197CCD">
      <w:pPr>
        <w:autoSpaceDE w:val="0"/>
        <w:autoSpaceDN w:val="0"/>
        <w:adjustRightInd w:val="0"/>
        <w:spacing w:after="0" w:line="240" w:lineRule="auto"/>
        <w:jc w:val="both"/>
        <w:rPr>
          <w:rFonts w:ascii="Calibri" w:hAnsi="Calibri" w:cs="Calibri"/>
          <w:color w:val="000000" w:themeColor="text1"/>
          <w:sz w:val="22"/>
          <w:szCs w:val="22"/>
        </w:rPr>
      </w:pPr>
    </w:p>
    <w:p w:rsidR="008D76F8" w:rsidRPr="00CF776A" w:rsidP="00197CCD">
      <w:pPr>
        <w:autoSpaceDE w:val="0"/>
        <w:autoSpaceDN w:val="0"/>
        <w:adjustRightInd w:val="0"/>
        <w:spacing w:after="0" w:line="240" w:lineRule="auto"/>
        <w:jc w:val="both"/>
        <w:rPr>
          <w:rFonts w:ascii="Calibri" w:hAnsi="Calibri" w:cs="Calibri"/>
          <w:color w:val="000000" w:themeColor="text1"/>
          <w:sz w:val="22"/>
          <w:szCs w:val="22"/>
        </w:rPr>
      </w:pPr>
      <w:r w:rsidRPr="00CF776A">
        <w:rPr>
          <w:rFonts w:ascii="Calibri" w:hAnsi="Calibri" w:cs="Calibri"/>
          <w:color w:val="000000" w:themeColor="text1"/>
          <w:sz w:val="22"/>
          <w:szCs w:val="22"/>
        </w:rPr>
        <w:t>Siddiqui, N., Gazmuri, C., Young, E., Donnelly, M., Cunningham, C., Davies, J., Dickson, M., Brown, C., Harris, R., &amp; Pearce, N. (2025). </w:t>
      </w:r>
      <w:r w:rsidRPr="00CF776A">
        <w:rPr>
          <w:rFonts w:ascii="Calibri" w:hAnsi="Calibri" w:cs="Calibri"/>
          <w:color w:val="000000" w:themeColor="text1"/>
          <w:kern w:val="0"/>
          <w:sz w:val="22"/>
          <w:szCs w:val="22"/>
        </w:rPr>
        <w:t xml:space="preserve">What Opportunity Areas teach us: Rethinking targeted place-based policies for educational change. </w:t>
      </w:r>
      <w:r w:rsidRPr="00CF776A">
        <w:rPr>
          <w:rFonts w:ascii="Calibri" w:hAnsi="Calibri" w:cs="Calibri"/>
          <w:i/>
          <w:iCs/>
          <w:color w:val="000000" w:themeColor="text1"/>
          <w:kern w:val="0"/>
          <w:sz w:val="22"/>
          <w:szCs w:val="22"/>
        </w:rPr>
        <w:t>SSRN:</w:t>
      </w:r>
      <w:r w:rsidRPr="00CF776A">
        <w:rPr>
          <w:rFonts w:ascii="Calibri" w:hAnsi="Calibri" w:cs="Calibri"/>
          <w:color w:val="000000" w:themeColor="text1"/>
          <w:kern w:val="0"/>
          <w:sz w:val="22"/>
          <w:szCs w:val="22"/>
        </w:rPr>
        <w:t> </w:t>
      </w:r>
      <w:r>
        <w:fldChar w:fldCharType="begin"/>
      </w:r>
      <w:r>
        <w:instrText xml:space="preserve"> HYPERLINK "https://ssrn.com/abstract=6596645" \t "_blank" </w:instrText>
      </w:r>
      <w:r>
        <w:fldChar w:fldCharType="separate"/>
      </w:r>
      <w:r w:rsidRPr="00CF776A">
        <w:rPr>
          <w:rStyle w:val="Hyperlink"/>
          <w:rFonts w:ascii="Calibri" w:hAnsi="Calibri" w:cs="Calibri"/>
          <w:color w:val="000000" w:themeColor="text1"/>
          <w:kern w:val="0"/>
          <w:sz w:val="22"/>
          <w:szCs w:val="22"/>
        </w:rPr>
        <w:t>https://ssrn.com/abstract=6596645</w:t>
      </w:r>
      <w:r>
        <w:fldChar w:fldCharType="end"/>
      </w:r>
      <w:r w:rsidRPr="00CF776A">
        <w:rPr>
          <w:rFonts w:ascii="Calibri" w:hAnsi="Calibri" w:cs="Calibri"/>
          <w:color w:val="000000" w:themeColor="text1"/>
          <w:kern w:val="0"/>
          <w:sz w:val="22"/>
          <w:szCs w:val="22"/>
        </w:rPr>
        <w:t> or </w:t>
      </w:r>
      <w:r>
        <w:fldChar w:fldCharType="begin"/>
      </w:r>
      <w:r>
        <w:instrText xml:space="preserve"> HYPERLINK "https://dx.doi.org/10.2139/ssrn.6596645" \t "_blank" </w:instrText>
      </w:r>
      <w:r>
        <w:fldChar w:fldCharType="separate"/>
      </w:r>
      <w:r w:rsidRPr="00CF776A">
        <w:rPr>
          <w:rStyle w:val="Hyperlink"/>
          <w:rFonts w:ascii="Calibri" w:hAnsi="Calibri" w:cs="Calibri"/>
          <w:color w:val="000000" w:themeColor="text1"/>
          <w:kern w:val="0"/>
          <w:sz w:val="22"/>
          <w:szCs w:val="22"/>
        </w:rPr>
        <w:t>http://dx.doi.org/10.2139/ssrn.6596645</w:t>
      </w:r>
      <w:r>
        <w:fldChar w:fldCharType="end"/>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Spear, S., &amp; Kirkman, P. (2024). Effectiveness of educational interventions: An ecological systems analysis of initiatives from the UK Opportunity Areas programme. </w:t>
      </w:r>
      <w:r w:rsidRPr="00CF776A">
        <w:rPr>
          <w:rFonts w:ascii="Calibri" w:hAnsi="Calibri" w:cs="Calibri"/>
          <w:i/>
          <w:iCs/>
          <w:color w:val="000000" w:themeColor="text1"/>
          <w:sz w:val="22"/>
          <w:szCs w:val="22"/>
        </w:rPr>
        <w:t>British Educational Research Journal</w:t>
      </w:r>
      <w:r w:rsidRPr="00CF776A">
        <w:rPr>
          <w:rFonts w:ascii="Calibri" w:hAnsi="Calibri" w:cs="Calibri"/>
          <w:color w:val="000000" w:themeColor="text1"/>
          <w:sz w:val="22"/>
          <w:szCs w:val="22"/>
        </w:rPr>
        <w:t xml:space="preserve">. Advance online publication. </w:t>
      </w:r>
      <w:r>
        <w:fldChar w:fldCharType="begin"/>
      </w:r>
      <w:r>
        <w:instrText xml:space="preserve"> HYPERLINK "https://doi.org/10.1002/berj.4038" </w:instrText>
      </w:r>
      <w:r>
        <w:fldChar w:fldCharType="separate"/>
      </w:r>
      <w:r w:rsidRPr="00CF776A">
        <w:rPr>
          <w:rStyle w:val="Hyperlink"/>
          <w:rFonts w:ascii="Calibri" w:hAnsi="Calibri" w:cs="Calibri"/>
          <w:color w:val="000000" w:themeColor="text1"/>
          <w:sz w:val="22"/>
          <w:szCs w:val="22"/>
        </w:rPr>
        <w:t>https://doi.org/10.1002/berj.4038</w:t>
      </w:r>
      <w:r>
        <w:fldChar w:fldCharType="end"/>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 xml:space="preserve">York Consulting (2022). </w:t>
      </w:r>
      <w:r w:rsidRPr="00CF776A">
        <w:rPr>
          <w:rFonts w:ascii="Calibri" w:hAnsi="Calibri" w:cs="Calibri"/>
          <w:i/>
          <w:iCs/>
          <w:color w:val="000000" w:themeColor="text1"/>
          <w:sz w:val="22"/>
          <w:szCs w:val="22"/>
        </w:rPr>
        <w:t>Team Around the School Project evaluation: Blackpool Opportunity Area – Intervention Level Evaluation Report</w:t>
      </w:r>
      <w:r w:rsidRPr="00CF776A">
        <w:rPr>
          <w:rFonts w:ascii="Calibri" w:hAnsi="Calibri" w:cs="Calibri"/>
          <w:color w:val="000000" w:themeColor="text1"/>
          <w:sz w:val="22"/>
          <w:szCs w:val="22"/>
        </w:rPr>
        <w:t xml:space="preserve">. </w:t>
      </w:r>
      <w:r>
        <w:fldChar w:fldCharType="begin"/>
      </w:r>
      <w:r>
        <w:instrText xml:space="preserve"> HYPERLINK "https://schoolhomesupport.org.uk/wp-content/uploads/2024/02/2022-05-DfE-and-York-Consulting-Team_Around_the_School_Project_Evaluation_Blackpool-May-2022.pdf" </w:instrText>
      </w:r>
      <w:r>
        <w:fldChar w:fldCharType="separate"/>
      </w:r>
      <w:r w:rsidRPr="00CF776A">
        <w:rPr>
          <w:rStyle w:val="Hyperlink"/>
          <w:rFonts w:ascii="Calibri" w:hAnsi="Calibri" w:cs="Calibri"/>
          <w:color w:val="000000" w:themeColor="text1"/>
          <w:sz w:val="22"/>
          <w:szCs w:val="22"/>
        </w:rPr>
        <w:t>https://schoolhomesupport.org.uk/wp-content/uploads/2024/02/2022-05-DfE-and-York-Consulting-Team_Around_the_School_Project_Evaluation_Blackpool-May-2022.pdf</w:t>
      </w:r>
      <w:r>
        <w:fldChar w:fldCharType="end"/>
      </w:r>
    </w:p>
    <w:p w:rsidR="008D76F8" w:rsidRPr="00CF776A" w:rsidP="00197CCD">
      <w:pPr>
        <w:spacing w:after="0"/>
        <w:jc w:val="both"/>
        <w:rPr>
          <w:rFonts w:ascii="Calibri" w:hAnsi="Calibri" w:cs="Calibri"/>
          <w:color w:val="000000" w:themeColor="text1"/>
          <w:sz w:val="22"/>
          <w:szCs w:val="22"/>
        </w:rPr>
      </w:pPr>
    </w:p>
    <w:p w:rsidR="008D76F8"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Young, E., Siddiqui, N., Donnelly, M., Brown, C., Dickson, M., Pearce, N., Harris, R., Davies, J., &amp; Cunningham, C. (2025, October 10). Partnership Board Members’ reflections on the Opportunity Areas Programme. </w:t>
      </w:r>
      <w:r>
        <w:fldChar w:fldCharType="begin"/>
      </w:r>
      <w:r>
        <w:instrText xml:space="preserve"> HYPERLINK "https://durham-repository.worktribe.com/output/4639461" \t "_blank" </w:instrText>
      </w:r>
      <w:r>
        <w:fldChar w:fldCharType="separate"/>
      </w:r>
      <w:r w:rsidRPr="00CF776A">
        <w:rPr>
          <w:rStyle w:val="Hyperlink"/>
          <w:rFonts w:ascii="Calibri" w:hAnsi="Calibri" w:cs="Calibri"/>
          <w:color w:val="000000" w:themeColor="text1"/>
          <w:sz w:val="22"/>
          <w:szCs w:val="22"/>
        </w:rPr>
        <w:t>https://durham-repository.worktribe.com/output/4639461</w:t>
      </w:r>
      <w:r>
        <w:fldChar w:fldCharType="end"/>
      </w:r>
    </w:p>
    <w:p w:rsidR="008D76F8" w:rsidRPr="00CF776A" w:rsidP="00197CCD">
      <w:pPr>
        <w:spacing w:after="0"/>
        <w:jc w:val="both"/>
        <w:rPr>
          <w:rFonts w:ascii="Calibri" w:hAnsi="Calibri" w:cs="Calibri"/>
          <w:color w:val="000000" w:themeColor="text1"/>
          <w:sz w:val="22"/>
          <w:szCs w:val="22"/>
        </w:rPr>
      </w:pPr>
    </w:p>
    <w:p w:rsidR="00CF776A" w:rsidRPr="00CF776A" w:rsidP="00197CCD">
      <w:pPr>
        <w:spacing w:after="0"/>
        <w:jc w:val="both"/>
        <w:rPr>
          <w:rFonts w:ascii="Calibri" w:hAnsi="Calibri" w:cs="Calibri"/>
          <w:color w:val="000000" w:themeColor="text1"/>
          <w:sz w:val="22"/>
          <w:szCs w:val="22"/>
        </w:rPr>
      </w:pPr>
      <w:r w:rsidRPr="00CF776A">
        <w:rPr>
          <w:rFonts w:ascii="Calibri" w:hAnsi="Calibri" w:cs="Calibri"/>
          <w:color w:val="000000" w:themeColor="text1"/>
          <w:sz w:val="22"/>
          <w:szCs w:val="22"/>
        </w:rPr>
        <w:t>September 2026</w:t>
      </w:r>
    </w:p>
    <w:sectPr>
      <w:foot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05940308"/>
      <w:docPartObj>
        <w:docPartGallery w:val="Page Numbers (Bottom of Page)"/>
        <w:docPartUnique/>
      </w:docPartObj>
    </w:sdtPr>
    <w:sdtEndPr>
      <w:rPr>
        <w:noProof/>
      </w:rPr>
    </w:sdtEndPr>
    <w:sdtContent>
      <w:p w:rsidR="008D76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8D76F8">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BA0807"/>
    <w:multiLevelType w:val="hybridMultilevel"/>
    <w:tmpl w:val="4C20CC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07405D"/>
    <w:multiLevelType w:val="hybridMultilevel"/>
    <w:tmpl w:val="DCDCA75E"/>
    <w:lvl w:ilvl="0">
      <w:start w:val="1"/>
      <w:numFmt w:val="bullet"/>
      <w:lvlText w:val="o"/>
      <w:lvlJc w:val="left"/>
      <w:pPr>
        <w:ind w:left="720" w:hanging="360"/>
      </w:pPr>
      <w:rPr>
        <w:rFonts w:ascii="Courier New" w:hAnsi="Courier New" w:cs="Courier New" w:hint="default"/>
        <w:color w:val="FF00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6CA33C1"/>
    <w:multiLevelType w:val="hybridMultilevel"/>
    <w:tmpl w:val="80301D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9984EC3"/>
    <w:multiLevelType w:val="hybridMultilevel"/>
    <w:tmpl w:val="998AD8EC"/>
    <w:lvl w:ilvl="0">
      <w:start w:val="1"/>
      <w:numFmt w:val="bullet"/>
      <w:lvlText w:val=""/>
      <w:lvlJc w:val="left"/>
      <w:pPr>
        <w:ind w:left="720" w:hanging="360"/>
      </w:pPr>
      <w:rPr>
        <w:rFonts w:ascii="Symbol" w:hAnsi="Symbol" w:hint="default"/>
        <w:color w:val="FF00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CCD4DD9"/>
    <w:multiLevelType w:val="hybridMultilevel"/>
    <w:tmpl w:val="86ACF1A2"/>
    <w:lvl w:ilvl="0">
      <w:start w:val="1"/>
      <w:numFmt w:val="bullet"/>
      <w:lvlText w:val="o"/>
      <w:lvlJc w:val="left"/>
      <w:pPr>
        <w:ind w:left="720" w:hanging="360"/>
      </w:pPr>
      <w:rPr>
        <w:rFonts w:ascii="Courier New" w:hAnsi="Courier New" w:cs="Courier New" w:hint="default"/>
        <w:color w:val="FF00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D470D9E"/>
    <w:multiLevelType w:val="hybridMultilevel"/>
    <w:tmpl w:val="2B0838E2"/>
    <w:lvl w:ilvl="0">
      <w:start w:val="1"/>
      <w:numFmt w:val="bullet"/>
      <w:lvlText w:val=""/>
      <w:lvlJc w:val="left"/>
      <w:pPr>
        <w:ind w:left="720" w:hanging="360"/>
      </w:pPr>
      <w:rPr>
        <w:rFonts w:ascii="Symbol" w:hAnsi="Symbol" w:hint="default"/>
        <w:color w:val="FF000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551769A"/>
    <w:multiLevelType w:val="hybridMultilevel"/>
    <w:tmpl w:val="616A84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84F4D27"/>
    <w:multiLevelType w:val="hybridMultilevel"/>
    <w:tmpl w:val="0BAC3640"/>
    <w:lvl w:ilvl="0">
      <w:start w:val="1"/>
      <w:numFmt w:val="bullet"/>
      <w:lvlText w:val="o"/>
      <w:lvlJc w:val="left"/>
      <w:pPr>
        <w:ind w:left="1440" w:hanging="360"/>
      </w:pPr>
      <w:rPr>
        <w:rFonts w:ascii="Courier New" w:hAnsi="Courier New" w:cs="Courier New" w:hint="default"/>
        <w:color w:val="FF0000"/>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18D029B9"/>
    <w:multiLevelType w:val="multilevel"/>
    <w:tmpl w:val="A1B2A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BA7F9F"/>
    <w:multiLevelType w:val="hybridMultilevel"/>
    <w:tmpl w:val="73D8C0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DDD6447"/>
    <w:multiLevelType w:val="hybridMultilevel"/>
    <w:tmpl w:val="8C34172C"/>
    <w:lvl w:ilvl="0">
      <w:start w:val="1"/>
      <w:numFmt w:val="bullet"/>
      <w:lvlText w:val=""/>
      <w:lvlJc w:val="left"/>
      <w:pPr>
        <w:ind w:left="720" w:hanging="360"/>
      </w:pPr>
      <w:rPr>
        <w:rFonts w:ascii="Symbol" w:hAnsi="Symbol" w:hint="default"/>
        <w:color w:val="FF000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31939DE"/>
    <w:multiLevelType w:val="hybridMultilevel"/>
    <w:tmpl w:val="8B328850"/>
    <w:lvl w:ilvl="0">
      <w:start w:val="1"/>
      <w:numFmt w:val="bullet"/>
      <w:lvlText w:val=""/>
      <w:lvlJc w:val="left"/>
      <w:pPr>
        <w:ind w:left="720" w:hanging="360"/>
      </w:pPr>
      <w:rPr>
        <w:rFonts w:ascii="Symbol" w:hAnsi="Symbol" w:hint="default"/>
        <w:color w:val="FF000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26E67E7"/>
    <w:multiLevelType w:val="multilevel"/>
    <w:tmpl w:val="BD829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D55F42"/>
    <w:multiLevelType w:val="hybridMultilevel"/>
    <w:tmpl w:val="73ECBF16"/>
    <w:lvl w:ilvl="0">
      <w:start w:val="1"/>
      <w:numFmt w:val="bullet"/>
      <w:lvlText w:val="o"/>
      <w:lvlJc w:val="left"/>
      <w:pPr>
        <w:ind w:left="720" w:hanging="360"/>
      </w:pPr>
      <w:rPr>
        <w:rFonts w:ascii="Courier New" w:hAnsi="Courier New" w:cs="Courier New" w:hint="default"/>
        <w:color w:val="FF00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C942B29"/>
    <w:multiLevelType w:val="hybridMultilevel"/>
    <w:tmpl w:val="D900792A"/>
    <w:lvl w:ilvl="0">
      <w:start w:val="1"/>
      <w:numFmt w:val="bullet"/>
      <w:lvlText w:val="o"/>
      <w:lvlJc w:val="left"/>
      <w:pPr>
        <w:ind w:left="720" w:hanging="360"/>
      </w:pPr>
      <w:rPr>
        <w:rFonts w:ascii="Courier New" w:hAnsi="Courier New" w:cs="Courier New" w:hint="default"/>
        <w:color w:val="FF00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2CC3ED4"/>
    <w:multiLevelType w:val="multilevel"/>
    <w:tmpl w:val="0DD85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2E00AD"/>
    <w:multiLevelType w:val="hybridMultilevel"/>
    <w:tmpl w:val="06A08F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D2B339F"/>
    <w:multiLevelType w:val="hybridMultilevel"/>
    <w:tmpl w:val="0D249F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EBF47FF"/>
    <w:multiLevelType w:val="hybridMultilevel"/>
    <w:tmpl w:val="46EC2AA2"/>
    <w:lvl w:ilvl="0">
      <w:start w:val="1"/>
      <w:numFmt w:val="bullet"/>
      <w:lvlText w:val=""/>
      <w:lvlJc w:val="left"/>
      <w:pPr>
        <w:ind w:left="720" w:hanging="360"/>
      </w:pPr>
      <w:rPr>
        <w:rFonts w:ascii="Symbol" w:hAnsi="Symbol" w:hint="default"/>
        <w:color w:val="FF000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7080C8F"/>
    <w:multiLevelType w:val="hybridMultilevel"/>
    <w:tmpl w:val="FF7019CE"/>
    <w:lvl w:ilvl="0">
      <w:start w:val="1"/>
      <w:numFmt w:val="bullet"/>
      <w:lvlText w:val="o"/>
      <w:lvlJc w:val="left"/>
      <w:pPr>
        <w:ind w:left="720" w:hanging="360"/>
      </w:pPr>
      <w:rPr>
        <w:rFonts w:ascii="Courier New" w:hAnsi="Courier New" w:cs="Courier New" w:hint="default"/>
        <w:color w:val="FF00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8F46272"/>
    <w:multiLevelType w:val="multilevel"/>
    <w:tmpl w:val="FD483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9D34C3D"/>
    <w:multiLevelType w:val="hybridMultilevel"/>
    <w:tmpl w:val="19AAED3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A217B0B"/>
    <w:multiLevelType w:val="multilevel"/>
    <w:tmpl w:val="39B64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64049D"/>
    <w:multiLevelType w:val="hybridMultilevel"/>
    <w:tmpl w:val="5A18DF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69570C04"/>
    <w:multiLevelType w:val="hybridMultilevel"/>
    <w:tmpl w:val="50DC60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69787C4B"/>
    <w:multiLevelType w:val="multilevel"/>
    <w:tmpl w:val="37C01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26D17B1"/>
    <w:multiLevelType w:val="hybridMultilevel"/>
    <w:tmpl w:val="2D684EFA"/>
    <w:lvl w:ilvl="0">
      <w:start w:val="1"/>
      <w:numFmt w:val="bullet"/>
      <w:lvlText w:val=""/>
      <w:lvlJc w:val="left"/>
      <w:pPr>
        <w:ind w:left="720" w:hanging="360"/>
      </w:pPr>
      <w:rPr>
        <w:rFonts w:ascii="Symbol" w:hAnsi="Symbol" w:hint="default"/>
        <w:color w:val="FF00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7663733D"/>
    <w:multiLevelType w:val="hybridMultilevel"/>
    <w:tmpl w:val="79982C10"/>
    <w:lvl w:ilvl="0">
      <w:start w:val="1"/>
      <w:numFmt w:val="bullet"/>
      <w:lvlText w:val=""/>
      <w:lvlJc w:val="left"/>
      <w:pPr>
        <w:ind w:left="720" w:hanging="360"/>
      </w:pPr>
      <w:rPr>
        <w:rFonts w:ascii="Symbol" w:hAnsi="Symbol" w:hint="default"/>
        <w:color w:val="FF00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76B25290"/>
    <w:multiLevelType w:val="multilevel"/>
    <w:tmpl w:val="32A2F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D99284A"/>
    <w:multiLevelType w:val="hybridMultilevel"/>
    <w:tmpl w:val="A7F4A6A6"/>
    <w:lvl w:ilvl="0">
      <w:start w:val="1"/>
      <w:numFmt w:val="bullet"/>
      <w:lvlText w:val=""/>
      <w:lvlJc w:val="left"/>
      <w:pPr>
        <w:ind w:left="720" w:hanging="360"/>
      </w:pPr>
      <w:rPr>
        <w:rFonts w:ascii="Symbol" w:hAnsi="Symbol" w:hint="default"/>
        <w:color w:val="FF00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0"/>
  </w:num>
  <w:num w:numId="2">
    <w:abstractNumId w:val="15"/>
  </w:num>
  <w:num w:numId="3">
    <w:abstractNumId w:val="28"/>
  </w:num>
  <w:num w:numId="4">
    <w:abstractNumId w:val="8"/>
  </w:num>
  <w:num w:numId="5">
    <w:abstractNumId w:val="22"/>
  </w:num>
  <w:num w:numId="6">
    <w:abstractNumId w:val="25"/>
  </w:num>
  <w:num w:numId="7">
    <w:abstractNumId w:val="12"/>
  </w:num>
  <w:num w:numId="8">
    <w:abstractNumId w:val="16"/>
  </w:num>
  <w:num w:numId="9">
    <w:abstractNumId w:val="24"/>
  </w:num>
  <w:num w:numId="10">
    <w:abstractNumId w:val="0"/>
  </w:num>
  <w:num w:numId="11">
    <w:abstractNumId w:val="17"/>
  </w:num>
  <w:num w:numId="12">
    <w:abstractNumId w:val="9"/>
  </w:num>
  <w:num w:numId="13">
    <w:abstractNumId w:val="2"/>
  </w:num>
  <w:num w:numId="14">
    <w:abstractNumId w:val="23"/>
  </w:num>
  <w:num w:numId="15">
    <w:abstractNumId w:val="6"/>
  </w:num>
  <w:num w:numId="16">
    <w:abstractNumId w:val="3"/>
  </w:num>
  <w:num w:numId="17">
    <w:abstractNumId w:val="27"/>
  </w:num>
  <w:num w:numId="18">
    <w:abstractNumId w:val="26"/>
  </w:num>
  <w:num w:numId="19">
    <w:abstractNumId w:val="29"/>
  </w:num>
  <w:num w:numId="20">
    <w:abstractNumId w:val="5"/>
  </w:num>
  <w:num w:numId="21">
    <w:abstractNumId w:val="10"/>
  </w:num>
  <w:num w:numId="22">
    <w:abstractNumId w:val="11"/>
  </w:num>
  <w:num w:numId="23">
    <w:abstractNumId w:val="18"/>
  </w:num>
  <w:num w:numId="24">
    <w:abstractNumId w:val="21"/>
  </w:num>
  <w:num w:numId="25">
    <w:abstractNumId w:val="13"/>
  </w:num>
  <w:num w:numId="26">
    <w:abstractNumId w:val="19"/>
  </w:num>
  <w:num w:numId="27">
    <w:abstractNumId w:val="7"/>
  </w:num>
  <w:num w:numId="28">
    <w:abstractNumId w:val="4"/>
  </w:num>
  <w:num w:numId="29">
    <w:abstractNumId w:val="1"/>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655C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5C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5C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5C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5C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5C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5C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5C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5C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C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5C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5C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5C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5C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5C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5C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5C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5CC0"/>
    <w:rPr>
      <w:rFonts w:eastAsiaTheme="majorEastAsia" w:cstheme="majorBidi"/>
      <w:color w:val="272727" w:themeColor="text1" w:themeTint="D8"/>
    </w:rPr>
  </w:style>
  <w:style w:type="paragraph" w:styleId="Title">
    <w:name w:val="Title"/>
    <w:basedOn w:val="Normal"/>
    <w:next w:val="Normal"/>
    <w:link w:val="TitleChar"/>
    <w:uiPriority w:val="10"/>
    <w:qFormat/>
    <w:rsid w:val="00655C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5C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5C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5C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5CC0"/>
    <w:pPr>
      <w:spacing w:before="160"/>
      <w:jc w:val="center"/>
    </w:pPr>
    <w:rPr>
      <w:i/>
      <w:iCs/>
      <w:color w:val="404040" w:themeColor="text1" w:themeTint="BF"/>
    </w:rPr>
  </w:style>
  <w:style w:type="character" w:customStyle="1" w:styleId="QuoteChar">
    <w:name w:val="Quote Char"/>
    <w:basedOn w:val="DefaultParagraphFont"/>
    <w:link w:val="Quote"/>
    <w:uiPriority w:val="29"/>
    <w:rsid w:val="00655CC0"/>
    <w:rPr>
      <w:i/>
      <w:iCs/>
      <w:color w:val="404040" w:themeColor="text1" w:themeTint="BF"/>
    </w:rPr>
  </w:style>
  <w:style w:type="paragraph" w:styleId="ListParagraph">
    <w:name w:val="List Paragraph"/>
    <w:basedOn w:val="Normal"/>
    <w:uiPriority w:val="34"/>
    <w:qFormat/>
    <w:rsid w:val="00655CC0"/>
    <w:pPr>
      <w:ind w:left="720"/>
      <w:contextualSpacing/>
    </w:pPr>
  </w:style>
  <w:style w:type="character" w:styleId="IntenseEmphasis">
    <w:name w:val="Intense Emphasis"/>
    <w:basedOn w:val="DefaultParagraphFont"/>
    <w:uiPriority w:val="21"/>
    <w:qFormat/>
    <w:rsid w:val="00655CC0"/>
    <w:rPr>
      <w:i/>
      <w:iCs/>
      <w:color w:val="0F4761" w:themeColor="accent1" w:themeShade="BF"/>
    </w:rPr>
  </w:style>
  <w:style w:type="paragraph" w:styleId="IntenseQuote">
    <w:name w:val="Intense Quote"/>
    <w:basedOn w:val="Normal"/>
    <w:next w:val="Normal"/>
    <w:link w:val="IntenseQuoteChar"/>
    <w:uiPriority w:val="30"/>
    <w:qFormat/>
    <w:rsid w:val="00655C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5CC0"/>
    <w:rPr>
      <w:i/>
      <w:iCs/>
      <w:color w:val="0F4761" w:themeColor="accent1" w:themeShade="BF"/>
    </w:rPr>
  </w:style>
  <w:style w:type="character" w:styleId="IntenseReference">
    <w:name w:val="Intense Reference"/>
    <w:basedOn w:val="DefaultParagraphFont"/>
    <w:uiPriority w:val="32"/>
    <w:qFormat/>
    <w:rsid w:val="00655CC0"/>
    <w:rPr>
      <w:b/>
      <w:bCs/>
      <w:smallCaps/>
      <w:color w:val="0F4761" w:themeColor="accent1" w:themeShade="BF"/>
      <w:spacing w:val="5"/>
    </w:rPr>
  </w:style>
  <w:style w:type="character" w:styleId="Hyperlink">
    <w:name w:val="Hyperlink"/>
    <w:basedOn w:val="DefaultParagraphFont"/>
    <w:uiPriority w:val="99"/>
    <w:unhideWhenUsed/>
    <w:rsid w:val="00655CC0"/>
    <w:rPr>
      <w:color w:val="467886" w:themeColor="hyperlink"/>
      <w:u w:val="single"/>
    </w:rPr>
  </w:style>
  <w:style w:type="character" w:customStyle="1" w:styleId="UnresolvedMention1">
    <w:name w:val="Unresolved Mention1"/>
    <w:basedOn w:val="DefaultParagraphFont"/>
    <w:uiPriority w:val="99"/>
    <w:semiHidden/>
    <w:unhideWhenUsed/>
    <w:rsid w:val="00655CC0"/>
    <w:rPr>
      <w:color w:val="605E5C"/>
      <w:shd w:val="clear" w:color="auto" w:fill="E1DFDD"/>
    </w:rPr>
  </w:style>
  <w:style w:type="paragraph" w:styleId="Header">
    <w:name w:val="header"/>
    <w:basedOn w:val="Normal"/>
    <w:link w:val="HeaderChar"/>
    <w:uiPriority w:val="99"/>
    <w:unhideWhenUsed/>
    <w:rsid w:val="00672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26A5"/>
  </w:style>
  <w:style w:type="paragraph" w:styleId="Footer">
    <w:name w:val="footer"/>
    <w:basedOn w:val="Normal"/>
    <w:link w:val="FooterChar"/>
    <w:uiPriority w:val="99"/>
    <w:unhideWhenUsed/>
    <w:rsid w:val="006726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26A5"/>
  </w:style>
  <w:style w:type="paragraph" w:styleId="Caption">
    <w:name w:val="caption"/>
    <w:basedOn w:val="Normal"/>
    <w:next w:val="Normal"/>
    <w:uiPriority w:val="35"/>
    <w:unhideWhenUsed/>
    <w:qFormat/>
    <w:rsid w:val="00BB76E8"/>
    <w:pPr>
      <w:spacing w:after="200" w:line="240" w:lineRule="auto"/>
    </w:pPr>
    <w:rPr>
      <w:rFonts w:ascii="Times New Roman" w:hAnsi="Times New Roman"/>
      <w:iCs/>
      <w:color w:val="000000" w:themeColor="text1"/>
      <w:sz w:val="22"/>
      <w:szCs w:val="18"/>
    </w:rPr>
  </w:style>
  <w:style w:type="paragraph" w:styleId="NoSpacing">
    <w:name w:val="No Spacing"/>
    <w:uiPriority w:val="1"/>
    <w:qFormat/>
    <w:rsid w:val="00B86CCC"/>
    <w:pPr>
      <w:spacing w:after="0" w:line="240" w:lineRule="auto"/>
    </w:pPr>
  </w:style>
  <w:style w:type="character" w:styleId="CommentReference">
    <w:name w:val="annotation reference"/>
    <w:basedOn w:val="DefaultParagraphFont"/>
    <w:uiPriority w:val="99"/>
    <w:semiHidden/>
    <w:unhideWhenUsed/>
    <w:rsid w:val="000D096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hart" Target="charts/chart1.xml" /><Relationship Id="rId5" Type="http://schemas.openxmlformats.org/officeDocument/2006/relationships/chart" Target="charts/chart2.xml" /><Relationship Id="rId6" Type="http://schemas.openxmlformats.org/officeDocument/2006/relationships/chart" Target="charts/chart3.xml" /><Relationship Id="rId7" Type="http://schemas.openxmlformats.org/officeDocument/2006/relationships/chart" Target="charts/chart4.xml" /><Relationship Id="rId8" Type="http://schemas.openxmlformats.org/officeDocument/2006/relationships/chart" Target="charts/chart5.xml" /><Relationship Id="rId9" Type="http://schemas.openxmlformats.org/officeDocument/2006/relationships/footer" Target="footer1.xml" /></Relationships>
</file>

<file path=word/charts/_rels/chart1.xml.rels>&#65279;<?xml version="1.0" encoding="utf-8" standalone="yes"?><Relationships xmlns="http://schemas.openxmlformats.org/package/2006/relationships"><Relationship Id="rId1" Type="http://schemas.openxmlformats.org/officeDocument/2006/relationships/oleObject" Target="https://durhamuniversity-my.sharepoint.com/personal/czwc58_durham_ac_uk/Documents/ESRC%20Centre%20to%20Periphery/12%20OA%20Schools/12_OA%20Schools%20DfE%20data.xlsx" TargetMode="External" /><Relationship Id="rId2" Type="http://schemas.openxmlformats.org/officeDocument/2006/relationships/chartUserShapes" Target="../drawings/drawing1.xml" /></Relationships>
</file>

<file path=word/charts/_rels/chart2.xml.rels>&#65279;<?xml version="1.0" encoding="utf-8" standalone="yes"?><Relationships xmlns="http://schemas.openxmlformats.org/package/2006/relationships"><Relationship Id="rId1" Type="http://schemas.openxmlformats.org/officeDocument/2006/relationships/oleObject" Target="https://durhamuniversity-my.sharepoint.com/personal/czwc58_durham_ac_uk/Documents/ESRC%20Centre%20to%20Periphery/12%20OA%20Schools/12_OA%20Schools%20DfE%20data.xlsx" TargetMode="External" /><Relationship Id="rId2" Type="http://schemas.openxmlformats.org/officeDocument/2006/relationships/chartUserShapes" Target="../drawings/drawing2.xml" /></Relationships>
</file>

<file path=word/charts/_rels/chart3.xml.rels>&#65279;<?xml version="1.0" encoding="utf-8" standalone="yes"?><Relationships xmlns="http://schemas.openxmlformats.org/package/2006/relationships"><Relationship Id="rId1" Type="http://schemas.openxmlformats.org/officeDocument/2006/relationships/oleObject" Target="https://durhamuniversity-my.sharepoint.com/personal/czwc58_durham_ac_uk/Documents/ESRC%20Centre%20to%20Periphery/12%20OA%20Schools/12_OA%20Schools%20DfE%20data.xlsx" TargetMode="External" /><Relationship Id="rId2" Type="http://schemas.openxmlformats.org/officeDocument/2006/relationships/chartUserShapes" Target="../drawings/drawing3.xml" /></Relationships>
</file>

<file path=word/charts/_rels/chart4.xml.rels>&#65279;<?xml version="1.0" encoding="utf-8" standalone="yes"?><Relationships xmlns="http://schemas.openxmlformats.org/package/2006/relationships"><Relationship Id="rId1" Type="http://schemas.openxmlformats.org/officeDocument/2006/relationships/oleObject" Target="https://durhamuniversity-my.sharepoint.com/personal/czwc58_durham_ac_uk/Documents/ESRC%20Centre%20to%20Periphery/12%20OA%20Schools/Aggregated%20Graphs.xlsx" TargetMode="External" /><Relationship Id="rId2" Type="http://schemas.openxmlformats.org/officeDocument/2006/relationships/chartUserShapes" Target="../drawings/drawing4.xml" /></Relationships>
</file>

<file path=word/charts/_rels/chart5.xml.rels>&#65279;<?xml version="1.0" encoding="utf-8" standalone="yes"?><Relationships xmlns="http://schemas.openxmlformats.org/package/2006/relationships"><Relationship Id="rId1" Type="http://schemas.openxmlformats.org/officeDocument/2006/relationships/oleObject" Target="https://durhamuniversity-my.sharepoint.com/personal/czwc58_durham_ac_uk/Documents/ESRC%20Centre%20to%20Periphery/12%20OA%20Schools/Aggregated%20Graphs.xlsx" TargetMode="External" /><Relationship Id="rId2" Type="http://schemas.openxmlformats.org/officeDocument/2006/relationships/chartUserShapes" Target="../drawings/drawing5.xm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638363829640224E-2"/>
          <c:y val="5.1154401154401154E-2"/>
          <c:w val="0.85137614220677216"/>
          <c:h val="0.60631625592255523"/>
        </c:manualLayout>
      </c:layout>
      <c:lineChart>
        <c:grouping val="standard"/>
        <c:varyColors val="0"/>
        <c:ser>
          <c:idx val="0"/>
          <c:order val="0"/>
          <c:tx>
            <c:strRef>
              <c:f>Exclusions!$B$3</c:f>
              <c:strCache>
                <c:ptCount val="1"/>
                <c:pt idx="0">
                  <c:v>Stoke-on-Trent</c:v>
                </c:pt>
              </c:strCache>
            </c:strRef>
          </c:tx>
          <c:spPr>
            <a:ln w="28575" cap="rnd">
              <a:solidFill>
                <a:schemeClr val="bg1">
                  <a:lumMod val="85000"/>
                </a:schemeClr>
              </a:solidFill>
              <a:round/>
            </a:ln>
            <a:effectLst/>
          </c:spPr>
          <c:marker>
            <c:symbol val="none"/>
          </c:marker>
          <c:cat>
            <c:strRef>
              <c:f>Exclusions!$A$4:$A$11</c:f>
              <c:strCache>
                <c:ptCount val="6"/>
                <c:pt idx="0">
                  <c:v>2013-14</c:v>
                </c:pt>
                <c:pt idx="1">
                  <c:v>2014-15</c:v>
                </c:pt>
                <c:pt idx="2">
                  <c:v>2015-16</c:v>
                </c:pt>
                <c:pt idx="3">
                  <c:v>2016-17</c:v>
                </c:pt>
                <c:pt idx="4">
                  <c:v>2017-18</c:v>
                </c:pt>
                <c:pt idx="5">
                  <c:v>2018-19</c:v>
                </c:pt>
              </c:strCache>
              <c:extLst/>
            </c:strRef>
          </c:cat>
          <c:val>
            <c:numRef>
              <c:f>Exclusions!$B$4:$B$11</c:f>
              <c:numCache>
                <c:formatCode>General</c:formatCode>
                <c:ptCount val="6"/>
                <c:pt idx="0">
                  <c:v>0.11334</c:v>
                </c:pt>
                <c:pt idx="1">
                  <c:v>0.14999000000000001</c:v>
                </c:pt>
                <c:pt idx="2">
                  <c:v>0.10906</c:v>
                </c:pt>
                <c:pt idx="3">
                  <c:v>0.1532</c:v>
                </c:pt>
                <c:pt idx="4">
                  <c:v>0.12470000000000001</c:v>
                </c:pt>
                <c:pt idx="5">
                  <c:v>0.13436999999999999</c:v>
                </c:pt>
              </c:numCache>
              <c:extLst/>
            </c:numRef>
          </c:val>
          <c:smooth val="0"/>
          <c:extLst>
            <c:ext xmlns:c16="http://schemas.microsoft.com/office/drawing/2014/chart" uri="{C3380CC4-5D6E-409C-BE32-E72D297353CC}">
              <c16:uniqueId val="{00000000-CDB4-419A-A5F9-BA58D60CBB9C}"/>
            </c:ext>
          </c:extLst>
        </c:ser>
        <c:ser>
          <c:idx val="1"/>
          <c:order val="1"/>
          <c:tx>
            <c:strRef>
              <c:f>Exclusions!$C$3</c:f>
              <c:strCache>
                <c:ptCount val="1"/>
                <c:pt idx="0">
                  <c:v>Blackpool </c:v>
                </c:pt>
              </c:strCache>
            </c:strRef>
          </c:tx>
          <c:spPr>
            <a:ln w="28575" cap="rnd">
              <a:solidFill>
                <a:schemeClr val="accent2"/>
              </a:solidFill>
              <a:round/>
            </a:ln>
            <a:effectLst/>
          </c:spPr>
          <c:marker>
            <c:symbol val="none"/>
          </c:marker>
          <c:cat>
            <c:strRef>
              <c:f>Exclusions!$A$4:$A$11</c:f>
              <c:strCache>
                <c:ptCount val="6"/>
                <c:pt idx="0">
                  <c:v>2013-14</c:v>
                </c:pt>
                <c:pt idx="1">
                  <c:v>2014-15</c:v>
                </c:pt>
                <c:pt idx="2">
                  <c:v>2015-16</c:v>
                </c:pt>
                <c:pt idx="3">
                  <c:v>2016-17</c:v>
                </c:pt>
                <c:pt idx="4">
                  <c:v>2017-18</c:v>
                </c:pt>
                <c:pt idx="5">
                  <c:v>2018-19</c:v>
                </c:pt>
              </c:strCache>
              <c:extLst/>
            </c:strRef>
          </c:cat>
          <c:val>
            <c:numRef>
              <c:f>Exclusions!$C$4:$C$11</c:f>
              <c:numCache>
                <c:formatCode>General</c:formatCode>
                <c:ptCount val="6"/>
                <c:pt idx="0">
                  <c:v>5.756E-2</c:v>
                </c:pt>
                <c:pt idx="1">
                  <c:v>0.26883000000000001</c:v>
                </c:pt>
                <c:pt idx="2">
                  <c:v>0.12231</c:v>
                </c:pt>
                <c:pt idx="3">
                  <c:v>0.22398000000000001</c:v>
                </c:pt>
                <c:pt idx="4">
                  <c:v>0.22375</c:v>
                </c:pt>
                <c:pt idx="5">
                  <c:v>0.29115000000000002</c:v>
                </c:pt>
              </c:numCache>
              <c:extLst/>
            </c:numRef>
          </c:val>
          <c:smooth val="0"/>
          <c:extLst>
            <c:ext xmlns:c16="http://schemas.microsoft.com/office/drawing/2014/chart" uri="{C3380CC4-5D6E-409C-BE32-E72D297353CC}">
              <c16:uniqueId val="{00000001-CDB4-419A-A5F9-BA58D60CBB9C}"/>
            </c:ext>
          </c:extLst>
        </c:ser>
        <c:ser>
          <c:idx val="3"/>
          <c:order val="3"/>
          <c:tx>
            <c:strRef>
              <c:f>Exclusions!$E$3</c:f>
              <c:strCache>
                <c:ptCount val="1"/>
                <c:pt idx="0">
                  <c:v>Norfolk_Norwich</c:v>
                </c:pt>
              </c:strCache>
            </c:strRef>
          </c:tx>
          <c:spPr>
            <a:ln w="28575" cap="rnd">
              <a:solidFill>
                <a:schemeClr val="bg1">
                  <a:lumMod val="85000"/>
                </a:schemeClr>
              </a:solidFill>
              <a:round/>
            </a:ln>
            <a:effectLst/>
          </c:spPr>
          <c:marker>
            <c:symbol val="none"/>
          </c:marker>
          <c:cat>
            <c:strRef>
              <c:f>Exclusions!$A$4:$A$11</c:f>
              <c:strCache>
                <c:ptCount val="6"/>
                <c:pt idx="0">
                  <c:v>2013-14</c:v>
                </c:pt>
                <c:pt idx="1">
                  <c:v>2014-15</c:v>
                </c:pt>
                <c:pt idx="2">
                  <c:v>2015-16</c:v>
                </c:pt>
                <c:pt idx="3">
                  <c:v>2016-17</c:v>
                </c:pt>
                <c:pt idx="4">
                  <c:v>2017-18</c:v>
                </c:pt>
                <c:pt idx="5">
                  <c:v>2018-19</c:v>
                </c:pt>
              </c:strCache>
              <c:extLst/>
            </c:strRef>
          </c:cat>
          <c:val>
            <c:numRef>
              <c:f>Exclusions!$E$4:$E$11</c:f>
              <c:numCache>
                <c:formatCode>General</c:formatCode>
                <c:ptCount val="6"/>
                <c:pt idx="0">
                  <c:v>0.14091000000000001</c:v>
                </c:pt>
                <c:pt idx="1">
                  <c:v>0.13922999999999999</c:v>
                </c:pt>
                <c:pt idx="2">
                  <c:v>0.2213</c:v>
                </c:pt>
                <c:pt idx="3">
                  <c:v>0.17860000000000001</c:v>
                </c:pt>
                <c:pt idx="4">
                  <c:v>0.18645</c:v>
                </c:pt>
                <c:pt idx="5">
                  <c:v>0.18210999999999999</c:v>
                </c:pt>
              </c:numCache>
              <c:extLst/>
            </c:numRef>
          </c:val>
          <c:smooth val="0"/>
          <c:extLst>
            <c:ext xmlns:c16="http://schemas.microsoft.com/office/drawing/2014/chart" uri="{C3380CC4-5D6E-409C-BE32-E72D297353CC}">
              <c16:uniqueId val="{00000002-CDB4-419A-A5F9-BA58D60CBB9C}"/>
            </c:ext>
          </c:extLst>
        </c:ser>
        <c:ser>
          <c:idx val="4"/>
          <c:order val="4"/>
          <c:tx>
            <c:strRef>
              <c:f>Exclusions!$F$3</c:f>
              <c:strCache>
                <c:ptCount val="1"/>
                <c:pt idx="0">
                  <c:v>Doncaster</c:v>
                </c:pt>
              </c:strCache>
            </c:strRef>
          </c:tx>
          <c:spPr>
            <a:ln w="28575" cap="rnd">
              <a:solidFill>
                <a:schemeClr val="accent5"/>
              </a:solidFill>
              <a:round/>
            </a:ln>
            <a:effectLst/>
          </c:spPr>
          <c:marker>
            <c:symbol val="none"/>
          </c:marker>
          <c:cat>
            <c:strRef>
              <c:f>Exclusions!$A$4:$A$11</c:f>
              <c:strCache>
                <c:ptCount val="6"/>
                <c:pt idx="0">
                  <c:v>2013-14</c:v>
                </c:pt>
                <c:pt idx="1">
                  <c:v>2014-15</c:v>
                </c:pt>
                <c:pt idx="2">
                  <c:v>2015-16</c:v>
                </c:pt>
                <c:pt idx="3">
                  <c:v>2016-17</c:v>
                </c:pt>
                <c:pt idx="4">
                  <c:v>2017-18</c:v>
                </c:pt>
                <c:pt idx="5">
                  <c:v>2018-19</c:v>
                </c:pt>
              </c:strCache>
              <c:extLst/>
            </c:strRef>
          </c:cat>
          <c:val>
            <c:numRef>
              <c:f>Exclusions!$F$4:$F$11</c:f>
              <c:numCache>
                <c:formatCode>General</c:formatCode>
                <c:ptCount val="6"/>
                <c:pt idx="0">
                  <c:v>4.2300000000000003E-3</c:v>
                </c:pt>
                <c:pt idx="1">
                  <c:v>0</c:v>
                </c:pt>
                <c:pt idx="2">
                  <c:v>1.2579999999999999E-2</c:v>
                </c:pt>
                <c:pt idx="3">
                  <c:v>1.0529999999999999E-2</c:v>
                </c:pt>
                <c:pt idx="4">
                  <c:v>8.8669999999999999E-2</c:v>
                </c:pt>
                <c:pt idx="5">
                  <c:v>0.21579000000000001</c:v>
                </c:pt>
              </c:numCache>
              <c:extLst/>
            </c:numRef>
          </c:val>
          <c:smooth val="0"/>
          <c:extLst>
            <c:ext xmlns:c16="http://schemas.microsoft.com/office/drawing/2014/chart" uri="{C3380CC4-5D6E-409C-BE32-E72D297353CC}">
              <c16:uniqueId val="{00000003-CDB4-419A-A5F9-BA58D60CBB9C}"/>
            </c:ext>
          </c:extLst>
        </c:ser>
        <c:ser>
          <c:idx val="5"/>
          <c:order val="5"/>
          <c:tx>
            <c:strRef>
              <c:f>Exclusions!$G$3</c:f>
              <c:strCache>
                <c:ptCount val="1"/>
                <c:pt idx="0">
                  <c:v>Suffolk_Ipswich </c:v>
                </c:pt>
              </c:strCache>
            </c:strRef>
          </c:tx>
          <c:spPr>
            <a:ln w="28575" cap="rnd">
              <a:solidFill>
                <a:schemeClr val="bg1">
                  <a:lumMod val="85000"/>
                </a:schemeClr>
              </a:solidFill>
              <a:round/>
            </a:ln>
            <a:effectLst/>
          </c:spPr>
          <c:marker>
            <c:symbol val="none"/>
          </c:marker>
          <c:cat>
            <c:strRef>
              <c:f>Exclusions!$A$4:$A$11</c:f>
              <c:strCache>
                <c:ptCount val="6"/>
                <c:pt idx="0">
                  <c:v>2013-14</c:v>
                </c:pt>
                <c:pt idx="1">
                  <c:v>2014-15</c:v>
                </c:pt>
                <c:pt idx="2">
                  <c:v>2015-16</c:v>
                </c:pt>
                <c:pt idx="3">
                  <c:v>2016-17</c:v>
                </c:pt>
                <c:pt idx="4">
                  <c:v>2017-18</c:v>
                </c:pt>
                <c:pt idx="5">
                  <c:v>2018-19</c:v>
                </c:pt>
              </c:strCache>
              <c:extLst/>
            </c:strRef>
          </c:cat>
          <c:val>
            <c:numRef>
              <c:f>Exclusions!$G$4:$G$11</c:f>
              <c:numCache>
                <c:formatCode>General</c:formatCode>
                <c:ptCount val="6"/>
                <c:pt idx="0">
                  <c:v>8.2419999999999993E-2</c:v>
                </c:pt>
                <c:pt idx="1">
                  <c:v>8.0930000000000002E-2</c:v>
                </c:pt>
                <c:pt idx="2">
                  <c:v>7.4359999999999996E-2</c:v>
                </c:pt>
                <c:pt idx="3">
                  <c:v>9.1730000000000006E-2</c:v>
                </c:pt>
                <c:pt idx="4">
                  <c:v>9.6290000000000001E-2</c:v>
                </c:pt>
                <c:pt idx="5">
                  <c:v>0.10338</c:v>
                </c:pt>
              </c:numCache>
              <c:extLst/>
            </c:numRef>
          </c:val>
          <c:smooth val="0"/>
          <c:extLst>
            <c:ext xmlns:c16="http://schemas.microsoft.com/office/drawing/2014/chart" uri="{C3380CC4-5D6E-409C-BE32-E72D297353CC}">
              <c16:uniqueId val="{00000004-CDB4-419A-A5F9-BA58D60CBB9C}"/>
            </c:ext>
          </c:extLst>
        </c:ser>
        <c:ser>
          <c:idx val="6"/>
          <c:order val="6"/>
          <c:tx>
            <c:strRef>
              <c:f>Exclusions!$H$3</c:f>
              <c:strCache>
                <c:ptCount val="1"/>
                <c:pt idx="0">
                  <c:v>Bradford</c:v>
                </c:pt>
              </c:strCache>
            </c:strRef>
          </c:tx>
          <c:spPr>
            <a:ln w="28575" cap="rnd">
              <a:solidFill>
                <a:schemeClr val="bg2">
                  <a:lumMod val="50000"/>
                </a:schemeClr>
              </a:solidFill>
              <a:round/>
            </a:ln>
            <a:effectLst/>
          </c:spPr>
          <c:marker>
            <c:symbol val="none"/>
          </c:marker>
          <c:cat>
            <c:strRef>
              <c:f>Exclusions!$A$4:$A$11</c:f>
              <c:strCache>
                <c:ptCount val="6"/>
                <c:pt idx="0">
                  <c:v>2013-14</c:v>
                </c:pt>
                <c:pt idx="1">
                  <c:v>2014-15</c:v>
                </c:pt>
                <c:pt idx="2">
                  <c:v>2015-16</c:v>
                </c:pt>
                <c:pt idx="3">
                  <c:v>2016-17</c:v>
                </c:pt>
                <c:pt idx="4">
                  <c:v>2017-18</c:v>
                </c:pt>
                <c:pt idx="5">
                  <c:v>2018-19</c:v>
                </c:pt>
              </c:strCache>
              <c:extLst/>
            </c:strRef>
          </c:cat>
          <c:val>
            <c:numRef>
              <c:f>Exclusions!$H$4:$H$11</c:f>
              <c:numCache>
                <c:formatCode>General</c:formatCode>
                <c:ptCount val="6"/>
                <c:pt idx="0">
                  <c:v>6.2899999999999996E-3</c:v>
                </c:pt>
                <c:pt idx="1">
                  <c:v>1.231E-2</c:v>
                </c:pt>
                <c:pt idx="2">
                  <c:v>1.529E-2</c:v>
                </c:pt>
                <c:pt idx="3">
                  <c:v>3.8429999999999999E-2</c:v>
                </c:pt>
                <c:pt idx="4">
                  <c:v>2.5239999999999999E-2</c:v>
                </c:pt>
                <c:pt idx="5">
                  <c:v>5.5219999999999998E-2</c:v>
                </c:pt>
              </c:numCache>
              <c:extLst/>
            </c:numRef>
          </c:val>
          <c:smooth val="0"/>
          <c:extLst>
            <c:ext xmlns:c16="http://schemas.microsoft.com/office/drawing/2014/chart" uri="{C3380CC4-5D6E-409C-BE32-E72D297353CC}">
              <c16:uniqueId val="{00000005-CDB4-419A-A5F9-BA58D60CBB9C}"/>
            </c:ext>
          </c:extLst>
        </c:ser>
        <c:ser>
          <c:idx val="7"/>
          <c:order val="7"/>
          <c:tx>
            <c:strRef>
              <c:f>Exclusions!$I$3</c:f>
              <c:strCache>
                <c:ptCount val="1"/>
                <c:pt idx="0">
                  <c:v>Somerset</c:v>
                </c:pt>
              </c:strCache>
            </c:strRef>
          </c:tx>
          <c:spPr>
            <a:ln w="28575" cap="rnd">
              <a:solidFill>
                <a:schemeClr val="bg1">
                  <a:lumMod val="85000"/>
                </a:schemeClr>
              </a:solidFill>
              <a:round/>
            </a:ln>
            <a:effectLst/>
          </c:spPr>
          <c:marker>
            <c:symbol val="none"/>
          </c:marker>
          <c:cat>
            <c:strRef>
              <c:f>Exclusions!$A$4:$A$11</c:f>
              <c:strCache>
                <c:ptCount val="6"/>
                <c:pt idx="0">
                  <c:v>2013-14</c:v>
                </c:pt>
                <c:pt idx="1">
                  <c:v>2014-15</c:v>
                </c:pt>
                <c:pt idx="2">
                  <c:v>2015-16</c:v>
                </c:pt>
                <c:pt idx="3">
                  <c:v>2016-17</c:v>
                </c:pt>
                <c:pt idx="4">
                  <c:v>2017-18</c:v>
                </c:pt>
                <c:pt idx="5">
                  <c:v>2018-19</c:v>
                </c:pt>
              </c:strCache>
              <c:extLst/>
            </c:strRef>
          </c:cat>
          <c:val>
            <c:numRef>
              <c:f>Exclusions!$I$4:$I$11</c:f>
              <c:numCache>
                <c:formatCode>General</c:formatCode>
                <c:ptCount val="6"/>
                <c:pt idx="0">
                  <c:v>5.3330000000000002E-2</c:v>
                </c:pt>
                <c:pt idx="1">
                  <c:v>5.5849999999999997E-2</c:v>
                </c:pt>
                <c:pt idx="2">
                  <c:v>9.4729999999999995E-2</c:v>
                </c:pt>
                <c:pt idx="3">
                  <c:v>0.13291</c:v>
                </c:pt>
                <c:pt idx="4">
                  <c:v>0.15787000000000001</c:v>
                </c:pt>
                <c:pt idx="5">
                  <c:v>0.14027000000000001</c:v>
                </c:pt>
              </c:numCache>
              <c:extLst/>
            </c:numRef>
          </c:val>
          <c:smooth val="0"/>
          <c:extLst>
            <c:ext xmlns:c16="http://schemas.microsoft.com/office/drawing/2014/chart" uri="{C3380CC4-5D6E-409C-BE32-E72D297353CC}">
              <c16:uniqueId val="{00000006-CDB4-419A-A5F9-BA58D60CBB9C}"/>
            </c:ext>
          </c:extLst>
        </c:ser>
        <c:ser>
          <c:idx val="8"/>
          <c:order val="8"/>
          <c:tx>
            <c:strRef>
              <c:f>Exclusions!$J$3</c:f>
              <c:strCache>
                <c:ptCount val="1"/>
                <c:pt idx="0">
                  <c:v>East Sussex_Hastings</c:v>
                </c:pt>
              </c:strCache>
            </c:strRef>
          </c:tx>
          <c:spPr>
            <a:ln w="28575" cap="rnd">
              <a:solidFill>
                <a:schemeClr val="bg1">
                  <a:lumMod val="85000"/>
                </a:schemeClr>
              </a:solidFill>
              <a:round/>
            </a:ln>
            <a:effectLst/>
          </c:spPr>
          <c:marker>
            <c:symbol val="none"/>
          </c:marker>
          <c:cat>
            <c:strRef>
              <c:f>Exclusions!$A$4:$A$11</c:f>
              <c:strCache>
                <c:ptCount val="6"/>
                <c:pt idx="0">
                  <c:v>2013-14</c:v>
                </c:pt>
                <c:pt idx="1">
                  <c:v>2014-15</c:v>
                </c:pt>
                <c:pt idx="2">
                  <c:v>2015-16</c:v>
                </c:pt>
                <c:pt idx="3">
                  <c:v>2016-17</c:v>
                </c:pt>
                <c:pt idx="4">
                  <c:v>2017-18</c:v>
                </c:pt>
                <c:pt idx="5">
                  <c:v>2018-19</c:v>
                </c:pt>
              </c:strCache>
              <c:extLst/>
            </c:strRef>
          </c:cat>
          <c:val>
            <c:numRef>
              <c:f>Exclusions!$J$4:$J$11</c:f>
              <c:numCache>
                <c:formatCode>General</c:formatCode>
                <c:ptCount val="6"/>
                <c:pt idx="0">
                  <c:v>9.9669999999999995E-2</c:v>
                </c:pt>
                <c:pt idx="1">
                  <c:v>0.1081</c:v>
                </c:pt>
                <c:pt idx="2">
                  <c:v>0.1371</c:v>
                </c:pt>
                <c:pt idx="3">
                  <c:v>0.10544000000000001</c:v>
                </c:pt>
                <c:pt idx="4">
                  <c:v>0.12399</c:v>
                </c:pt>
                <c:pt idx="5">
                  <c:v>0.12330000000000001</c:v>
                </c:pt>
              </c:numCache>
              <c:extLst/>
            </c:numRef>
          </c:val>
          <c:smooth val="0"/>
          <c:extLst>
            <c:ext xmlns:c16="http://schemas.microsoft.com/office/drawing/2014/chart" uri="{C3380CC4-5D6E-409C-BE32-E72D297353CC}">
              <c16:uniqueId val="{00000007-CDB4-419A-A5F9-BA58D60CBB9C}"/>
            </c:ext>
          </c:extLst>
        </c:ser>
        <c:ser>
          <c:idx val="9"/>
          <c:order val="9"/>
          <c:tx>
            <c:strRef>
              <c:f>Exclusions!$K$3</c:f>
              <c:strCache>
                <c:ptCount val="1"/>
                <c:pt idx="0">
                  <c:v>Oldham</c:v>
                </c:pt>
              </c:strCache>
            </c:strRef>
          </c:tx>
          <c:spPr>
            <a:ln w="28575" cap="rnd">
              <a:solidFill>
                <a:schemeClr val="bg1">
                  <a:lumMod val="85000"/>
                </a:schemeClr>
              </a:solidFill>
              <a:round/>
            </a:ln>
            <a:effectLst/>
          </c:spPr>
          <c:marker>
            <c:symbol val="none"/>
          </c:marker>
          <c:cat>
            <c:strRef>
              <c:f>Exclusions!$A$4:$A$11</c:f>
              <c:strCache>
                <c:ptCount val="6"/>
                <c:pt idx="0">
                  <c:v>2013-14</c:v>
                </c:pt>
                <c:pt idx="1">
                  <c:v>2014-15</c:v>
                </c:pt>
                <c:pt idx="2">
                  <c:v>2015-16</c:v>
                </c:pt>
                <c:pt idx="3">
                  <c:v>2016-17</c:v>
                </c:pt>
                <c:pt idx="4">
                  <c:v>2017-18</c:v>
                </c:pt>
                <c:pt idx="5">
                  <c:v>2018-19</c:v>
                </c:pt>
              </c:strCache>
              <c:extLst/>
            </c:strRef>
          </c:cat>
          <c:val>
            <c:numRef>
              <c:f>Exclusions!$K$4:$K$11</c:f>
              <c:numCache>
                <c:formatCode>General</c:formatCode>
                <c:ptCount val="6"/>
                <c:pt idx="0">
                  <c:v>0.12149</c:v>
                </c:pt>
                <c:pt idx="1">
                  <c:v>0.15115999999999999</c:v>
                </c:pt>
                <c:pt idx="2">
                  <c:v>0.18246999999999999</c:v>
                </c:pt>
                <c:pt idx="3">
                  <c:v>0.11992</c:v>
                </c:pt>
                <c:pt idx="4">
                  <c:v>0.1076</c:v>
                </c:pt>
                <c:pt idx="5">
                  <c:v>0.12922</c:v>
                </c:pt>
              </c:numCache>
              <c:extLst/>
            </c:numRef>
          </c:val>
          <c:smooth val="0"/>
          <c:extLst>
            <c:ext xmlns:c16="http://schemas.microsoft.com/office/drawing/2014/chart" uri="{C3380CC4-5D6E-409C-BE32-E72D297353CC}">
              <c16:uniqueId val="{00000008-CDB4-419A-A5F9-BA58D60CBB9C}"/>
            </c:ext>
          </c:extLst>
        </c:ser>
        <c:ser>
          <c:idx val="10"/>
          <c:order val="10"/>
          <c:tx>
            <c:strRef>
              <c:f>Exclusions!$L$3</c:f>
              <c:strCache>
                <c:ptCount val="1"/>
                <c:pt idx="0">
                  <c:v>North Yorkshire_Coastal</c:v>
                </c:pt>
              </c:strCache>
            </c:strRef>
          </c:tx>
          <c:spPr>
            <a:ln w="28575" cap="rnd">
              <a:solidFill>
                <a:schemeClr val="bg1">
                  <a:lumMod val="85000"/>
                </a:schemeClr>
              </a:solidFill>
              <a:round/>
            </a:ln>
            <a:effectLst/>
          </c:spPr>
          <c:marker>
            <c:symbol val="none"/>
          </c:marker>
          <c:cat>
            <c:strRef>
              <c:f>Exclusions!$A$4:$A$11</c:f>
              <c:strCache>
                <c:ptCount val="6"/>
                <c:pt idx="0">
                  <c:v>2013-14</c:v>
                </c:pt>
                <c:pt idx="1">
                  <c:v>2014-15</c:v>
                </c:pt>
                <c:pt idx="2">
                  <c:v>2015-16</c:v>
                </c:pt>
                <c:pt idx="3">
                  <c:v>2016-17</c:v>
                </c:pt>
                <c:pt idx="4">
                  <c:v>2017-18</c:v>
                </c:pt>
                <c:pt idx="5">
                  <c:v>2018-19</c:v>
                </c:pt>
              </c:strCache>
              <c:extLst/>
            </c:strRef>
          </c:cat>
          <c:val>
            <c:numRef>
              <c:f>Exclusions!$L$4:$L$11</c:f>
              <c:numCache>
                <c:formatCode>General</c:formatCode>
                <c:ptCount val="6"/>
                <c:pt idx="0">
                  <c:v>6.4430000000000001E-2</c:v>
                </c:pt>
                <c:pt idx="1">
                  <c:v>5.8569999999999997E-2</c:v>
                </c:pt>
                <c:pt idx="2">
                  <c:v>8.0329999999999999E-2</c:v>
                </c:pt>
                <c:pt idx="3">
                  <c:v>0.10312</c:v>
                </c:pt>
                <c:pt idx="4">
                  <c:v>0.11643000000000001</c:v>
                </c:pt>
                <c:pt idx="5">
                  <c:v>8.2250000000000004E-2</c:v>
                </c:pt>
              </c:numCache>
              <c:extLst/>
            </c:numRef>
          </c:val>
          <c:smooth val="0"/>
          <c:extLst>
            <c:ext xmlns:c16="http://schemas.microsoft.com/office/drawing/2014/chart" uri="{C3380CC4-5D6E-409C-BE32-E72D297353CC}">
              <c16:uniqueId val="{00000009-CDB4-419A-A5F9-BA58D60CBB9C}"/>
            </c:ext>
          </c:extLst>
        </c:ser>
        <c:ser>
          <c:idx val="11"/>
          <c:order val="11"/>
          <c:tx>
            <c:strRef>
              <c:f>Exclusions!$M$3</c:f>
              <c:strCache>
                <c:ptCount val="1"/>
                <c:pt idx="0">
                  <c:v>West Sussex</c:v>
                </c:pt>
              </c:strCache>
            </c:strRef>
          </c:tx>
          <c:spPr>
            <a:ln w="28575" cap="rnd">
              <a:solidFill>
                <a:schemeClr val="bg1">
                  <a:lumMod val="85000"/>
                </a:schemeClr>
              </a:solidFill>
              <a:round/>
            </a:ln>
            <a:effectLst/>
          </c:spPr>
          <c:marker>
            <c:symbol val="none"/>
          </c:marker>
          <c:cat>
            <c:strRef>
              <c:f>Exclusions!$A$4:$A$11</c:f>
              <c:strCache>
                <c:ptCount val="6"/>
                <c:pt idx="0">
                  <c:v>2013-14</c:v>
                </c:pt>
                <c:pt idx="1">
                  <c:v>2014-15</c:v>
                </c:pt>
                <c:pt idx="2">
                  <c:v>2015-16</c:v>
                </c:pt>
                <c:pt idx="3">
                  <c:v>2016-17</c:v>
                </c:pt>
                <c:pt idx="4">
                  <c:v>2017-18</c:v>
                </c:pt>
                <c:pt idx="5">
                  <c:v>2018-19</c:v>
                </c:pt>
              </c:strCache>
              <c:extLst/>
            </c:strRef>
          </c:cat>
          <c:val>
            <c:numRef>
              <c:f>Exclusions!$M$4:$M$11</c:f>
              <c:numCache>
                <c:formatCode>General</c:formatCode>
                <c:ptCount val="6"/>
                <c:pt idx="0">
                  <c:v>6.1760000000000002E-2</c:v>
                </c:pt>
                <c:pt idx="1">
                  <c:v>7.8770000000000007E-2</c:v>
                </c:pt>
                <c:pt idx="2">
                  <c:v>7.6609999999999998E-2</c:v>
                </c:pt>
                <c:pt idx="3">
                  <c:v>0.11051999999999999</c:v>
                </c:pt>
                <c:pt idx="4">
                  <c:v>0.11745999999999999</c:v>
                </c:pt>
                <c:pt idx="5">
                  <c:v>0.12234</c:v>
                </c:pt>
              </c:numCache>
              <c:extLst/>
            </c:numRef>
          </c:val>
          <c:smooth val="0"/>
          <c:extLst>
            <c:ext xmlns:c16="http://schemas.microsoft.com/office/drawing/2014/chart" uri="{C3380CC4-5D6E-409C-BE32-E72D297353CC}">
              <c16:uniqueId val="{0000000A-CDB4-419A-A5F9-BA58D60CBB9C}"/>
            </c:ext>
          </c:extLst>
        </c:ser>
        <c:ser>
          <c:idx val="12"/>
          <c:order val="12"/>
          <c:tx>
            <c:strRef>
              <c:f>Exclusions!$N$3</c:f>
              <c:strCache>
                <c:ptCount val="1"/>
                <c:pt idx="0">
                  <c:v>Derby</c:v>
                </c:pt>
              </c:strCache>
            </c:strRef>
          </c:tx>
          <c:spPr>
            <a:ln w="28575" cap="rnd">
              <a:solidFill>
                <a:schemeClr val="bg1">
                  <a:lumMod val="85000"/>
                </a:schemeClr>
              </a:solidFill>
              <a:round/>
            </a:ln>
            <a:effectLst/>
          </c:spPr>
          <c:marker>
            <c:symbol val="none"/>
          </c:marker>
          <c:cat>
            <c:strRef>
              <c:f>Exclusions!$A$4:$A$11</c:f>
              <c:strCache>
                <c:ptCount val="6"/>
                <c:pt idx="0">
                  <c:v>2013-14</c:v>
                </c:pt>
                <c:pt idx="1">
                  <c:v>2014-15</c:v>
                </c:pt>
                <c:pt idx="2">
                  <c:v>2015-16</c:v>
                </c:pt>
                <c:pt idx="3">
                  <c:v>2016-17</c:v>
                </c:pt>
                <c:pt idx="4">
                  <c:v>2017-18</c:v>
                </c:pt>
                <c:pt idx="5">
                  <c:v>2018-19</c:v>
                </c:pt>
              </c:strCache>
              <c:extLst/>
            </c:strRef>
          </c:cat>
          <c:val>
            <c:numRef>
              <c:f>Exclusions!$N$4:$N$11</c:f>
              <c:numCache>
                <c:formatCode>General</c:formatCode>
                <c:ptCount val="6"/>
                <c:pt idx="0">
                  <c:v>0.10727</c:v>
                </c:pt>
                <c:pt idx="1">
                  <c:v>0.11056000000000001</c:v>
                </c:pt>
                <c:pt idx="2">
                  <c:v>0.10129000000000001</c:v>
                </c:pt>
                <c:pt idx="3">
                  <c:v>9.042E-2</c:v>
                </c:pt>
                <c:pt idx="4">
                  <c:v>0.15071000000000001</c:v>
                </c:pt>
                <c:pt idx="5">
                  <c:v>0.18384</c:v>
                </c:pt>
              </c:numCache>
              <c:extLst/>
            </c:numRef>
          </c:val>
          <c:smooth val="0"/>
          <c:extLst>
            <c:ext xmlns:c16="http://schemas.microsoft.com/office/drawing/2014/chart" uri="{C3380CC4-5D6E-409C-BE32-E72D297353CC}">
              <c16:uniqueId val="{0000000B-CDB4-419A-A5F9-BA58D60CBB9C}"/>
            </c:ext>
          </c:extLst>
        </c:ser>
        <c:ser>
          <c:idx val="13"/>
          <c:order val="13"/>
          <c:tx>
            <c:strRef>
              <c:f>Exclusions!$O$3</c:f>
              <c:strCache>
                <c:ptCount val="1"/>
                <c:pt idx="0">
                  <c:v>Fenland &amp; East Cambridgeshire</c:v>
                </c:pt>
              </c:strCache>
            </c:strRef>
          </c:tx>
          <c:spPr>
            <a:ln w="28575" cap="rnd">
              <a:solidFill>
                <a:schemeClr val="tx2">
                  <a:lumMod val="50000"/>
                  <a:lumOff val="50000"/>
                </a:schemeClr>
              </a:solidFill>
              <a:round/>
            </a:ln>
            <a:effectLst/>
          </c:spPr>
          <c:marker>
            <c:symbol val="none"/>
          </c:marker>
          <c:cat>
            <c:strRef>
              <c:f>Exclusions!$A$4:$A$11</c:f>
              <c:strCache>
                <c:ptCount val="6"/>
                <c:pt idx="0">
                  <c:v>2013-14</c:v>
                </c:pt>
                <c:pt idx="1">
                  <c:v>2014-15</c:v>
                </c:pt>
                <c:pt idx="2">
                  <c:v>2015-16</c:v>
                </c:pt>
                <c:pt idx="3">
                  <c:v>2016-17</c:v>
                </c:pt>
                <c:pt idx="4">
                  <c:v>2017-18</c:v>
                </c:pt>
                <c:pt idx="5">
                  <c:v>2018-19</c:v>
                </c:pt>
              </c:strCache>
              <c:extLst/>
            </c:strRef>
          </c:cat>
          <c:val>
            <c:numRef>
              <c:f>Exclusions!$O$4:$O$11</c:f>
              <c:numCache>
                <c:formatCode>General</c:formatCode>
                <c:ptCount val="6"/>
                <c:pt idx="0">
                  <c:v>1.3690000000000001E-2</c:v>
                </c:pt>
                <c:pt idx="1">
                  <c:v>1.2279999999999999E-2</c:v>
                </c:pt>
                <c:pt idx="2">
                  <c:v>3.62E-3</c:v>
                </c:pt>
                <c:pt idx="3">
                  <c:v>8.3400000000000002E-3</c:v>
                </c:pt>
                <c:pt idx="4">
                  <c:v>8.2400000000000008E-3</c:v>
                </c:pt>
                <c:pt idx="5">
                  <c:v>1.278E-2</c:v>
                </c:pt>
              </c:numCache>
              <c:extLst/>
            </c:numRef>
          </c:val>
          <c:smooth val="0"/>
          <c:extLst>
            <c:ext xmlns:c16="http://schemas.microsoft.com/office/drawing/2014/chart" uri="{C3380CC4-5D6E-409C-BE32-E72D297353CC}">
              <c16:uniqueId val="{0000000C-CDB4-419A-A5F9-BA58D60CBB9C}"/>
            </c:ext>
          </c:extLst>
        </c:ser>
        <c:ser>
          <c:idx val="14"/>
          <c:order val="14"/>
          <c:tx>
            <c:strRef>
              <c:f>Exclusions!$P$3</c:f>
              <c:strCache>
                <c:ptCount val="1"/>
                <c:pt idx="0">
                  <c:v>National Exclusion </c:v>
                </c:pt>
              </c:strCache>
            </c:strRef>
          </c:tx>
          <c:spPr>
            <a:ln w="41275" cap="rnd">
              <a:solidFill>
                <a:srgbClr val="FF0000"/>
              </a:solidFill>
              <a:prstDash val="sysDash"/>
              <a:round/>
            </a:ln>
            <a:effectLst/>
          </c:spPr>
          <c:marker>
            <c:symbol val="none"/>
          </c:marker>
          <c:cat>
            <c:strRef>
              <c:f>Exclusions!$A$4:$A$11</c:f>
              <c:strCache>
                <c:ptCount val="6"/>
                <c:pt idx="0">
                  <c:v>2013-14</c:v>
                </c:pt>
                <c:pt idx="1">
                  <c:v>2014-15</c:v>
                </c:pt>
                <c:pt idx="2">
                  <c:v>2015-16</c:v>
                </c:pt>
                <c:pt idx="3">
                  <c:v>2016-17</c:v>
                </c:pt>
                <c:pt idx="4">
                  <c:v>2017-18</c:v>
                </c:pt>
                <c:pt idx="5">
                  <c:v>2018-19</c:v>
                </c:pt>
              </c:strCache>
              <c:extLst/>
            </c:strRef>
          </c:cat>
          <c:val>
            <c:numRef>
              <c:f>Exclusions!$P$4:$P$11</c:f>
              <c:numCache>
                <c:formatCode>General</c:formatCode>
                <c:ptCount val="6"/>
                <c:pt idx="0">
                  <c:v>6.429E-2</c:v>
                </c:pt>
                <c:pt idx="1">
                  <c:v>7.4300000000000005E-2</c:v>
                </c:pt>
                <c:pt idx="2">
                  <c:v>8.4430000000000005E-2</c:v>
                </c:pt>
                <c:pt idx="3">
                  <c:v>2.6720000000000001E-2</c:v>
                </c:pt>
                <c:pt idx="4">
                  <c:v>9.7680000000000003E-2</c:v>
                </c:pt>
                <c:pt idx="5">
                  <c:v>0.20291999999999999</c:v>
                </c:pt>
              </c:numCache>
              <c:extLst/>
            </c:numRef>
          </c:val>
          <c:smooth val="0"/>
          <c:extLst>
            <c:ext xmlns:c16="http://schemas.microsoft.com/office/drawing/2014/chart" uri="{C3380CC4-5D6E-409C-BE32-E72D297353CC}">
              <c16:uniqueId val="{0000000D-CDB4-419A-A5F9-BA58D60CBB9C}"/>
            </c:ext>
          </c:extLst>
        </c:ser>
        <c:dLbls>
          <c:showLegendKey val="0"/>
          <c:showVal val="0"/>
          <c:showCatName val="0"/>
          <c:showSerName val="0"/>
          <c:showPercent val="0"/>
          <c:showBubbleSize val="0"/>
        </c:dLbls>
        <c:smooth val="0"/>
        <c:axId val="453976864"/>
        <c:axId val="453975424"/>
        <c:extLst>
          <c:ext xmlns:c15="http://schemas.microsoft.com/office/drawing/2012/chart" uri="{02D57815-91ED-43cb-92C2-25804820EDAC}">
            <c15:filteredLineSeries>
              <c15:ser>
                <c:idx val="2"/>
                <c:order val="2"/>
                <c:tx>
                  <c:strRef>
                    <c:extLst>
                      <c:ext uri="{02D57815-91ED-43cb-92C2-25804820EDAC}">
                        <c15:formulaRef>
                          <c15:sqref>Exclusions!$D$3</c15:sqref>
                        </c15:formulaRef>
                      </c:ext>
                    </c:extLst>
                    <c:strCache>
                      <c:ptCount val="1"/>
                      <c:pt idx="0">
                        <c:v>Nottingham</c:v>
                      </c:pt>
                    </c:strCache>
                  </c:strRef>
                </c:tx>
                <c:spPr>
                  <a:ln w="28575" cap="rnd">
                    <a:solidFill>
                      <a:schemeClr val="bg1">
                        <a:lumMod val="85000"/>
                      </a:schemeClr>
                    </a:solidFill>
                    <a:round/>
                  </a:ln>
                  <a:effectLst/>
                </c:spPr>
                <c:marker>
                  <c:symbol val="none"/>
                </c:marker>
                <c:cat>
                  <c:strRef>
                    <c:extLst>
                      <c:ext uri="{02D57815-91ED-43cb-92C2-25804820EDAC}">
                        <c15:formulaRef>
                          <c15:sqref>Exclusions!$A$4:$A$11</c15:sqref>
                        </c15:formulaRef>
                      </c:ext>
                    </c:extLst>
                    <c:strCache>
                      <c:ptCount val="6"/>
                      <c:pt idx="0">
                        <c:v>2013-14</c:v>
                      </c:pt>
                      <c:pt idx="1">
                        <c:v>2014-15</c:v>
                      </c:pt>
                      <c:pt idx="2">
                        <c:v>2015-16</c:v>
                      </c:pt>
                      <c:pt idx="3">
                        <c:v>2016-17</c:v>
                      </c:pt>
                      <c:pt idx="4">
                        <c:v>2017-18</c:v>
                      </c:pt>
                      <c:pt idx="5">
                        <c:v>2018-19</c:v>
                      </c:pt>
                    </c:strCache>
                  </c:strRef>
                </c:cat>
                <c:val>
                  <c:numRef>
                    <c:extLst>
                      <c:ext uri="{02D57815-91ED-43cb-92C2-25804820EDAC}">
                        <c15:formulaRef>
                          <c15:sqref>Exclusions!$D$4:$D$11</c15:sqref>
                        </c15:formulaRef>
                      </c:ext>
                    </c:extLst>
                    <c:numCache>
                      <c:formatCode>General</c:formatCode>
                      <c:ptCount val="6"/>
                      <c:pt idx="0">
                        <c:v>0.14656</c:v>
                      </c:pt>
                      <c:pt idx="1">
                        <c:v>0.12869</c:v>
                      </c:pt>
                      <c:pt idx="2">
                        <c:v>0.19533</c:v>
                      </c:pt>
                      <c:pt idx="3">
                        <c:v>0.20052</c:v>
                      </c:pt>
                      <c:pt idx="4">
                        <c:v>0.13161</c:v>
                      </c:pt>
                      <c:pt idx="5">
                        <c:v>0.15026999999999999</c:v>
                      </c:pt>
                    </c:numCache>
                  </c:numRef>
                </c:val>
                <c:smooth val="0"/>
                <c:extLst>
                  <c:ext xmlns:c16="http://schemas.microsoft.com/office/drawing/2014/chart" uri="{C3380CC4-5D6E-409C-BE32-E72D297353CC}">
                    <c16:uniqueId val="{0000000E-CDB4-419A-A5F9-BA58D60CBB9C}"/>
                  </c:ext>
                </c:extLst>
              </c15:ser>
            </c15:filteredLineSeries>
          </c:ext>
        </c:extLst>
      </c:lineChart>
      <c:catAx>
        <c:axId val="453976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3975424"/>
        <c:crosses val="autoZero"/>
        <c:auto val="1"/>
        <c:lblAlgn val="ctr"/>
        <c:lblOffset val="100"/>
        <c:noMultiLvlLbl val="0"/>
      </c:catAx>
      <c:valAx>
        <c:axId val="453975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3976864"/>
        <c:crosses val="autoZero"/>
        <c:crossBetween val="between"/>
      </c:valAx>
      <c:spPr>
        <a:noFill/>
        <a:ln>
          <a:noFill/>
        </a:ln>
        <a:effectLst/>
      </c:spPr>
    </c:plotArea>
    <c:legend>
      <c:legendPos val="b"/>
      <c:layout>
        <c:manualLayout>
          <c:xMode val="edge"/>
          <c:yMode val="edge"/>
          <c:x val="7.0861430931813782E-2"/>
          <c:y val="0.71864529850707837"/>
          <c:w val="0.89594609448469953"/>
          <c:h val="0.253976146212593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571036031377873E-2"/>
          <c:y val="6.1932712956335012E-2"/>
          <c:w val="0.83136107447840424"/>
          <c:h val="0.61996733110064661"/>
        </c:manualLayout>
      </c:layout>
      <c:lineChart>
        <c:grouping val="standard"/>
        <c:varyColors val="0"/>
        <c:ser>
          <c:idx val="0"/>
          <c:order val="0"/>
          <c:tx>
            <c:strRef>
              <c:f>'Attendance Secondary '!$B$18</c:f>
              <c:strCache>
                <c:ptCount val="1"/>
                <c:pt idx="0">
                  <c:v>Bradford</c:v>
                </c:pt>
              </c:strCache>
            </c:strRef>
          </c:tx>
          <c:spPr>
            <a:ln w="38100" cap="rnd" cmpd="sng">
              <a:solidFill>
                <a:schemeClr val="tx2">
                  <a:lumMod val="50000"/>
                  <a:lumOff val="50000"/>
                </a:schemeClr>
              </a:solidFill>
              <a:round/>
            </a:ln>
            <a:effectLst/>
          </c:spPr>
          <c:marker>
            <c:symbol val="none"/>
          </c:marker>
          <c:cat>
            <c:strRef>
              <c:f>'Attendance Secondary '!$A$19:$A$26</c:f>
              <c:strCache>
                <c:ptCount val="6"/>
                <c:pt idx="0">
                  <c:v>2013-14</c:v>
                </c:pt>
                <c:pt idx="1">
                  <c:v>2014-15</c:v>
                </c:pt>
                <c:pt idx="2">
                  <c:v>2015-16</c:v>
                </c:pt>
                <c:pt idx="3">
                  <c:v>2016-17</c:v>
                </c:pt>
                <c:pt idx="4">
                  <c:v>2017-18</c:v>
                </c:pt>
                <c:pt idx="5">
                  <c:v>2018-19</c:v>
                </c:pt>
              </c:strCache>
              <c:extLst/>
            </c:strRef>
          </c:cat>
          <c:val>
            <c:numRef>
              <c:f>'Attendance Secondary '!$B$19:$B$26</c:f>
              <c:numCache>
                <c:formatCode>General</c:formatCode>
                <c:ptCount val="6"/>
                <c:pt idx="0">
                  <c:v>6</c:v>
                </c:pt>
                <c:pt idx="1">
                  <c:v>6</c:v>
                </c:pt>
                <c:pt idx="2">
                  <c:v>5.7</c:v>
                </c:pt>
                <c:pt idx="3">
                  <c:v>6</c:v>
                </c:pt>
                <c:pt idx="4">
                  <c:v>6.2</c:v>
                </c:pt>
                <c:pt idx="5">
                  <c:v>6.7</c:v>
                </c:pt>
              </c:numCache>
              <c:extLst/>
            </c:numRef>
          </c:val>
          <c:smooth val="0"/>
          <c:extLst>
            <c:ext xmlns:c16="http://schemas.microsoft.com/office/drawing/2014/chart" uri="{C3380CC4-5D6E-409C-BE32-E72D297353CC}">
              <c16:uniqueId val="{00000000-340F-4FAA-986D-0E878E6153DB}"/>
            </c:ext>
          </c:extLst>
        </c:ser>
        <c:ser>
          <c:idx val="1"/>
          <c:order val="1"/>
          <c:tx>
            <c:strRef>
              <c:f>'Attendance Secondary '!$C$18</c:f>
              <c:strCache>
                <c:ptCount val="1"/>
                <c:pt idx="0">
                  <c:v>Fenland and East Cambrdigeshire</c:v>
                </c:pt>
              </c:strCache>
            </c:strRef>
          </c:tx>
          <c:spPr>
            <a:ln w="28575" cap="rnd">
              <a:solidFill>
                <a:schemeClr val="accent2"/>
              </a:solidFill>
              <a:round/>
            </a:ln>
            <a:effectLst/>
          </c:spPr>
          <c:marker>
            <c:symbol val="none"/>
          </c:marker>
          <c:cat>
            <c:strRef>
              <c:f>'Attendance Secondary '!$A$19:$A$26</c:f>
              <c:strCache>
                <c:ptCount val="6"/>
                <c:pt idx="0">
                  <c:v>2013-14</c:v>
                </c:pt>
                <c:pt idx="1">
                  <c:v>2014-15</c:v>
                </c:pt>
                <c:pt idx="2">
                  <c:v>2015-16</c:v>
                </c:pt>
                <c:pt idx="3">
                  <c:v>2016-17</c:v>
                </c:pt>
                <c:pt idx="4">
                  <c:v>2017-18</c:v>
                </c:pt>
                <c:pt idx="5">
                  <c:v>2018-19</c:v>
                </c:pt>
              </c:strCache>
              <c:extLst/>
            </c:strRef>
          </c:cat>
          <c:val>
            <c:numRef>
              <c:f>'Attendance Secondary '!$C$19:$C$26</c:f>
              <c:numCache>
                <c:formatCode>General</c:formatCode>
                <c:ptCount val="6"/>
                <c:pt idx="0">
                  <c:v>5.4</c:v>
                </c:pt>
                <c:pt idx="1">
                  <c:v>5.2</c:v>
                </c:pt>
                <c:pt idx="2">
                  <c:v>4.9000000000000004</c:v>
                </c:pt>
                <c:pt idx="3">
                  <c:v>5.0999999999999996</c:v>
                </c:pt>
                <c:pt idx="4">
                  <c:v>5.3</c:v>
                </c:pt>
                <c:pt idx="5">
                  <c:v>6.7</c:v>
                </c:pt>
              </c:numCache>
              <c:extLst/>
            </c:numRef>
          </c:val>
          <c:smooth val="0"/>
          <c:extLst>
            <c:ext xmlns:c16="http://schemas.microsoft.com/office/drawing/2014/chart" uri="{C3380CC4-5D6E-409C-BE32-E72D297353CC}">
              <c16:uniqueId val="{00000001-340F-4FAA-986D-0E878E6153DB}"/>
            </c:ext>
          </c:extLst>
        </c:ser>
        <c:ser>
          <c:idx val="2"/>
          <c:order val="2"/>
          <c:tx>
            <c:strRef>
              <c:f>'Attendance Secondary '!$D$18</c:f>
              <c:strCache>
                <c:ptCount val="1"/>
                <c:pt idx="0">
                  <c:v>Blackpool</c:v>
                </c:pt>
              </c:strCache>
            </c:strRef>
          </c:tx>
          <c:spPr>
            <a:ln w="28575" cap="rnd">
              <a:solidFill>
                <a:schemeClr val="bg2">
                  <a:lumMod val="50000"/>
                </a:schemeClr>
              </a:solidFill>
              <a:round/>
            </a:ln>
            <a:effectLst/>
          </c:spPr>
          <c:marker>
            <c:symbol val="none"/>
          </c:marker>
          <c:cat>
            <c:strRef>
              <c:f>'Attendance Secondary '!$A$19:$A$26</c:f>
              <c:strCache>
                <c:ptCount val="6"/>
                <c:pt idx="0">
                  <c:v>2013-14</c:v>
                </c:pt>
                <c:pt idx="1">
                  <c:v>2014-15</c:v>
                </c:pt>
                <c:pt idx="2">
                  <c:v>2015-16</c:v>
                </c:pt>
                <c:pt idx="3">
                  <c:v>2016-17</c:v>
                </c:pt>
                <c:pt idx="4">
                  <c:v>2017-18</c:v>
                </c:pt>
                <c:pt idx="5">
                  <c:v>2018-19</c:v>
                </c:pt>
              </c:strCache>
              <c:extLst/>
            </c:strRef>
          </c:cat>
          <c:val>
            <c:numRef>
              <c:f>'Attendance Secondary '!$D$19:$D$26</c:f>
              <c:numCache>
                <c:formatCode>General</c:formatCode>
                <c:ptCount val="6"/>
                <c:pt idx="0">
                  <c:v>6.3</c:v>
                </c:pt>
                <c:pt idx="1">
                  <c:v>6.6</c:v>
                </c:pt>
                <c:pt idx="2">
                  <c:v>6.1</c:v>
                </c:pt>
                <c:pt idx="3">
                  <c:v>6.2</c:v>
                </c:pt>
                <c:pt idx="4">
                  <c:v>6.5</c:v>
                </c:pt>
                <c:pt idx="5">
                  <c:v>5.5</c:v>
                </c:pt>
              </c:numCache>
              <c:extLst/>
            </c:numRef>
          </c:val>
          <c:smooth val="0"/>
          <c:extLst>
            <c:ext xmlns:c16="http://schemas.microsoft.com/office/drawing/2014/chart" uri="{C3380CC4-5D6E-409C-BE32-E72D297353CC}">
              <c16:uniqueId val="{00000002-340F-4FAA-986D-0E878E6153DB}"/>
            </c:ext>
          </c:extLst>
        </c:ser>
        <c:ser>
          <c:idx val="3"/>
          <c:order val="3"/>
          <c:tx>
            <c:strRef>
              <c:f>'Attendance Secondary '!$E$18</c:f>
              <c:strCache>
                <c:ptCount val="1"/>
                <c:pt idx="0">
                  <c:v>Stoke-On-Trent</c:v>
                </c:pt>
              </c:strCache>
            </c:strRef>
          </c:tx>
          <c:spPr>
            <a:ln w="28575" cap="rnd">
              <a:solidFill>
                <a:schemeClr val="bg1">
                  <a:lumMod val="85000"/>
                </a:schemeClr>
              </a:solidFill>
              <a:round/>
            </a:ln>
            <a:effectLst/>
          </c:spPr>
          <c:marker>
            <c:symbol val="none"/>
          </c:marker>
          <c:cat>
            <c:strRef>
              <c:f>'Attendance Secondary '!$A$19:$A$26</c:f>
              <c:strCache>
                <c:ptCount val="6"/>
                <c:pt idx="0">
                  <c:v>2013-14</c:v>
                </c:pt>
                <c:pt idx="1">
                  <c:v>2014-15</c:v>
                </c:pt>
                <c:pt idx="2">
                  <c:v>2015-16</c:v>
                </c:pt>
                <c:pt idx="3">
                  <c:v>2016-17</c:v>
                </c:pt>
                <c:pt idx="4">
                  <c:v>2017-18</c:v>
                </c:pt>
                <c:pt idx="5">
                  <c:v>2018-19</c:v>
                </c:pt>
              </c:strCache>
              <c:extLst/>
            </c:strRef>
          </c:cat>
          <c:val>
            <c:numRef>
              <c:f>'Attendance Secondary '!$E$19:$E$26</c:f>
              <c:numCache>
                <c:formatCode>General</c:formatCode>
                <c:ptCount val="6"/>
                <c:pt idx="0">
                  <c:v>6.1</c:v>
                </c:pt>
                <c:pt idx="1">
                  <c:v>6</c:v>
                </c:pt>
                <c:pt idx="2">
                  <c:v>5.7</c:v>
                </c:pt>
                <c:pt idx="3">
                  <c:v>5.7</c:v>
                </c:pt>
                <c:pt idx="4">
                  <c:v>5.8</c:v>
                </c:pt>
                <c:pt idx="5">
                  <c:v>5.8</c:v>
                </c:pt>
              </c:numCache>
              <c:extLst/>
            </c:numRef>
          </c:val>
          <c:smooth val="0"/>
          <c:extLst>
            <c:ext xmlns:c16="http://schemas.microsoft.com/office/drawing/2014/chart" uri="{C3380CC4-5D6E-409C-BE32-E72D297353CC}">
              <c16:uniqueId val="{00000003-340F-4FAA-986D-0E878E6153DB}"/>
            </c:ext>
          </c:extLst>
        </c:ser>
        <c:ser>
          <c:idx val="4"/>
          <c:order val="4"/>
          <c:tx>
            <c:strRef>
              <c:f>'Attendance Secondary '!$F$18</c:f>
              <c:strCache>
                <c:ptCount val="1"/>
                <c:pt idx="0">
                  <c:v>East Sussex_Hastings</c:v>
                </c:pt>
              </c:strCache>
            </c:strRef>
          </c:tx>
          <c:spPr>
            <a:ln w="28575" cap="rnd">
              <a:solidFill>
                <a:schemeClr val="bg1">
                  <a:lumMod val="85000"/>
                </a:schemeClr>
              </a:solidFill>
              <a:round/>
            </a:ln>
            <a:effectLst/>
          </c:spPr>
          <c:marker>
            <c:symbol val="none"/>
          </c:marker>
          <c:cat>
            <c:strRef>
              <c:f>'Attendance Secondary '!$A$19:$A$26</c:f>
              <c:strCache>
                <c:ptCount val="6"/>
                <c:pt idx="0">
                  <c:v>2013-14</c:v>
                </c:pt>
                <c:pt idx="1">
                  <c:v>2014-15</c:v>
                </c:pt>
                <c:pt idx="2">
                  <c:v>2015-16</c:v>
                </c:pt>
                <c:pt idx="3">
                  <c:v>2016-17</c:v>
                </c:pt>
                <c:pt idx="4">
                  <c:v>2017-18</c:v>
                </c:pt>
                <c:pt idx="5">
                  <c:v>2018-19</c:v>
                </c:pt>
              </c:strCache>
              <c:extLst/>
            </c:strRef>
          </c:cat>
          <c:val>
            <c:numRef>
              <c:f>'Attendance Secondary '!$F$19:$F$26</c:f>
              <c:numCache>
                <c:formatCode>General</c:formatCode>
                <c:ptCount val="6"/>
                <c:pt idx="0">
                  <c:v>5.7</c:v>
                </c:pt>
                <c:pt idx="1">
                  <c:v>5.7</c:v>
                </c:pt>
                <c:pt idx="2">
                  <c:v>5.7</c:v>
                </c:pt>
                <c:pt idx="3">
                  <c:v>6</c:v>
                </c:pt>
                <c:pt idx="4">
                  <c:v>6.1</c:v>
                </c:pt>
                <c:pt idx="5">
                  <c:v>6</c:v>
                </c:pt>
              </c:numCache>
              <c:extLst/>
            </c:numRef>
          </c:val>
          <c:smooth val="0"/>
          <c:extLst>
            <c:ext xmlns:c16="http://schemas.microsoft.com/office/drawing/2014/chart" uri="{C3380CC4-5D6E-409C-BE32-E72D297353CC}">
              <c16:uniqueId val="{00000004-340F-4FAA-986D-0E878E6153DB}"/>
            </c:ext>
          </c:extLst>
        </c:ser>
        <c:ser>
          <c:idx val="5"/>
          <c:order val="5"/>
          <c:tx>
            <c:strRef>
              <c:f>'Attendance Secondary '!$G$18</c:f>
              <c:strCache>
                <c:ptCount val="1"/>
                <c:pt idx="0">
                  <c:v>Somerset</c:v>
                </c:pt>
              </c:strCache>
            </c:strRef>
          </c:tx>
          <c:spPr>
            <a:ln w="28575" cap="rnd">
              <a:solidFill>
                <a:schemeClr val="bg1">
                  <a:lumMod val="85000"/>
                </a:schemeClr>
              </a:solidFill>
              <a:round/>
            </a:ln>
            <a:effectLst/>
          </c:spPr>
          <c:marker>
            <c:symbol val="none"/>
          </c:marker>
          <c:cat>
            <c:strRef>
              <c:f>'Attendance Secondary '!$A$19:$A$26</c:f>
              <c:strCache>
                <c:ptCount val="6"/>
                <c:pt idx="0">
                  <c:v>2013-14</c:v>
                </c:pt>
                <c:pt idx="1">
                  <c:v>2014-15</c:v>
                </c:pt>
                <c:pt idx="2">
                  <c:v>2015-16</c:v>
                </c:pt>
                <c:pt idx="3">
                  <c:v>2016-17</c:v>
                </c:pt>
                <c:pt idx="4">
                  <c:v>2017-18</c:v>
                </c:pt>
                <c:pt idx="5">
                  <c:v>2018-19</c:v>
                </c:pt>
              </c:strCache>
              <c:extLst/>
            </c:strRef>
          </c:cat>
          <c:val>
            <c:numRef>
              <c:f>'Attendance Secondary '!$G$19:$G$26</c:f>
              <c:numCache>
                <c:formatCode>General</c:formatCode>
                <c:ptCount val="6"/>
                <c:pt idx="0">
                  <c:v>5.2</c:v>
                </c:pt>
                <c:pt idx="1">
                  <c:v>5.2</c:v>
                </c:pt>
                <c:pt idx="2">
                  <c:v>5.3</c:v>
                </c:pt>
                <c:pt idx="3">
                  <c:v>5.7</c:v>
                </c:pt>
                <c:pt idx="4">
                  <c:v>6</c:v>
                </c:pt>
                <c:pt idx="5">
                  <c:v>6</c:v>
                </c:pt>
              </c:numCache>
              <c:extLst/>
            </c:numRef>
          </c:val>
          <c:smooth val="0"/>
          <c:extLst>
            <c:ext xmlns:c16="http://schemas.microsoft.com/office/drawing/2014/chart" uri="{C3380CC4-5D6E-409C-BE32-E72D297353CC}">
              <c16:uniqueId val="{00000005-340F-4FAA-986D-0E878E6153DB}"/>
            </c:ext>
          </c:extLst>
        </c:ser>
        <c:ser>
          <c:idx val="6"/>
          <c:order val="6"/>
          <c:tx>
            <c:strRef>
              <c:f>'Attendance Secondary '!$H$18</c:f>
              <c:strCache>
                <c:ptCount val="1"/>
                <c:pt idx="0">
                  <c:v>Norfolk_Norwich </c:v>
                </c:pt>
              </c:strCache>
            </c:strRef>
          </c:tx>
          <c:spPr>
            <a:ln w="28575" cap="rnd">
              <a:solidFill>
                <a:schemeClr val="bg1">
                  <a:lumMod val="85000"/>
                </a:schemeClr>
              </a:solidFill>
              <a:round/>
            </a:ln>
            <a:effectLst/>
          </c:spPr>
          <c:marker>
            <c:symbol val="none"/>
          </c:marker>
          <c:cat>
            <c:strRef>
              <c:f>'Attendance Secondary '!$A$19:$A$26</c:f>
              <c:strCache>
                <c:ptCount val="6"/>
                <c:pt idx="0">
                  <c:v>2013-14</c:v>
                </c:pt>
                <c:pt idx="1">
                  <c:v>2014-15</c:v>
                </c:pt>
                <c:pt idx="2">
                  <c:v>2015-16</c:v>
                </c:pt>
                <c:pt idx="3">
                  <c:v>2016-17</c:v>
                </c:pt>
                <c:pt idx="4">
                  <c:v>2017-18</c:v>
                </c:pt>
                <c:pt idx="5">
                  <c:v>2018-19</c:v>
                </c:pt>
              </c:strCache>
              <c:extLst/>
            </c:strRef>
          </c:cat>
          <c:val>
            <c:numRef>
              <c:f>'Attendance Secondary '!$H$19:$H$26</c:f>
              <c:numCache>
                <c:formatCode>General</c:formatCode>
                <c:ptCount val="6"/>
                <c:pt idx="0">
                  <c:v>5.7</c:v>
                </c:pt>
                <c:pt idx="1">
                  <c:v>5.6</c:v>
                </c:pt>
                <c:pt idx="2">
                  <c:v>5.6</c:v>
                </c:pt>
                <c:pt idx="3">
                  <c:v>5.8</c:v>
                </c:pt>
                <c:pt idx="4">
                  <c:v>6</c:v>
                </c:pt>
                <c:pt idx="5">
                  <c:v>6</c:v>
                </c:pt>
              </c:numCache>
              <c:extLst/>
            </c:numRef>
          </c:val>
          <c:smooth val="0"/>
          <c:extLst>
            <c:ext xmlns:c16="http://schemas.microsoft.com/office/drawing/2014/chart" uri="{C3380CC4-5D6E-409C-BE32-E72D297353CC}">
              <c16:uniqueId val="{00000006-340F-4FAA-986D-0E878E6153DB}"/>
            </c:ext>
          </c:extLst>
        </c:ser>
        <c:ser>
          <c:idx val="7"/>
          <c:order val="7"/>
          <c:tx>
            <c:strRef>
              <c:f>'Attendance Secondary '!$I$18</c:f>
              <c:strCache>
                <c:ptCount val="1"/>
                <c:pt idx="0">
                  <c:v>Doncaster</c:v>
                </c:pt>
              </c:strCache>
            </c:strRef>
          </c:tx>
          <c:spPr>
            <a:ln w="38100" cap="rnd">
              <a:solidFill>
                <a:schemeClr val="tx2">
                  <a:lumMod val="25000"/>
                  <a:lumOff val="75000"/>
                </a:schemeClr>
              </a:solidFill>
              <a:round/>
            </a:ln>
            <a:effectLst/>
          </c:spPr>
          <c:marker>
            <c:symbol val="none"/>
          </c:marker>
          <c:cat>
            <c:strRef>
              <c:f>'Attendance Secondary '!$A$19:$A$26</c:f>
              <c:strCache>
                <c:ptCount val="6"/>
                <c:pt idx="0">
                  <c:v>2013-14</c:v>
                </c:pt>
                <c:pt idx="1">
                  <c:v>2014-15</c:v>
                </c:pt>
                <c:pt idx="2">
                  <c:v>2015-16</c:v>
                </c:pt>
                <c:pt idx="3">
                  <c:v>2016-17</c:v>
                </c:pt>
                <c:pt idx="4">
                  <c:v>2017-18</c:v>
                </c:pt>
                <c:pt idx="5">
                  <c:v>2018-19</c:v>
                </c:pt>
              </c:strCache>
              <c:extLst/>
            </c:strRef>
          </c:cat>
          <c:val>
            <c:numRef>
              <c:f>'Attendance Secondary '!$I$19:$I$26</c:f>
              <c:numCache>
                <c:formatCode>General</c:formatCode>
                <c:ptCount val="6"/>
                <c:pt idx="0">
                  <c:v>5.9</c:v>
                </c:pt>
                <c:pt idx="1">
                  <c:v>5.9</c:v>
                </c:pt>
                <c:pt idx="2">
                  <c:v>6.4</c:v>
                </c:pt>
                <c:pt idx="3">
                  <c:v>7</c:v>
                </c:pt>
                <c:pt idx="4">
                  <c:v>6.9</c:v>
                </c:pt>
                <c:pt idx="5">
                  <c:v>6.9</c:v>
                </c:pt>
              </c:numCache>
              <c:extLst/>
            </c:numRef>
          </c:val>
          <c:smooth val="0"/>
          <c:extLst>
            <c:ext xmlns:c16="http://schemas.microsoft.com/office/drawing/2014/chart" uri="{C3380CC4-5D6E-409C-BE32-E72D297353CC}">
              <c16:uniqueId val="{00000007-340F-4FAA-986D-0E878E6153DB}"/>
            </c:ext>
          </c:extLst>
        </c:ser>
        <c:ser>
          <c:idx val="8"/>
          <c:order val="8"/>
          <c:tx>
            <c:strRef>
              <c:f>'Attendance Secondary '!$J$18</c:f>
              <c:strCache>
                <c:ptCount val="1"/>
                <c:pt idx="0">
                  <c:v>Nottingham</c:v>
                </c:pt>
              </c:strCache>
            </c:strRef>
          </c:tx>
          <c:spPr>
            <a:ln w="28575" cap="rnd">
              <a:solidFill>
                <a:schemeClr val="bg1">
                  <a:lumMod val="85000"/>
                </a:schemeClr>
              </a:solidFill>
              <a:round/>
            </a:ln>
            <a:effectLst/>
          </c:spPr>
          <c:marker>
            <c:symbol val="none"/>
          </c:marker>
          <c:cat>
            <c:strRef>
              <c:f>'Attendance Secondary '!$A$19:$A$26</c:f>
              <c:strCache>
                <c:ptCount val="6"/>
                <c:pt idx="0">
                  <c:v>2013-14</c:v>
                </c:pt>
                <c:pt idx="1">
                  <c:v>2014-15</c:v>
                </c:pt>
                <c:pt idx="2">
                  <c:v>2015-16</c:v>
                </c:pt>
                <c:pt idx="3">
                  <c:v>2016-17</c:v>
                </c:pt>
                <c:pt idx="4">
                  <c:v>2017-18</c:v>
                </c:pt>
                <c:pt idx="5">
                  <c:v>2018-19</c:v>
                </c:pt>
              </c:strCache>
              <c:extLst/>
            </c:strRef>
          </c:cat>
          <c:val>
            <c:numRef>
              <c:f>'Attendance Secondary '!$J$19:$J$26</c:f>
              <c:numCache>
                <c:formatCode>General</c:formatCode>
                <c:ptCount val="6"/>
                <c:pt idx="0">
                  <c:v>6</c:v>
                </c:pt>
                <c:pt idx="1">
                  <c:v>5.6</c:v>
                </c:pt>
                <c:pt idx="2">
                  <c:v>5.4</c:v>
                </c:pt>
                <c:pt idx="3">
                  <c:v>5.8</c:v>
                </c:pt>
                <c:pt idx="4">
                  <c:v>5.4</c:v>
                </c:pt>
                <c:pt idx="5">
                  <c:v>5.4</c:v>
                </c:pt>
              </c:numCache>
              <c:extLst/>
            </c:numRef>
          </c:val>
          <c:smooth val="0"/>
          <c:extLst>
            <c:ext xmlns:c16="http://schemas.microsoft.com/office/drawing/2014/chart" uri="{C3380CC4-5D6E-409C-BE32-E72D297353CC}">
              <c16:uniqueId val="{00000008-340F-4FAA-986D-0E878E6153DB}"/>
            </c:ext>
          </c:extLst>
        </c:ser>
        <c:ser>
          <c:idx val="9"/>
          <c:order val="9"/>
          <c:tx>
            <c:strRef>
              <c:f>'Attendance Secondary '!$K$18</c:f>
              <c:strCache>
                <c:ptCount val="1"/>
                <c:pt idx="0">
                  <c:v>Suffolk_Ipswich </c:v>
                </c:pt>
              </c:strCache>
            </c:strRef>
          </c:tx>
          <c:spPr>
            <a:ln w="28575" cap="rnd">
              <a:solidFill>
                <a:schemeClr val="bg1">
                  <a:lumMod val="65000"/>
                </a:schemeClr>
              </a:solidFill>
              <a:round/>
            </a:ln>
            <a:effectLst/>
          </c:spPr>
          <c:marker>
            <c:symbol val="none"/>
          </c:marker>
          <c:cat>
            <c:strRef>
              <c:f>'Attendance Secondary '!$A$19:$A$26</c:f>
              <c:strCache>
                <c:ptCount val="6"/>
                <c:pt idx="0">
                  <c:v>2013-14</c:v>
                </c:pt>
                <c:pt idx="1">
                  <c:v>2014-15</c:v>
                </c:pt>
                <c:pt idx="2">
                  <c:v>2015-16</c:v>
                </c:pt>
                <c:pt idx="3">
                  <c:v>2016-17</c:v>
                </c:pt>
                <c:pt idx="4">
                  <c:v>2017-18</c:v>
                </c:pt>
                <c:pt idx="5">
                  <c:v>2018-19</c:v>
                </c:pt>
              </c:strCache>
              <c:extLst/>
            </c:strRef>
          </c:cat>
          <c:val>
            <c:numRef>
              <c:f>'Attendance Secondary '!$K$19:$K$26</c:f>
              <c:numCache>
                <c:formatCode>General</c:formatCode>
                <c:ptCount val="6"/>
                <c:pt idx="0">
                  <c:v>5.5</c:v>
                </c:pt>
                <c:pt idx="1">
                  <c:v>5.3</c:v>
                </c:pt>
                <c:pt idx="2">
                  <c:v>5</c:v>
                </c:pt>
                <c:pt idx="3">
                  <c:v>5.2</c:v>
                </c:pt>
                <c:pt idx="4">
                  <c:v>5.5</c:v>
                </c:pt>
                <c:pt idx="5">
                  <c:v>5.7</c:v>
                </c:pt>
              </c:numCache>
              <c:extLst/>
            </c:numRef>
          </c:val>
          <c:smooth val="0"/>
          <c:extLst>
            <c:ext xmlns:c16="http://schemas.microsoft.com/office/drawing/2014/chart" uri="{C3380CC4-5D6E-409C-BE32-E72D297353CC}">
              <c16:uniqueId val="{00000009-340F-4FAA-986D-0E878E6153DB}"/>
            </c:ext>
          </c:extLst>
        </c:ser>
        <c:ser>
          <c:idx val="10"/>
          <c:order val="10"/>
          <c:tx>
            <c:strRef>
              <c:f>'Attendance Secondary '!$L$18</c:f>
              <c:strCache>
                <c:ptCount val="1"/>
                <c:pt idx="0">
                  <c:v>Oldham</c:v>
                </c:pt>
              </c:strCache>
            </c:strRef>
          </c:tx>
          <c:spPr>
            <a:ln w="28575" cap="rnd">
              <a:solidFill>
                <a:schemeClr val="bg1">
                  <a:lumMod val="85000"/>
                </a:schemeClr>
              </a:solidFill>
              <a:round/>
            </a:ln>
            <a:effectLst/>
          </c:spPr>
          <c:marker>
            <c:symbol val="none"/>
          </c:marker>
          <c:cat>
            <c:strRef>
              <c:f>'Attendance Secondary '!$A$19:$A$26</c:f>
              <c:strCache>
                <c:ptCount val="6"/>
                <c:pt idx="0">
                  <c:v>2013-14</c:v>
                </c:pt>
                <c:pt idx="1">
                  <c:v>2014-15</c:v>
                </c:pt>
                <c:pt idx="2">
                  <c:v>2015-16</c:v>
                </c:pt>
                <c:pt idx="3">
                  <c:v>2016-17</c:v>
                </c:pt>
                <c:pt idx="4">
                  <c:v>2017-18</c:v>
                </c:pt>
                <c:pt idx="5">
                  <c:v>2018-19</c:v>
                </c:pt>
              </c:strCache>
              <c:extLst/>
            </c:strRef>
          </c:cat>
          <c:val>
            <c:numRef>
              <c:f>'Attendance Secondary '!$L$19:$L$26</c:f>
              <c:numCache>
                <c:formatCode>General</c:formatCode>
                <c:ptCount val="6"/>
                <c:pt idx="0">
                  <c:v>5.2</c:v>
                </c:pt>
                <c:pt idx="1">
                  <c:v>5.4</c:v>
                </c:pt>
                <c:pt idx="2">
                  <c:v>5.7</c:v>
                </c:pt>
                <c:pt idx="3">
                  <c:v>5.8</c:v>
                </c:pt>
                <c:pt idx="4">
                  <c:v>5.4</c:v>
                </c:pt>
                <c:pt idx="5">
                  <c:v>5.6</c:v>
                </c:pt>
              </c:numCache>
              <c:extLst/>
            </c:numRef>
          </c:val>
          <c:smooth val="0"/>
          <c:extLst>
            <c:ext xmlns:c16="http://schemas.microsoft.com/office/drawing/2014/chart" uri="{C3380CC4-5D6E-409C-BE32-E72D297353CC}">
              <c16:uniqueId val="{0000000A-340F-4FAA-986D-0E878E6153DB}"/>
            </c:ext>
          </c:extLst>
        </c:ser>
        <c:ser>
          <c:idx val="11"/>
          <c:order val="11"/>
          <c:tx>
            <c:strRef>
              <c:f>'Attendance Secondary '!$M$18</c:f>
              <c:strCache>
                <c:ptCount val="1"/>
                <c:pt idx="0">
                  <c:v>North Yorkshire_NY Coastal </c:v>
                </c:pt>
              </c:strCache>
            </c:strRef>
          </c:tx>
          <c:spPr>
            <a:ln w="28575" cap="rnd">
              <a:solidFill>
                <a:schemeClr val="bg2"/>
              </a:solidFill>
              <a:round/>
            </a:ln>
            <a:effectLst/>
          </c:spPr>
          <c:marker>
            <c:symbol val="none"/>
          </c:marker>
          <c:cat>
            <c:strRef>
              <c:f>'Attendance Secondary '!$A$19:$A$26</c:f>
              <c:strCache>
                <c:ptCount val="6"/>
                <c:pt idx="0">
                  <c:v>2013-14</c:v>
                </c:pt>
                <c:pt idx="1">
                  <c:v>2014-15</c:v>
                </c:pt>
                <c:pt idx="2">
                  <c:v>2015-16</c:v>
                </c:pt>
                <c:pt idx="3">
                  <c:v>2016-17</c:v>
                </c:pt>
                <c:pt idx="4">
                  <c:v>2017-18</c:v>
                </c:pt>
                <c:pt idx="5">
                  <c:v>2018-19</c:v>
                </c:pt>
              </c:strCache>
              <c:extLst/>
            </c:strRef>
          </c:cat>
          <c:val>
            <c:numRef>
              <c:f>'Attendance Secondary '!$M$19:$M$26</c:f>
              <c:numCache>
                <c:formatCode>General</c:formatCode>
                <c:ptCount val="6"/>
                <c:pt idx="0">
                  <c:v>4.9000000000000004</c:v>
                </c:pt>
                <c:pt idx="1">
                  <c:v>5.0999999999999996</c:v>
                </c:pt>
                <c:pt idx="2">
                  <c:v>5.2</c:v>
                </c:pt>
                <c:pt idx="3">
                  <c:v>5.5</c:v>
                </c:pt>
                <c:pt idx="4">
                  <c:v>5.7</c:v>
                </c:pt>
                <c:pt idx="5">
                  <c:v>5.6</c:v>
                </c:pt>
              </c:numCache>
              <c:extLst/>
            </c:numRef>
          </c:val>
          <c:smooth val="0"/>
          <c:extLst>
            <c:ext xmlns:c16="http://schemas.microsoft.com/office/drawing/2014/chart" uri="{C3380CC4-5D6E-409C-BE32-E72D297353CC}">
              <c16:uniqueId val="{0000000B-340F-4FAA-986D-0E878E6153DB}"/>
            </c:ext>
          </c:extLst>
        </c:ser>
        <c:ser>
          <c:idx val="12"/>
          <c:order val="12"/>
          <c:tx>
            <c:strRef>
              <c:f>'Attendance Secondary '!$N$18</c:f>
              <c:strCache>
                <c:ptCount val="1"/>
                <c:pt idx="0">
                  <c:v>Derby</c:v>
                </c:pt>
              </c:strCache>
            </c:strRef>
          </c:tx>
          <c:spPr>
            <a:ln w="28575" cap="rnd">
              <a:solidFill>
                <a:schemeClr val="bg1">
                  <a:lumMod val="65000"/>
                </a:schemeClr>
              </a:solidFill>
              <a:round/>
            </a:ln>
            <a:effectLst/>
          </c:spPr>
          <c:marker>
            <c:symbol val="none"/>
          </c:marker>
          <c:cat>
            <c:strRef>
              <c:f>'Attendance Secondary '!$A$19:$A$26</c:f>
              <c:strCache>
                <c:ptCount val="6"/>
                <c:pt idx="0">
                  <c:v>2013-14</c:v>
                </c:pt>
                <c:pt idx="1">
                  <c:v>2014-15</c:v>
                </c:pt>
                <c:pt idx="2">
                  <c:v>2015-16</c:v>
                </c:pt>
                <c:pt idx="3">
                  <c:v>2016-17</c:v>
                </c:pt>
                <c:pt idx="4">
                  <c:v>2017-18</c:v>
                </c:pt>
                <c:pt idx="5">
                  <c:v>2018-19</c:v>
                </c:pt>
              </c:strCache>
              <c:extLst/>
            </c:strRef>
          </c:cat>
          <c:val>
            <c:numRef>
              <c:f>'Attendance Secondary '!$N$19:$N$26</c:f>
              <c:numCache>
                <c:formatCode>General</c:formatCode>
                <c:ptCount val="6"/>
                <c:pt idx="0">
                  <c:v>5.4</c:v>
                </c:pt>
                <c:pt idx="1">
                  <c:v>5.6</c:v>
                </c:pt>
                <c:pt idx="2">
                  <c:v>5.6</c:v>
                </c:pt>
                <c:pt idx="3">
                  <c:v>5.6</c:v>
                </c:pt>
                <c:pt idx="4">
                  <c:v>5.8</c:v>
                </c:pt>
                <c:pt idx="5">
                  <c:v>5.4</c:v>
                </c:pt>
              </c:numCache>
              <c:extLst/>
            </c:numRef>
          </c:val>
          <c:smooth val="0"/>
          <c:extLst>
            <c:ext xmlns:c16="http://schemas.microsoft.com/office/drawing/2014/chart" uri="{C3380CC4-5D6E-409C-BE32-E72D297353CC}">
              <c16:uniqueId val="{0000000C-340F-4FAA-986D-0E878E6153DB}"/>
            </c:ext>
          </c:extLst>
        </c:ser>
        <c:ser>
          <c:idx val="13"/>
          <c:order val="13"/>
          <c:tx>
            <c:strRef>
              <c:f>'Attendance Secondary '!$O$18</c:f>
              <c:strCache>
                <c:ptCount val="1"/>
                <c:pt idx="0">
                  <c:v>National Secondary </c:v>
                </c:pt>
              </c:strCache>
            </c:strRef>
          </c:tx>
          <c:spPr>
            <a:ln w="44450" cap="rnd">
              <a:solidFill>
                <a:srgbClr val="FF0000"/>
              </a:solidFill>
              <a:prstDash val="sysDash"/>
              <a:round/>
            </a:ln>
            <a:effectLst/>
          </c:spPr>
          <c:marker>
            <c:symbol val="none"/>
          </c:marker>
          <c:cat>
            <c:strRef>
              <c:f>'Attendance Secondary '!$A$19:$A$26</c:f>
              <c:strCache>
                <c:ptCount val="6"/>
                <c:pt idx="0">
                  <c:v>2013-14</c:v>
                </c:pt>
                <c:pt idx="1">
                  <c:v>2014-15</c:v>
                </c:pt>
                <c:pt idx="2">
                  <c:v>2015-16</c:v>
                </c:pt>
                <c:pt idx="3">
                  <c:v>2016-17</c:v>
                </c:pt>
                <c:pt idx="4">
                  <c:v>2017-18</c:v>
                </c:pt>
                <c:pt idx="5">
                  <c:v>2018-19</c:v>
                </c:pt>
              </c:strCache>
              <c:extLst/>
            </c:strRef>
          </c:cat>
          <c:val>
            <c:numRef>
              <c:f>'Attendance Secondary '!$O$19:$O$26</c:f>
              <c:numCache>
                <c:formatCode>General</c:formatCode>
                <c:ptCount val="6"/>
                <c:pt idx="0">
                  <c:v>5.2</c:v>
                </c:pt>
                <c:pt idx="1">
                  <c:v>5.3</c:v>
                </c:pt>
                <c:pt idx="2">
                  <c:v>5.2</c:v>
                </c:pt>
                <c:pt idx="3">
                  <c:v>5.4</c:v>
                </c:pt>
                <c:pt idx="4">
                  <c:v>5.5</c:v>
                </c:pt>
                <c:pt idx="5">
                  <c:v>6.5</c:v>
                </c:pt>
              </c:numCache>
              <c:extLst/>
            </c:numRef>
          </c:val>
          <c:smooth val="0"/>
          <c:extLst>
            <c:ext xmlns:c16="http://schemas.microsoft.com/office/drawing/2014/chart" uri="{C3380CC4-5D6E-409C-BE32-E72D297353CC}">
              <c16:uniqueId val="{0000000D-340F-4FAA-986D-0E878E6153DB}"/>
            </c:ext>
          </c:extLst>
        </c:ser>
        <c:ser>
          <c:idx val="14"/>
          <c:order val="14"/>
          <c:tx>
            <c:strRef>
              <c:f>'Attendance Secondary '!$P$18</c:f>
              <c:strCache>
                <c:ptCount val="1"/>
                <c:pt idx="0">
                  <c:v>West Sussex</c:v>
                </c:pt>
              </c:strCache>
            </c:strRef>
          </c:tx>
          <c:spPr>
            <a:ln w="34925" cap="rnd">
              <a:solidFill>
                <a:schemeClr val="bg1">
                  <a:lumMod val="75000"/>
                </a:schemeClr>
              </a:solidFill>
              <a:round/>
            </a:ln>
            <a:effectLst/>
          </c:spPr>
          <c:marker>
            <c:symbol val="none"/>
          </c:marker>
          <c:cat>
            <c:strRef>
              <c:f>'Attendance Secondary '!$A$19:$A$26</c:f>
              <c:strCache>
                <c:ptCount val="6"/>
                <c:pt idx="0">
                  <c:v>2013-14</c:v>
                </c:pt>
                <c:pt idx="1">
                  <c:v>2014-15</c:v>
                </c:pt>
                <c:pt idx="2">
                  <c:v>2015-16</c:v>
                </c:pt>
                <c:pt idx="3">
                  <c:v>2016-17</c:v>
                </c:pt>
                <c:pt idx="4">
                  <c:v>2017-18</c:v>
                </c:pt>
                <c:pt idx="5">
                  <c:v>2018-19</c:v>
                </c:pt>
              </c:strCache>
              <c:extLst/>
            </c:strRef>
          </c:cat>
          <c:val>
            <c:numRef>
              <c:f>'Attendance Secondary '!$P$19:$P$26</c:f>
              <c:numCache>
                <c:formatCode>General</c:formatCode>
                <c:ptCount val="6"/>
                <c:pt idx="0">
                  <c:v>5.0999999999999996</c:v>
                </c:pt>
                <c:pt idx="1">
                  <c:v>5.2</c:v>
                </c:pt>
                <c:pt idx="2">
                  <c:v>5.0999999999999996</c:v>
                </c:pt>
                <c:pt idx="3">
                  <c:v>5.3</c:v>
                </c:pt>
                <c:pt idx="4">
                  <c:v>5.5</c:v>
                </c:pt>
                <c:pt idx="5">
                  <c:v>5.4</c:v>
                </c:pt>
              </c:numCache>
              <c:extLst/>
            </c:numRef>
          </c:val>
          <c:smooth val="0"/>
          <c:extLst>
            <c:ext xmlns:c16="http://schemas.microsoft.com/office/drawing/2014/chart" uri="{C3380CC4-5D6E-409C-BE32-E72D297353CC}">
              <c16:uniqueId val="{0000000E-340F-4FAA-986D-0E878E6153DB}"/>
            </c:ext>
          </c:extLst>
        </c:ser>
        <c:dLbls>
          <c:showLegendKey val="0"/>
          <c:showVal val="0"/>
          <c:showCatName val="0"/>
          <c:showSerName val="0"/>
          <c:showPercent val="0"/>
          <c:showBubbleSize val="0"/>
        </c:dLbls>
        <c:smooth val="0"/>
        <c:axId val="1582593663"/>
        <c:axId val="1582594143"/>
      </c:lineChart>
      <c:catAx>
        <c:axId val="1582593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2594143"/>
        <c:crosses val="autoZero"/>
        <c:auto val="1"/>
        <c:lblAlgn val="ctr"/>
        <c:lblOffset val="100"/>
        <c:noMultiLvlLbl val="0"/>
      </c:catAx>
      <c:valAx>
        <c:axId val="1582594143"/>
        <c:scaling>
          <c:orientation val="minMax"/>
          <c:max val="8"/>
          <c:min val="4"/>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2593663"/>
        <c:crosses val="autoZero"/>
        <c:crossBetween val="between"/>
        <c:majorUnit val="0.5"/>
      </c:valAx>
      <c:spPr>
        <a:noFill/>
        <a:ln>
          <a:noFill/>
        </a:ln>
        <a:effectLst/>
      </c:spPr>
    </c:plotArea>
    <c:legend>
      <c:legendPos val="b"/>
      <c:layout>
        <c:manualLayout>
          <c:xMode val="edge"/>
          <c:yMode val="edge"/>
          <c:x val="2.725120242617618E-2"/>
          <c:y val="0.8021190772206106"/>
          <c:w val="0.97274879636417877"/>
          <c:h val="0.1814650441422094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632206161023964E-2"/>
          <c:y val="0.12281916375566787"/>
          <c:w val="0.87479693249899093"/>
          <c:h val="0.56612223007727747"/>
        </c:manualLayout>
      </c:layout>
      <c:lineChart>
        <c:grouping val="standard"/>
        <c:varyColors val="0"/>
        <c:ser>
          <c:idx val="0"/>
          <c:order val="0"/>
          <c:tx>
            <c:strRef>
              <c:f>'Attendance Secondary '!$B$34</c:f>
              <c:strCache>
                <c:ptCount val="1"/>
                <c:pt idx="0">
                  <c:v>Fenland and East Cambrdigeshire</c:v>
                </c:pt>
              </c:strCache>
            </c:strRef>
          </c:tx>
          <c:spPr>
            <a:ln w="47625" cap="rnd">
              <a:solidFill>
                <a:schemeClr val="accent4">
                  <a:lumMod val="60000"/>
                  <a:lumOff val="40000"/>
                </a:schemeClr>
              </a:solidFill>
              <a:round/>
            </a:ln>
            <a:effectLst/>
          </c:spPr>
          <c:marker>
            <c:symbol val="none"/>
          </c:marker>
          <c:cat>
            <c:strRef>
              <c:f>'Attendance Secondary '!$A$35:$A$42</c:f>
              <c:strCache>
                <c:ptCount val="6"/>
                <c:pt idx="0">
                  <c:v>2013-14</c:v>
                </c:pt>
                <c:pt idx="1">
                  <c:v>2014-15</c:v>
                </c:pt>
                <c:pt idx="2">
                  <c:v>2015-16</c:v>
                </c:pt>
                <c:pt idx="3">
                  <c:v>2016-17</c:v>
                </c:pt>
                <c:pt idx="4">
                  <c:v>2017-18</c:v>
                </c:pt>
                <c:pt idx="5">
                  <c:v>2018-19</c:v>
                </c:pt>
              </c:strCache>
            </c:strRef>
          </c:cat>
          <c:val>
            <c:numRef>
              <c:f>'Attendance Secondary '!$B$35:$B$42</c:f>
              <c:numCache>
                <c:formatCode>General</c:formatCode>
                <c:ptCount val="6"/>
                <c:pt idx="0">
                  <c:v>5.7</c:v>
                </c:pt>
                <c:pt idx="1">
                  <c:v>5.0999999999999996</c:v>
                </c:pt>
                <c:pt idx="2">
                  <c:v>11.2</c:v>
                </c:pt>
                <c:pt idx="3">
                  <c:v>11</c:v>
                </c:pt>
                <c:pt idx="4">
                  <c:v>11.6</c:v>
                </c:pt>
                <c:pt idx="5">
                  <c:v>17.899999999999999</c:v>
                </c:pt>
              </c:numCache>
            </c:numRef>
          </c:val>
          <c:smooth val="0"/>
          <c:extLst>
            <c:ext xmlns:c16="http://schemas.microsoft.com/office/drawing/2014/chart" uri="{C3380CC4-5D6E-409C-BE32-E72D297353CC}">
              <c16:uniqueId val="{00000000-84A4-4016-8430-294E88C816BE}"/>
            </c:ext>
          </c:extLst>
        </c:ser>
        <c:ser>
          <c:idx val="1"/>
          <c:order val="1"/>
          <c:tx>
            <c:strRef>
              <c:f>'Attendance Secondary '!$C$34</c:f>
              <c:strCache>
                <c:ptCount val="1"/>
                <c:pt idx="0">
                  <c:v>Bradford</c:v>
                </c:pt>
              </c:strCache>
            </c:strRef>
          </c:tx>
          <c:spPr>
            <a:ln w="28575" cap="rnd">
              <a:solidFill>
                <a:schemeClr val="bg1">
                  <a:lumMod val="85000"/>
                </a:schemeClr>
              </a:solidFill>
              <a:round/>
            </a:ln>
            <a:effectLst/>
          </c:spPr>
          <c:marker>
            <c:symbol val="none"/>
          </c:marker>
          <c:cat>
            <c:strRef>
              <c:f>'Attendance Secondary '!$A$35:$A$42</c:f>
              <c:strCache>
                <c:ptCount val="6"/>
                <c:pt idx="0">
                  <c:v>2013-14</c:v>
                </c:pt>
                <c:pt idx="1">
                  <c:v>2014-15</c:v>
                </c:pt>
                <c:pt idx="2">
                  <c:v>2015-16</c:v>
                </c:pt>
                <c:pt idx="3">
                  <c:v>2016-17</c:v>
                </c:pt>
                <c:pt idx="4">
                  <c:v>2017-18</c:v>
                </c:pt>
                <c:pt idx="5">
                  <c:v>2018-19</c:v>
                </c:pt>
              </c:strCache>
            </c:strRef>
          </c:cat>
          <c:val>
            <c:numRef>
              <c:f>'Attendance Secondary '!$C$35:$C$42</c:f>
              <c:numCache>
                <c:formatCode>General</c:formatCode>
                <c:ptCount val="6"/>
                <c:pt idx="0">
                  <c:v>6.9</c:v>
                </c:pt>
                <c:pt idx="1">
                  <c:v>7.1</c:v>
                </c:pt>
                <c:pt idx="2">
                  <c:v>15.7</c:v>
                </c:pt>
                <c:pt idx="3">
                  <c:v>16.2</c:v>
                </c:pt>
                <c:pt idx="4">
                  <c:v>16.899999999999999</c:v>
                </c:pt>
                <c:pt idx="5">
                  <c:v>17.899999999999999</c:v>
                </c:pt>
              </c:numCache>
            </c:numRef>
          </c:val>
          <c:smooth val="0"/>
          <c:extLst>
            <c:ext xmlns:c16="http://schemas.microsoft.com/office/drawing/2014/chart" uri="{C3380CC4-5D6E-409C-BE32-E72D297353CC}">
              <c16:uniqueId val="{00000001-84A4-4016-8430-294E88C816BE}"/>
            </c:ext>
          </c:extLst>
        </c:ser>
        <c:ser>
          <c:idx val="2"/>
          <c:order val="2"/>
          <c:tx>
            <c:strRef>
              <c:f>'Attendance Secondary '!$D$34</c:f>
              <c:strCache>
                <c:ptCount val="1"/>
                <c:pt idx="0">
                  <c:v>Blackpool</c:v>
                </c:pt>
              </c:strCache>
            </c:strRef>
          </c:tx>
          <c:spPr>
            <a:ln w="28575" cap="rnd">
              <a:solidFill>
                <a:schemeClr val="bg1">
                  <a:lumMod val="85000"/>
                </a:schemeClr>
              </a:solidFill>
              <a:round/>
            </a:ln>
            <a:effectLst/>
          </c:spPr>
          <c:marker>
            <c:symbol val="none"/>
          </c:marker>
          <c:cat>
            <c:strRef>
              <c:f>'Attendance Secondary '!$A$35:$A$42</c:f>
              <c:strCache>
                <c:ptCount val="6"/>
                <c:pt idx="0">
                  <c:v>2013-14</c:v>
                </c:pt>
                <c:pt idx="1">
                  <c:v>2014-15</c:v>
                </c:pt>
                <c:pt idx="2">
                  <c:v>2015-16</c:v>
                </c:pt>
                <c:pt idx="3">
                  <c:v>2016-17</c:v>
                </c:pt>
                <c:pt idx="4">
                  <c:v>2017-18</c:v>
                </c:pt>
                <c:pt idx="5">
                  <c:v>2018-19</c:v>
                </c:pt>
              </c:strCache>
            </c:strRef>
          </c:cat>
          <c:val>
            <c:numRef>
              <c:f>'Attendance Secondary '!$D$35:$D$42</c:f>
              <c:numCache>
                <c:formatCode>General</c:formatCode>
                <c:ptCount val="6"/>
                <c:pt idx="0">
                  <c:v>7</c:v>
                </c:pt>
                <c:pt idx="1">
                  <c:v>8.8000000000000007</c:v>
                </c:pt>
                <c:pt idx="2">
                  <c:v>18.399999999999999</c:v>
                </c:pt>
                <c:pt idx="3">
                  <c:v>18.2</c:v>
                </c:pt>
                <c:pt idx="4">
                  <c:v>18</c:v>
                </c:pt>
                <c:pt idx="5">
                  <c:v>13.7</c:v>
                </c:pt>
              </c:numCache>
            </c:numRef>
          </c:val>
          <c:smooth val="0"/>
          <c:extLst>
            <c:ext xmlns:c16="http://schemas.microsoft.com/office/drawing/2014/chart" uri="{C3380CC4-5D6E-409C-BE32-E72D297353CC}">
              <c16:uniqueId val="{00000002-84A4-4016-8430-294E88C816BE}"/>
            </c:ext>
          </c:extLst>
        </c:ser>
        <c:ser>
          <c:idx val="3"/>
          <c:order val="3"/>
          <c:tx>
            <c:strRef>
              <c:f>'Attendance Secondary '!$E$34</c:f>
              <c:strCache>
                <c:ptCount val="1"/>
                <c:pt idx="0">
                  <c:v>Stoke-On-Trent</c:v>
                </c:pt>
              </c:strCache>
            </c:strRef>
          </c:tx>
          <c:spPr>
            <a:ln w="28575" cap="rnd">
              <a:solidFill>
                <a:schemeClr val="bg1">
                  <a:lumMod val="85000"/>
                </a:schemeClr>
              </a:solidFill>
              <a:round/>
            </a:ln>
            <a:effectLst/>
          </c:spPr>
          <c:marker>
            <c:symbol val="none"/>
          </c:marker>
          <c:cat>
            <c:strRef>
              <c:f>'Attendance Secondary '!$A$35:$A$42</c:f>
              <c:strCache>
                <c:ptCount val="6"/>
                <c:pt idx="0">
                  <c:v>2013-14</c:v>
                </c:pt>
                <c:pt idx="1">
                  <c:v>2014-15</c:v>
                </c:pt>
                <c:pt idx="2">
                  <c:v>2015-16</c:v>
                </c:pt>
                <c:pt idx="3">
                  <c:v>2016-17</c:v>
                </c:pt>
                <c:pt idx="4">
                  <c:v>2017-18</c:v>
                </c:pt>
                <c:pt idx="5">
                  <c:v>2018-19</c:v>
                </c:pt>
              </c:strCache>
            </c:strRef>
          </c:cat>
          <c:val>
            <c:numRef>
              <c:f>'Attendance Secondary '!$E$35:$E$42</c:f>
              <c:numCache>
                <c:formatCode>General</c:formatCode>
                <c:ptCount val="6"/>
                <c:pt idx="0">
                  <c:v>7.3</c:v>
                </c:pt>
                <c:pt idx="1">
                  <c:v>7.1</c:v>
                </c:pt>
                <c:pt idx="2">
                  <c:v>16</c:v>
                </c:pt>
                <c:pt idx="3">
                  <c:v>14.8</c:v>
                </c:pt>
                <c:pt idx="4">
                  <c:v>15.5</c:v>
                </c:pt>
                <c:pt idx="5">
                  <c:v>15.3</c:v>
                </c:pt>
              </c:numCache>
            </c:numRef>
          </c:val>
          <c:smooth val="0"/>
          <c:extLst>
            <c:ext xmlns:c16="http://schemas.microsoft.com/office/drawing/2014/chart" uri="{C3380CC4-5D6E-409C-BE32-E72D297353CC}">
              <c16:uniqueId val="{00000003-84A4-4016-8430-294E88C816BE}"/>
            </c:ext>
          </c:extLst>
        </c:ser>
        <c:ser>
          <c:idx val="4"/>
          <c:order val="4"/>
          <c:tx>
            <c:strRef>
              <c:f>'Attendance Secondary '!$F$34</c:f>
              <c:strCache>
                <c:ptCount val="1"/>
                <c:pt idx="0">
                  <c:v>East Sussex_Hastings</c:v>
                </c:pt>
              </c:strCache>
            </c:strRef>
          </c:tx>
          <c:spPr>
            <a:ln w="28575" cap="rnd">
              <a:solidFill>
                <a:schemeClr val="bg1">
                  <a:lumMod val="85000"/>
                </a:schemeClr>
              </a:solidFill>
              <a:round/>
            </a:ln>
            <a:effectLst/>
          </c:spPr>
          <c:marker>
            <c:symbol val="none"/>
          </c:marker>
          <c:cat>
            <c:strRef>
              <c:f>'Attendance Secondary '!$A$35:$A$42</c:f>
              <c:strCache>
                <c:ptCount val="6"/>
                <c:pt idx="0">
                  <c:v>2013-14</c:v>
                </c:pt>
                <c:pt idx="1">
                  <c:v>2014-15</c:v>
                </c:pt>
                <c:pt idx="2">
                  <c:v>2015-16</c:v>
                </c:pt>
                <c:pt idx="3">
                  <c:v>2016-17</c:v>
                </c:pt>
                <c:pt idx="4">
                  <c:v>2017-18</c:v>
                </c:pt>
                <c:pt idx="5">
                  <c:v>2018-19</c:v>
                </c:pt>
              </c:strCache>
            </c:strRef>
          </c:cat>
          <c:val>
            <c:numRef>
              <c:f>'Attendance Secondary '!$F$35:$F$42</c:f>
              <c:numCache>
                <c:formatCode>General</c:formatCode>
                <c:ptCount val="6"/>
                <c:pt idx="0">
                  <c:v>6.3</c:v>
                </c:pt>
                <c:pt idx="1">
                  <c:v>6.4</c:v>
                </c:pt>
                <c:pt idx="2">
                  <c:v>15</c:v>
                </c:pt>
                <c:pt idx="3">
                  <c:v>15.8</c:v>
                </c:pt>
                <c:pt idx="4">
                  <c:v>15.5</c:v>
                </c:pt>
                <c:pt idx="5">
                  <c:v>15</c:v>
                </c:pt>
              </c:numCache>
            </c:numRef>
          </c:val>
          <c:smooth val="0"/>
          <c:extLst>
            <c:ext xmlns:c16="http://schemas.microsoft.com/office/drawing/2014/chart" uri="{C3380CC4-5D6E-409C-BE32-E72D297353CC}">
              <c16:uniqueId val="{00000004-84A4-4016-8430-294E88C816BE}"/>
            </c:ext>
          </c:extLst>
        </c:ser>
        <c:ser>
          <c:idx val="5"/>
          <c:order val="5"/>
          <c:tx>
            <c:strRef>
              <c:f>'Attendance Secondary '!$G$34</c:f>
              <c:strCache>
                <c:ptCount val="1"/>
                <c:pt idx="0">
                  <c:v>Nottingham</c:v>
                </c:pt>
              </c:strCache>
            </c:strRef>
          </c:tx>
          <c:spPr>
            <a:ln w="28575" cap="rnd">
              <a:solidFill>
                <a:schemeClr val="bg1">
                  <a:lumMod val="85000"/>
                </a:schemeClr>
              </a:solidFill>
              <a:round/>
            </a:ln>
            <a:effectLst/>
          </c:spPr>
          <c:marker>
            <c:symbol val="none"/>
          </c:marker>
          <c:cat>
            <c:strRef>
              <c:f>'Attendance Secondary '!$A$35:$A$42</c:f>
              <c:strCache>
                <c:ptCount val="6"/>
                <c:pt idx="0">
                  <c:v>2013-14</c:v>
                </c:pt>
                <c:pt idx="1">
                  <c:v>2014-15</c:v>
                </c:pt>
                <c:pt idx="2">
                  <c:v>2015-16</c:v>
                </c:pt>
                <c:pt idx="3">
                  <c:v>2016-17</c:v>
                </c:pt>
                <c:pt idx="4">
                  <c:v>2017-18</c:v>
                </c:pt>
                <c:pt idx="5">
                  <c:v>2018-19</c:v>
                </c:pt>
              </c:strCache>
            </c:strRef>
          </c:cat>
          <c:val>
            <c:numRef>
              <c:f>'Attendance Secondary '!$G$35:$G$42</c:f>
              <c:numCache>
                <c:formatCode>General</c:formatCode>
                <c:ptCount val="6"/>
                <c:pt idx="0">
                  <c:v>6.8</c:v>
                </c:pt>
                <c:pt idx="1">
                  <c:v>5.6</c:v>
                </c:pt>
                <c:pt idx="2">
                  <c:v>13.6</c:v>
                </c:pt>
                <c:pt idx="3">
                  <c:v>15.1</c:v>
                </c:pt>
                <c:pt idx="4">
                  <c:v>14.8</c:v>
                </c:pt>
                <c:pt idx="5">
                  <c:v>14</c:v>
                </c:pt>
              </c:numCache>
            </c:numRef>
          </c:val>
          <c:smooth val="0"/>
          <c:extLst>
            <c:ext xmlns:c16="http://schemas.microsoft.com/office/drawing/2014/chart" uri="{C3380CC4-5D6E-409C-BE32-E72D297353CC}">
              <c16:uniqueId val="{00000005-84A4-4016-8430-294E88C816BE}"/>
            </c:ext>
          </c:extLst>
        </c:ser>
        <c:ser>
          <c:idx val="6"/>
          <c:order val="6"/>
          <c:tx>
            <c:strRef>
              <c:f>'Attendance Secondary '!$H$34</c:f>
              <c:strCache>
                <c:ptCount val="1"/>
                <c:pt idx="0">
                  <c:v>Somerset</c:v>
                </c:pt>
              </c:strCache>
            </c:strRef>
          </c:tx>
          <c:spPr>
            <a:ln w="28575" cap="rnd">
              <a:solidFill>
                <a:schemeClr val="bg1">
                  <a:lumMod val="85000"/>
                </a:schemeClr>
              </a:solidFill>
              <a:round/>
            </a:ln>
            <a:effectLst/>
          </c:spPr>
          <c:marker>
            <c:symbol val="none"/>
          </c:marker>
          <c:cat>
            <c:strRef>
              <c:f>'Attendance Secondary '!$A$35:$A$42</c:f>
              <c:strCache>
                <c:ptCount val="6"/>
                <c:pt idx="0">
                  <c:v>2013-14</c:v>
                </c:pt>
                <c:pt idx="1">
                  <c:v>2014-15</c:v>
                </c:pt>
                <c:pt idx="2">
                  <c:v>2015-16</c:v>
                </c:pt>
                <c:pt idx="3">
                  <c:v>2016-17</c:v>
                </c:pt>
                <c:pt idx="4">
                  <c:v>2017-18</c:v>
                </c:pt>
                <c:pt idx="5">
                  <c:v>2018-19</c:v>
                </c:pt>
              </c:strCache>
            </c:strRef>
          </c:cat>
          <c:val>
            <c:numRef>
              <c:f>'Attendance Secondary '!$H$35:$H$42</c:f>
              <c:numCache>
                <c:formatCode>General</c:formatCode>
                <c:ptCount val="6"/>
                <c:pt idx="0">
                  <c:v>5.3</c:v>
                </c:pt>
                <c:pt idx="1">
                  <c:v>5.0999999999999996</c:v>
                </c:pt>
                <c:pt idx="2">
                  <c:v>13.1</c:v>
                </c:pt>
                <c:pt idx="3">
                  <c:v>14.8</c:v>
                </c:pt>
                <c:pt idx="4">
                  <c:v>15.2</c:v>
                </c:pt>
                <c:pt idx="5">
                  <c:v>14.8</c:v>
                </c:pt>
              </c:numCache>
            </c:numRef>
          </c:val>
          <c:smooth val="0"/>
          <c:extLst>
            <c:ext xmlns:c16="http://schemas.microsoft.com/office/drawing/2014/chart" uri="{C3380CC4-5D6E-409C-BE32-E72D297353CC}">
              <c16:uniqueId val="{00000006-84A4-4016-8430-294E88C816BE}"/>
            </c:ext>
          </c:extLst>
        </c:ser>
        <c:ser>
          <c:idx val="7"/>
          <c:order val="7"/>
          <c:tx>
            <c:strRef>
              <c:f>'Attendance Secondary '!$I$34</c:f>
              <c:strCache>
                <c:ptCount val="1"/>
                <c:pt idx="0">
                  <c:v>Norfolk_Norwich</c:v>
                </c:pt>
              </c:strCache>
            </c:strRef>
          </c:tx>
          <c:spPr>
            <a:ln w="28575" cap="rnd">
              <a:solidFill>
                <a:schemeClr val="bg1">
                  <a:lumMod val="85000"/>
                </a:schemeClr>
              </a:solidFill>
              <a:round/>
            </a:ln>
            <a:effectLst/>
          </c:spPr>
          <c:marker>
            <c:symbol val="none"/>
          </c:marker>
          <c:cat>
            <c:strRef>
              <c:f>'Attendance Secondary '!$A$35:$A$42</c:f>
              <c:strCache>
                <c:ptCount val="6"/>
                <c:pt idx="0">
                  <c:v>2013-14</c:v>
                </c:pt>
                <c:pt idx="1">
                  <c:v>2014-15</c:v>
                </c:pt>
                <c:pt idx="2">
                  <c:v>2015-16</c:v>
                </c:pt>
                <c:pt idx="3">
                  <c:v>2016-17</c:v>
                </c:pt>
                <c:pt idx="4">
                  <c:v>2017-18</c:v>
                </c:pt>
                <c:pt idx="5">
                  <c:v>2018-19</c:v>
                </c:pt>
              </c:strCache>
            </c:strRef>
          </c:cat>
          <c:val>
            <c:numRef>
              <c:f>'Attendance Secondary '!$I$35:$I$42</c:f>
              <c:numCache>
                <c:formatCode>General</c:formatCode>
                <c:ptCount val="6"/>
                <c:pt idx="0">
                  <c:v>6.1</c:v>
                </c:pt>
                <c:pt idx="1">
                  <c:v>5.8</c:v>
                </c:pt>
                <c:pt idx="2">
                  <c:v>14.3</c:v>
                </c:pt>
                <c:pt idx="3">
                  <c:v>15.5</c:v>
                </c:pt>
                <c:pt idx="4">
                  <c:v>15.9</c:v>
                </c:pt>
                <c:pt idx="5">
                  <c:v>15.6</c:v>
                </c:pt>
              </c:numCache>
            </c:numRef>
          </c:val>
          <c:smooth val="0"/>
          <c:extLst>
            <c:ext xmlns:c16="http://schemas.microsoft.com/office/drawing/2014/chart" uri="{C3380CC4-5D6E-409C-BE32-E72D297353CC}">
              <c16:uniqueId val="{00000007-84A4-4016-8430-294E88C816BE}"/>
            </c:ext>
          </c:extLst>
        </c:ser>
        <c:ser>
          <c:idx val="8"/>
          <c:order val="8"/>
          <c:tx>
            <c:strRef>
              <c:f>'Attendance Secondary '!$J$34</c:f>
              <c:strCache>
                <c:ptCount val="1"/>
                <c:pt idx="0">
                  <c:v>Doncaster</c:v>
                </c:pt>
              </c:strCache>
            </c:strRef>
          </c:tx>
          <c:spPr>
            <a:ln w="28575" cap="rnd">
              <a:solidFill>
                <a:schemeClr val="bg1">
                  <a:lumMod val="85000"/>
                </a:schemeClr>
              </a:solidFill>
              <a:round/>
            </a:ln>
            <a:effectLst/>
          </c:spPr>
          <c:marker>
            <c:symbol val="none"/>
          </c:marker>
          <c:cat>
            <c:strRef>
              <c:f>'Attendance Secondary '!$A$35:$A$42</c:f>
              <c:strCache>
                <c:ptCount val="6"/>
                <c:pt idx="0">
                  <c:v>2013-14</c:v>
                </c:pt>
                <c:pt idx="1">
                  <c:v>2014-15</c:v>
                </c:pt>
                <c:pt idx="2">
                  <c:v>2015-16</c:v>
                </c:pt>
                <c:pt idx="3">
                  <c:v>2016-17</c:v>
                </c:pt>
                <c:pt idx="4">
                  <c:v>2017-18</c:v>
                </c:pt>
                <c:pt idx="5">
                  <c:v>2018-19</c:v>
                </c:pt>
              </c:strCache>
            </c:strRef>
          </c:cat>
          <c:val>
            <c:numRef>
              <c:f>'Attendance Secondary '!$J$35:$J$42</c:f>
              <c:numCache>
                <c:formatCode>General</c:formatCode>
                <c:ptCount val="6"/>
                <c:pt idx="0">
                  <c:v>6.7</c:v>
                </c:pt>
                <c:pt idx="1">
                  <c:v>7</c:v>
                </c:pt>
                <c:pt idx="2">
                  <c:v>17.5</c:v>
                </c:pt>
                <c:pt idx="3">
                  <c:v>19.3</c:v>
                </c:pt>
                <c:pt idx="4">
                  <c:v>18.8</c:v>
                </c:pt>
                <c:pt idx="5">
                  <c:v>18.8</c:v>
                </c:pt>
              </c:numCache>
            </c:numRef>
          </c:val>
          <c:smooth val="0"/>
          <c:extLst>
            <c:ext xmlns:c16="http://schemas.microsoft.com/office/drawing/2014/chart" uri="{C3380CC4-5D6E-409C-BE32-E72D297353CC}">
              <c16:uniqueId val="{00000008-84A4-4016-8430-294E88C816BE}"/>
            </c:ext>
          </c:extLst>
        </c:ser>
        <c:ser>
          <c:idx val="9"/>
          <c:order val="9"/>
          <c:tx>
            <c:strRef>
              <c:f>'Attendance Secondary '!$K$34</c:f>
              <c:strCache>
                <c:ptCount val="1"/>
                <c:pt idx="0">
                  <c:v>Oldham</c:v>
                </c:pt>
              </c:strCache>
            </c:strRef>
          </c:tx>
          <c:spPr>
            <a:ln w="28575" cap="rnd">
              <a:solidFill>
                <a:schemeClr val="bg1">
                  <a:lumMod val="85000"/>
                </a:schemeClr>
              </a:solidFill>
              <a:round/>
            </a:ln>
            <a:effectLst/>
          </c:spPr>
          <c:marker>
            <c:symbol val="none"/>
          </c:marker>
          <c:cat>
            <c:strRef>
              <c:f>'Attendance Secondary '!$A$35:$A$42</c:f>
              <c:strCache>
                <c:ptCount val="6"/>
                <c:pt idx="0">
                  <c:v>2013-14</c:v>
                </c:pt>
                <c:pt idx="1">
                  <c:v>2014-15</c:v>
                </c:pt>
                <c:pt idx="2">
                  <c:v>2015-16</c:v>
                </c:pt>
                <c:pt idx="3">
                  <c:v>2016-17</c:v>
                </c:pt>
                <c:pt idx="4">
                  <c:v>2017-18</c:v>
                </c:pt>
                <c:pt idx="5">
                  <c:v>2018-19</c:v>
                </c:pt>
              </c:strCache>
            </c:strRef>
          </c:cat>
          <c:val>
            <c:numRef>
              <c:f>'Attendance Secondary '!$K$35:$K$42</c:f>
              <c:numCache>
                <c:formatCode>General</c:formatCode>
                <c:ptCount val="6"/>
                <c:pt idx="0">
                  <c:v>5.6</c:v>
                </c:pt>
                <c:pt idx="1">
                  <c:v>5.9</c:v>
                </c:pt>
                <c:pt idx="2">
                  <c:v>14.4</c:v>
                </c:pt>
                <c:pt idx="3">
                  <c:v>15.4</c:v>
                </c:pt>
                <c:pt idx="4">
                  <c:v>13.8</c:v>
                </c:pt>
                <c:pt idx="5">
                  <c:v>14</c:v>
                </c:pt>
              </c:numCache>
            </c:numRef>
          </c:val>
          <c:smooth val="0"/>
          <c:extLst>
            <c:ext xmlns:c16="http://schemas.microsoft.com/office/drawing/2014/chart" uri="{C3380CC4-5D6E-409C-BE32-E72D297353CC}">
              <c16:uniqueId val="{00000009-84A4-4016-8430-294E88C816BE}"/>
            </c:ext>
          </c:extLst>
        </c:ser>
        <c:ser>
          <c:idx val="10"/>
          <c:order val="10"/>
          <c:tx>
            <c:strRef>
              <c:f>'Attendance Secondary '!$L$34</c:f>
              <c:strCache>
                <c:ptCount val="1"/>
                <c:pt idx="0">
                  <c:v>Suffolk_Ipswich </c:v>
                </c:pt>
              </c:strCache>
            </c:strRef>
          </c:tx>
          <c:spPr>
            <a:ln w="38100" cap="rnd">
              <a:solidFill>
                <a:schemeClr val="bg2"/>
              </a:solidFill>
              <a:round/>
            </a:ln>
            <a:effectLst/>
          </c:spPr>
          <c:marker>
            <c:symbol val="none"/>
          </c:marker>
          <c:cat>
            <c:strRef>
              <c:f>'Attendance Secondary '!$A$35:$A$42</c:f>
              <c:strCache>
                <c:ptCount val="6"/>
                <c:pt idx="0">
                  <c:v>2013-14</c:v>
                </c:pt>
                <c:pt idx="1">
                  <c:v>2014-15</c:v>
                </c:pt>
                <c:pt idx="2">
                  <c:v>2015-16</c:v>
                </c:pt>
                <c:pt idx="3">
                  <c:v>2016-17</c:v>
                </c:pt>
                <c:pt idx="4">
                  <c:v>2017-18</c:v>
                </c:pt>
                <c:pt idx="5">
                  <c:v>2018-19</c:v>
                </c:pt>
              </c:strCache>
            </c:strRef>
          </c:cat>
          <c:val>
            <c:numRef>
              <c:f>'Attendance Secondary '!$L$35:$L$42</c:f>
              <c:numCache>
                <c:formatCode>General</c:formatCode>
                <c:ptCount val="6"/>
                <c:pt idx="0">
                  <c:v>5.4</c:v>
                </c:pt>
                <c:pt idx="1">
                  <c:v>5</c:v>
                </c:pt>
                <c:pt idx="2">
                  <c:v>12.1</c:v>
                </c:pt>
                <c:pt idx="3">
                  <c:v>12.3</c:v>
                </c:pt>
                <c:pt idx="4">
                  <c:v>13.5</c:v>
                </c:pt>
                <c:pt idx="5">
                  <c:v>14.1</c:v>
                </c:pt>
              </c:numCache>
            </c:numRef>
          </c:val>
          <c:smooth val="0"/>
          <c:extLst>
            <c:ext xmlns:c16="http://schemas.microsoft.com/office/drawing/2014/chart" uri="{C3380CC4-5D6E-409C-BE32-E72D297353CC}">
              <c16:uniqueId val="{0000000A-84A4-4016-8430-294E88C816BE}"/>
            </c:ext>
          </c:extLst>
        </c:ser>
        <c:ser>
          <c:idx val="11"/>
          <c:order val="11"/>
          <c:tx>
            <c:strRef>
              <c:f>'Attendance Secondary '!$M$34</c:f>
              <c:strCache>
                <c:ptCount val="1"/>
                <c:pt idx="0">
                  <c:v>Derby</c:v>
                </c:pt>
              </c:strCache>
            </c:strRef>
          </c:tx>
          <c:spPr>
            <a:ln w="28575" cap="rnd">
              <a:solidFill>
                <a:schemeClr val="bg1">
                  <a:lumMod val="85000"/>
                </a:schemeClr>
              </a:solidFill>
              <a:round/>
            </a:ln>
            <a:effectLst/>
          </c:spPr>
          <c:marker>
            <c:symbol val="none"/>
          </c:marker>
          <c:cat>
            <c:strRef>
              <c:f>'Attendance Secondary '!$A$35:$A$42</c:f>
              <c:strCache>
                <c:ptCount val="6"/>
                <c:pt idx="0">
                  <c:v>2013-14</c:v>
                </c:pt>
                <c:pt idx="1">
                  <c:v>2014-15</c:v>
                </c:pt>
                <c:pt idx="2">
                  <c:v>2015-16</c:v>
                </c:pt>
                <c:pt idx="3">
                  <c:v>2016-17</c:v>
                </c:pt>
                <c:pt idx="4">
                  <c:v>2017-18</c:v>
                </c:pt>
                <c:pt idx="5">
                  <c:v>2018-19</c:v>
                </c:pt>
              </c:strCache>
            </c:strRef>
          </c:cat>
          <c:val>
            <c:numRef>
              <c:f>'Attendance Secondary '!$M$35:$M$42</c:f>
              <c:numCache>
                <c:formatCode>General</c:formatCode>
                <c:ptCount val="6"/>
                <c:pt idx="0">
                  <c:v>7</c:v>
                </c:pt>
                <c:pt idx="1">
                  <c:v>6.7</c:v>
                </c:pt>
                <c:pt idx="2">
                  <c:v>15.8</c:v>
                </c:pt>
                <c:pt idx="3">
                  <c:v>16.600000000000001</c:v>
                </c:pt>
                <c:pt idx="4">
                  <c:v>15.5</c:v>
                </c:pt>
                <c:pt idx="5">
                  <c:v>14.8</c:v>
                </c:pt>
              </c:numCache>
            </c:numRef>
          </c:val>
          <c:smooth val="0"/>
          <c:extLst>
            <c:ext xmlns:c16="http://schemas.microsoft.com/office/drawing/2014/chart" uri="{C3380CC4-5D6E-409C-BE32-E72D297353CC}">
              <c16:uniqueId val="{0000000B-84A4-4016-8430-294E88C816BE}"/>
            </c:ext>
          </c:extLst>
        </c:ser>
        <c:ser>
          <c:idx val="12"/>
          <c:order val="12"/>
          <c:tx>
            <c:strRef>
              <c:f>'Attendance Secondary '!#REF!</c:f>
              <c:strCache>
                <c:ptCount val="1"/>
                <c:pt idx="0">
                  <c:v>#REF!</c:v>
                </c:pt>
              </c:strCache>
            </c:strRef>
          </c:tx>
          <c:spPr>
            <a:ln w="28575" cap="rnd">
              <a:solidFill>
                <a:schemeClr val="accent1">
                  <a:lumMod val="80000"/>
                  <a:lumOff val="20000"/>
                </a:schemeClr>
              </a:solidFill>
              <a:round/>
            </a:ln>
            <a:effectLst/>
          </c:spPr>
          <c:marker>
            <c:symbol val="none"/>
          </c:marker>
          <c:cat>
            <c:strRef>
              <c:f>'Attendance Secondary '!$A$35:$A$42</c:f>
              <c:strCache>
                <c:ptCount val="8"/>
                <c:pt idx="0">
                  <c:v>2013-14</c:v>
                </c:pt>
                <c:pt idx="1">
                  <c:v>2014-15</c:v>
                </c:pt>
                <c:pt idx="2">
                  <c:v>2015-16</c:v>
                </c:pt>
                <c:pt idx="3">
                  <c:v>2016-17</c:v>
                </c:pt>
                <c:pt idx="4">
                  <c:v>2017-18</c:v>
                </c:pt>
                <c:pt idx="5">
                  <c:v>2018-19</c:v>
                </c:pt>
                <c:pt idx="6">
                  <c:v>2021-22</c:v>
                </c:pt>
                <c:pt idx="7">
                  <c:v>2022-23</c:v>
                </c:pt>
              </c:strCache>
            </c:strRef>
          </c:cat>
          <c:val>
            <c:numRef>
              <c:f>'Attendance Secondary '!#REF!</c:f>
              <c:numCache>
                <c:formatCode>General</c:formatCode>
                <c:ptCount val="1"/>
                <c:pt idx="0">
                  <c:v>1</c:v>
                </c:pt>
              </c:numCache>
            </c:numRef>
          </c:val>
          <c:smooth val="0"/>
          <c:extLst>
            <c:ext xmlns:c16="http://schemas.microsoft.com/office/drawing/2014/chart" uri="{C3380CC4-5D6E-409C-BE32-E72D297353CC}">
              <c16:uniqueId val="{0000000C-84A4-4016-8430-294E88C816BE}"/>
            </c:ext>
          </c:extLst>
        </c:ser>
        <c:ser>
          <c:idx val="13"/>
          <c:order val="13"/>
          <c:tx>
            <c:strRef>
              <c:f>'Attendance Secondary '!$N$34</c:f>
              <c:strCache>
                <c:ptCount val="1"/>
                <c:pt idx="0">
                  <c:v>North Yorkshire_Coastal</c:v>
                </c:pt>
              </c:strCache>
            </c:strRef>
          </c:tx>
          <c:spPr>
            <a:ln w="28575" cap="rnd">
              <a:solidFill>
                <a:schemeClr val="bg1">
                  <a:lumMod val="85000"/>
                </a:schemeClr>
              </a:solidFill>
              <a:round/>
            </a:ln>
            <a:effectLst/>
          </c:spPr>
          <c:marker>
            <c:symbol val="none"/>
          </c:marker>
          <c:cat>
            <c:strRef>
              <c:f>'Attendance Secondary '!$A$35:$A$42</c:f>
              <c:strCache>
                <c:ptCount val="6"/>
                <c:pt idx="0">
                  <c:v>2013-14</c:v>
                </c:pt>
                <c:pt idx="1">
                  <c:v>2014-15</c:v>
                </c:pt>
                <c:pt idx="2">
                  <c:v>2015-16</c:v>
                </c:pt>
                <c:pt idx="3">
                  <c:v>2016-17</c:v>
                </c:pt>
                <c:pt idx="4">
                  <c:v>2017-18</c:v>
                </c:pt>
                <c:pt idx="5">
                  <c:v>2018-19</c:v>
                </c:pt>
              </c:strCache>
            </c:strRef>
          </c:cat>
          <c:val>
            <c:numRef>
              <c:f>'Attendance Secondary '!$N$35:$N$42</c:f>
              <c:numCache>
                <c:formatCode>General</c:formatCode>
                <c:ptCount val="6"/>
                <c:pt idx="0">
                  <c:v>4.7</c:v>
                </c:pt>
                <c:pt idx="1">
                  <c:v>5.0999999999999996</c:v>
                </c:pt>
                <c:pt idx="2">
                  <c:v>12.6</c:v>
                </c:pt>
                <c:pt idx="3">
                  <c:v>13.4</c:v>
                </c:pt>
                <c:pt idx="4">
                  <c:v>14.1</c:v>
                </c:pt>
                <c:pt idx="5">
                  <c:v>14.3</c:v>
                </c:pt>
              </c:numCache>
            </c:numRef>
          </c:val>
          <c:smooth val="0"/>
          <c:extLst>
            <c:ext xmlns:c16="http://schemas.microsoft.com/office/drawing/2014/chart" uri="{C3380CC4-5D6E-409C-BE32-E72D297353CC}">
              <c16:uniqueId val="{0000000D-84A4-4016-8430-294E88C816BE}"/>
            </c:ext>
          </c:extLst>
        </c:ser>
        <c:ser>
          <c:idx val="14"/>
          <c:order val="14"/>
          <c:tx>
            <c:strRef>
              <c:f>'Attendance Secondary '!$P$34</c:f>
              <c:strCache>
                <c:ptCount val="1"/>
                <c:pt idx="0">
                  <c:v>National Secondary </c:v>
                </c:pt>
              </c:strCache>
            </c:strRef>
          </c:tx>
          <c:spPr>
            <a:ln w="44450" cap="rnd">
              <a:solidFill>
                <a:srgbClr val="FF0000"/>
              </a:solidFill>
              <a:prstDash val="sysDash"/>
              <a:round/>
            </a:ln>
            <a:effectLst/>
          </c:spPr>
          <c:marker>
            <c:symbol val="none"/>
          </c:marker>
          <c:cat>
            <c:strRef>
              <c:f>'Attendance Secondary '!$A$35:$A$42</c:f>
              <c:strCache>
                <c:ptCount val="6"/>
                <c:pt idx="0">
                  <c:v>2013-14</c:v>
                </c:pt>
                <c:pt idx="1">
                  <c:v>2014-15</c:v>
                </c:pt>
                <c:pt idx="2">
                  <c:v>2015-16</c:v>
                </c:pt>
                <c:pt idx="3">
                  <c:v>2016-17</c:v>
                </c:pt>
                <c:pt idx="4">
                  <c:v>2017-18</c:v>
                </c:pt>
                <c:pt idx="5">
                  <c:v>2018-19</c:v>
                </c:pt>
              </c:strCache>
            </c:strRef>
          </c:cat>
          <c:val>
            <c:numRef>
              <c:f>'Attendance Secondary '!$P$35:$P$42</c:f>
              <c:numCache>
                <c:formatCode>General</c:formatCode>
                <c:ptCount val="6"/>
                <c:pt idx="0">
                  <c:v>5.3</c:v>
                </c:pt>
                <c:pt idx="1">
                  <c:v>5.4</c:v>
                </c:pt>
                <c:pt idx="2">
                  <c:v>13.1</c:v>
                </c:pt>
                <c:pt idx="3">
                  <c:v>13.5</c:v>
                </c:pt>
                <c:pt idx="4">
                  <c:v>13.9</c:v>
                </c:pt>
                <c:pt idx="5">
                  <c:v>19</c:v>
                </c:pt>
              </c:numCache>
            </c:numRef>
          </c:val>
          <c:smooth val="0"/>
          <c:extLst>
            <c:ext xmlns:c16="http://schemas.microsoft.com/office/drawing/2014/chart" uri="{C3380CC4-5D6E-409C-BE32-E72D297353CC}">
              <c16:uniqueId val="{0000000E-84A4-4016-8430-294E88C816BE}"/>
            </c:ext>
          </c:extLst>
        </c:ser>
        <c:dLbls>
          <c:showLegendKey val="0"/>
          <c:showVal val="0"/>
          <c:showCatName val="0"/>
          <c:showSerName val="0"/>
          <c:showPercent val="0"/>
          <c:showBubbleSize val="0"/>
        </c:dLbls>
        <c:smooth val="0"/>
        <c:axId val="1339811119"/>
        <c:axId val="1339813039"/>
      </c:lineChart>
      <c:catAx>
        <c:axId val="13398111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9813039"/>
        <c:crosses val="autoZero"/>
        <c:auto val="1"/>
        <c:lblAlgn val="ctr"/>
        <c:lblOffset val="100"/>
        <c:noMultiLvlLbl val="0"/>
      </c:catAx>
      <c:valAx>
        <c:axId val="1339813039"/>
        <c:scaling>
          <c:orientation val="minMax"/>
          <c:min val="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9811119"/>
        <c:crosses val="autoZero"/>
        <c:crossBetween val="between"/>
      </c:valAx>
      <c:spPr>
        <a:noFill/>
        <a:ln>
          <a:noFill/>
        </a:ln>
        <a:effectLst/>
      </c:spPr>
    </c:plotArea>
    <c:legend>
      <c:legendPos val="b"/>
      <c:legendEntry>
        <c:idx val="12"/>
        <c:delete val="1"/>
      </c:legendEntry>
      <c:layout>
        <c:manualLayout>
          <c:xMode val="edge"/>
          <c:yMode val="edge"/>
          <c:x val="7.0674019998512333E-2"/>
          <c:y val="0.8167177851471884"/>
          <c:w val="0.87808515838354217"/>
          <c:h val="0.1674018606854641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3812335958005256E-2"/>
          <c:y val="4.357298474945534E-2"/>
          <c:w val="0.76046100006729933"/>
          <c:h val="0.85133652411095673"/>
        </c:manualLayout>
      </c:layout>
      <c:lineChart>
        <c:grouping val="standard"/>
        <c:varyColors val="0"/>
        <c:ser>
          <c:idx val="0"/>
          <c:order val="0"/>
          <c:tx>
            <c:strRef>
              <c:f>Sheet1!$B$2</c:f>
              <c:strCache>
                <c:ptCount val="1"/>
                <c:pt idx="0">
                  <c:v>National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Sheet1!$A$33:$A$38</c:f>
              <c:strCache>
                <c:ptCount val="6"/>
                <c:pt idx="0">
                  <c:v>2013-14</c:v>
                </c:pt>
                <c:pt idx="1">
                  <c:v>2014-15</c:v>
                </c:pt>
                <c:pt idx="2">
                  <c:v>2015-16</c:v>
                </c:pt>
                <c:pt idx="3">
                  <c:v>2016-17</c:v>
                </c:pt>
                <c:pt idx="4">
                  <c:v>2017-18</c:v>
                </c:pt>
                <c:pt idx="5">
                  <c:v>2018-19</c:v>
                </c:pt>
              </c:strCache>
            </c:strRef>
          </c:cat>
          <c:val>
            <c:numRef>
              <c:f>Sheet1!$B$33:$B$38</c:f>
              <c:numCache>
                <c:formatCode>0%</c:formatCode>
                <c:ptCount val="6"/>
                <c:pt idx="0">
                  <c:v>0.63</c:v>
                </c:pt>
                <c:pt idx="1">
                  <c:v>0.67</c:v>
                </c:pt>
                <c:pt idx="2">
                  <c:v>0.39</c:v>
                </c:pt>
                <c:pt idx="3">
                  <c:v>0.47</c:v>
                </c:pt>
                <c:pt idx="4">
                  <c:v>0.51</c:v>
                </c:pt>
                <c:pt idx="5">
                  <c:v>0.51</c:v>
                </c:pt>
              </c:numCache>
            </c:numRef>
          </c:val>
          <c:smooth val="0"/>
          <c:extLst>
            <c:ext xmlns:c16="http://schemas.microsoft.com/office/drawing/2014/chart" uri="{C3380CC4-5D6E-409C-BE32-E72D297353CC}">
              <c16:uniqueId val="{00000000-058F-44FF-B5FF-1AA9AB9E96BE}"/>
            </c:ext>
          </c:extLst>
        </c:ser>
        <c:ser>
          <c:idx val="1"/>
          <c:order val="1"/>
          <c:tx>
            <c:strRef>
              <c:f>Sheet1!$C$2</c:f>
              <c:strCache>
                <c:ptCount val="1"/>
                <c:pt idx="0">
                  <c:v>OAs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Sheet1!$A$33:$A$38</c:f>
              <c:strCache>
                <c:ptCount val="6"/>
                <c:pt idx="0">
                  <c:v>2013-14</c:v>
                </c:pt>
                <c:pt idx="1">
                  <c:v>2014-15</c:v>
                </c:pt>
                <c:pt idx="2">
                  <c:v>2015-16</c:v>
                </c:pt>
                <c:pt idx="3">
                  <c:v>2016-17</c:v>
                </c:pt>
                <c:pt idx="4">
                  <c:v>2017-18</c:v>
                </c:pt>
                <c:pt idx="5">
                  <c:v>2018-19</c:v>
                </c:pt>
              </c:strCache>
            </c:strRef>
          </c:cat>
          <c:val>
            <c:numRef>
              <c:f>Sheet1!$C$33:$C$38</c:f>
              <c:numCache>
                <c:formatCode>0%</c:formatCode>
                <c:ptCount val="6"/>
                <c:pt idx="0">
                  <c:v>0.61821115016937256</c:v>
                </c:pt>
                <c:pt idx="1">
                  <c:v>0.64595186710357666</c:v>
                </c:pt>
                <c:pt idx="2">
                  <c:v>0.35787975788116455</c:v>
                </c:pt>
                <c:pt idx="3">
                  <c:v>0.54351484775543213</c:v>
                </c:pt>
                <c:pt idx="4">
                  <c:v>0.48676124215126038</c:v>
                </c:pt>
                <c:pt idx="5">
                  <c:v>0.51058578491210938</c:v>
                </c:pt>
              </c:numCache>
            </c:numRef>
          </c:val>
          <c:smooth val="0"/>
          <c:extLst>
            <c:ext xmlns:c16="http://schemas.microsoft.com/office/drawing/2014/chart" uri="{C3380CC4-5D6E-409C-BE32-E72D297353CC}">
              <c16:uniqueId val="{00000001-058F-44FF-B5FF-1AA9AB9E96BE}"/>
            </c:ext>
          </c:extLst>
        </c:ser>
        <c:dLbls>
          <c:showLegendKey val="0"/>
          <c:showVal val="0"/>
          <c:showCatName val="0"/>
          <c:showSerName val="0"/>
          <c:showPercent val="0"/>
          <c:showBubbleSize val="0"/>
        </c:dLbls>
        <c:marker val="1"/>
        <c:smooth val="0"/>
        <c:axId val="418109167"/>
        <c:axId val="418110879"/>
      </c:lineChart>
      <c:catAx>
        <c:axId val="4181091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CL"/>
          </a:p>
        </c:txPr>
        <c:crossAx val="418110879"/>
        <c:crosses val="autoZero"/>
        <c:auto val="1"/>
        <c:lblAlgn val="ctr"/>
        <c:lblOffset val="100"/>
        <c:noMultiLvlLbl val="0"/>
      </c:catAx>
      <c:valAx>
        <c:axId val="418110879"/>
        <c:scaling>
          <c:orientation val="minMax"/>
          <c:min val="0.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CL"/>
          </a:p>
        </c:txPr>
        <c:crossAx val="418109167"/>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C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CL"/>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Sheet1!$B$2</c:f>
              <c:strCache>
                <c:ptCount val="1"/>
                <c:pt idx="0">
                  <c:v>National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Sheet1!$A$3:$A$8</c:f>
              <c:strCache>
                <c:ptCount val="6"/>
                <c:pt idx="0">
                  <c:v>2013-14</c:v>
                </c:pt>
                <c:pt idx="1">
                  <c:v>2014-15</c:v>
                </c:pt>
                <c:pt idx="2">
                  <c:v>2015-16</c:v>
                </c:pt>
                <c:pt idx="3">
                  <c:v>2016-17</c:v>
                </c:pt>
                <c:pt idx="4">
                  <c:v>2017-18</c:v>
                </c:pt>
                <c:pt idx="5">
                  <c:v>2018-19</c:v>
                </c:pt>
              </c:strCache>
            </c:strRef>
          </c:cat>
          <c:val>
            <c:numRef>
              <c:f>Sheet1!$B$3:$B$8</c:f>
              <c:numCache>
                <c:formatCode>0%</c:formatCode>
                <c:ptCount val="6"/>
                <c:pt idx="0">
                  <c:v>0.55500000000000005</c:v>
                </c:pt>
                <c:pt idx="1">
                  <c:v>0.55800000000000005</c:v>
                </c:pt>
                <c:pt idx="2">
                  <c:v>0.55800000000000005</c:v>
                </c:pt>
                <c:pt idx="3">
                  <c:v>0.59299999999999997</c:v>
                </c:pt>
                <c:pt idx="4">
                  <c:v>0.59</c:v>
                </c:pt>
                <c:pt idx="5">
                  <c:v>0.6</c:v>
                </c:pt>
              </c:numCache>
            </c:numRef>
          </c:val>
          <c:smooth val="0"/>
          <c:extLst>
            <c:ext xmlns:c16="http://schemas.microsoft.com/office/drawing/2014/chart" uri="{C3380CC4-5D6E-409C-BE32-E72D297353CC}">
              <c16:uniqueId val="{00000000-A7C5-4B89-BF45-E0E0ED4FCF67}"/>
            </c:ext>
          </c:extLst>
        </c:ser>
        <c:ser>
          <c:idx val="1"/>
          <c:order val="1"/>
          <c:tx>
            <c:strRef>
              <c:f>Sheet1!$C$2</c:f>
              <c:strCache>
                <c:ptCount val="1"/>
                <c:pt idx="0">
                  <c:v>OAs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Sheet1!$A$3:$A$8</c:f>
              <c:strCache>
                <c:ptCount val="6"/>
                <c:pt idx="0">
                  <c:v>2013-14</c:v>
                </c:pt>
                <c:pt idx="1">
                  <c:v>2014-15</c:v>
                </c:pt>
                <c:pt idx="2">
                  <c:v>2015-16</c:v>
                </c:pt>
                <c:pt idx="3">
                  <c:v>2016-17</c:v>
                </c:pt>
                <c:pt idx="4">
                  <c:v>2017-18</c:v>
                </c:pt>
                <c:pt idx="5">
                  <c:v>2018-19</c:v>
                </c:pt>
              </c:strCache>
            </c:strRef>
          </c:cat>
          <c:val>
            <c:numRef>
              <c:f>Sheet1!$C$3:$C$8</c:f>
              <c:numCache>
                <c:formatCode>0%</c:formatCode>
                <c:ptCount val="6"/>
                <c:pt idx="0">
                  <c:v>0.51670747995376587</c:v>
                </c:pt>
                <c:pt idx="1">
                  <c:v>0.51771014928817749</c:v>
                </c:pt>
                <c:pt idx="2">
                  <c:v>0.51122426986694336</c:v>
                </c:pt>
                <c:pt idx="3">
                  <c:v>0.53516232967376709</c:v>
                </c:pt>
                <c:pt idx="4">
                  <c:v>0.57708495855331421</c:v>
                </c:pt>
                <c:pt idx="5">
                  <c:v>0.58852130174636841</c:v>
                </c:pt>
              </c:numCache>
            </c:numRef>
          </c:val>
          <c:smooth val="0"/>
          <c:extLst>
            <c:ext xmlns:c16="http://schemas.microsoft.com/office/drawing/2014/chart" uri="{C3380CC4-5D6E-409C-BE32-E72D297353CC}">
              <c16:uniqueId val="{00000001-A7C5-4B89-BF45-E0E0ED4FCF67}"/>
            </c:ext>
          </c:extLst>
        </c:ser>
        <c:dLbls>
          <c:showLegendKey val="0"/>
          <c:showVal val="0"/>
          <c:showCatName val="0"/>
          <c:showSerName val="0"/>
          <c:showPercent val="0"/>
          <c:showBubbleSize val="0"/>
        </c:dLbls>
        <c:marker val="1"/>
        <c:smooth val="0"/>
        <c:axId val="418109167"/>
        <c:axId val="418110879"/>
      </c:lineChart>
      <c:catAx>
        <c:axId val="4181091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CL"/>
          </a:p>
        </c:txPr>
        <c:crossAx val="418110879"/>
        <c:crosses val="autoZero"/>
        <c:auto val="1"/>
        <c:lblAlgn val="ctr"/>
        <c:lblOffset val="100"/>
        <c:noMultiLvlLbl val="0"/>
      </c:catAx>
      <c:valAx>
        <c:axId val="418110879"/>
        <c:scaling>
          <c:orientation val="minMax"/>
          <c:min val="0.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CL"/>
          </a:p>
        </c:txPr>
        <c:crossAx val="418109167"/>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C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CL"/>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0.56322</cdr:x>
      <cdr:y>0.05086</cdr:y>
    </cdr:from>
    <cdr:to>
      <cdr:x>0.56704</cdr:x>
      <cdr:y>0.65091</cdr:y>
    </cdr:to>
    <cdr:cxnSp macro="">
      <cdr:nvCxnSpPr>
        <cdr:cNvPr id="3" name="Straight Connector 2">
          <a:extLst xmlns:a="http://schemas.openxmlformats.org/drawingml/2006/main">
            <a:ext uri="{FF2B5EF4-FFF2-40B4-BE49-F238E27FC236}">
              <a16:creationId xmlns:a16="http://schemas.microsoft.com/office/drawing/2014/main" id="{36175612-D92E-E14A-C66E-9CF34BFD4680}"/>
            </a:ext>
          </a:extLst>
        </cdr:cNvPr>
        <cdr:cNvCxnSpPr/>
      </cdr:nvCxnSpPr>
      <cdr:spPr>
        <a:xfrm xmlns:a="http://schemas.openxmlformats.org/drawingml/2006/main" flipH="1" flipV="1">
          <a:off x="3267075" y="209550"/>
          <a:ext cx="22168" cy="2472534"/>
        </a:xfrm>
        <a:prstGeom xmlns:a="http://schemas.openxmlformats.org/drawingml/2006/main" prst="line">
          <a:avLst/>
        </a:prstGeom>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0.55683</cdr:x>
      <cdr:y>0.00656</cdr:y>
    </cdr:from>
    <cdr:to>
      <cdr:x>0.55683</cdr:x>
      <cdr:y>0.68066</cdr:y>
    </cdr:to>
    <cdr:cxnSp macro="">
      <cdr:nvCxnSpPr>
        <cdr:cNvPr id="3" name="Straight Connector 2">
          <a:extLst xmlns:a="http://schemas.openxmlformats.org/drawingml/2006/main">
            <a:ext uri="{FF2B5EF4-FFF2-40B4-BE49-F238E27FC236}">
              <a16:creationId xmlns:a16="http://schemas.microsoft.com/office/drawing/2014/main" id="{7F8114AF-9E13-FFA4-339C-D690947CECEA}"/>
            </a:ext>
          </a:extLst>
        </cdr:cNvPr>
        <cdr:cNvCxnSpPr/>
      </cdr:nvCxnSpPr>
      <cdr:spPr>
        <a:xfrm xmlns:a="http://schemas.openxmlformats.org/drawingml/2006/main" flipV="1">
          <a:off x="2953500" y="31554"/>
          <a:ext cx="0" cy="3241649"/>
        </a:xfrm>
        <a:prstGeom xmlns:a="http://schemas.openxmlformats.org/drawingml/2006/main" prst="line">
          <a:avLst/>
        </a:prstGeom>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0.56684</cdr:x>
      <cdr:y>0.11946</cdr:y>
    </cdr:from>
    <cdr:to>
      <cdr:x>0.56684</cdr:x>
      <cdr:y>0.69035</cdr:y>
    </cdr:to>
    <cdr:cxnSp macro="">
      <cdr:nvCxnSpPr>
        <cdr:cNvPr id="2" name="Straight Connector 1">
          <a:extLst xmlns:a="http://schemas.openxmlformats.org/drawingml/2006/main">
            <a:ext uri="{FF2B5EF4-FFF2-40B4-BE49-F238E27FC236}">
              <a16:creationId xmlns:a16="http://schemas.microsoft.com/office/drawing/2014/main" id="{D5722578-205B-A382-B0D4-97046EE748B4}"/>
            </a:ext>
          </a:extLst>
        </cdr:cNvPr>
        <cdr:cNvCxnSpPr/>
      </cdr:nvCxnSpPr>
      <cdr:spPr>
        <a:xfrm xmlns:a="http://schemas.openxmlformats.org/drawingml/2006/main" flipV="1">
          <a:off x="2871988" y="490038"/>
          <a:ext cx="0" cy="2341858"/>
        </a:xfrm>
        <a:prstGeom xmlns:a="http://schemas.openxmlformats.org/drawingml/2006/main" prst="line">
          <a:avLst/>
        </a:prstGeom>
      </cdr:spPr>
      <cdr:style>
        <a:lnRef xmlns:a="http://schemas.openxmlformats.org/drawingml/2006/main" idx="3">
          <a:schemeClr val="dk1"/>
        </a:lnRef>
        <a:fillRef xmlns:a="http://schemas.openxmlformats.org/drawingml/2006/main" idx="0">
          <a:schemeClr val="dk1"/>
        </a:fillRef>
        <a:effectRef xmlns:a="http://schemas.openxmlformats.org/drawingml/2006/main" idx="2">
          <a:schemeClr val="dk1"/>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0.50947</cdr:x>
      <cdr:y>0.03775</cdr:y>
    </cdr:from>
    <cdr:to>
      <cdr:x>0.51252</cdr:x>
      <cdr:y>0.89612</cdr:y>
    </cdr:to>
    <cdr:cxnSp macro="">
      <cdr:nvCxnSpPr>
        <cdr:cNvPr id="2" name="Straight Connector 1"/>
        <cdr:cNvCxnSpPr/>
      </cdr:nvCxnSpPr>
      <cdr:spPr>
        <a:xfrm xmlns:a="http://schemas.openxmlformats.org/drawingml/2006/main" flipH="1" flipV="1">
          <a:off x="2920018" y="106091"/>
          <a:ext cx="17486" cy="2412450"/>
        </a:xfrm>
        <a:prstGeom xmlns:a="http://schemas.openxmlformats.org/drawingml/2006/main" prst="line">
          <a:avLst/>
        </a:prstGeom>
      </cdr:spPr>
      <cdr:style>
        <a:lnRef xmlns:a="http://schemas.openxmlformats.org/drawingml/2006/main" idx="3">
          <a:schemeClr val="dk1"/>
        </a:lnRef>
        <a:fillRef xmlns:a="http://schemas.openxmlformats.org/drawingml/2006/main" idx="0">
          <a:schemeClr val="dk1"/>
        </a:fillRef>
        <a:effectRef xmlns:a="http://schemas.openxmlformats.org/drawingml/2006/main" idx="2">
          <a:schemeClr val="dk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0.50754</cdr:x>
      <cdr:y>0.04637</cdr:y>
    </cdr:from>
    <cdr:to>
      <cdr:x>0.51136</cdr:x>
      <cdr:y>0.9004</cdr:y>
    </cdr:to>
    <cdr:cxnSp macro="">
      <cdr:nvCxnSpPr>
        <cdr:cNvPr id="2" name="Straight Connector 1"/>
        <cdr:cNvCxnSpPr/>
      </cdr:nvCxnSpPr>
      <cdr:spPr>
        <a:xfrm xmlns:a="http://schemas.openxmlformats.org/drawingml/2006/main" flipH="1" flipV="1">
          <a:off x="2865120" y="135164"/>
          <a:ext cx="21590" cy="2489200"/>
        </a:xfrm>
        <a:prstGeom xmlns:a="http://schemas.openxmlformats.org/drawingml/2006/main" prst="line">
          <a:avLst/>
        </a:prstGeom>
      </cdr:spPr>
      <cdr:style>
        <a:lnRef xmlns:a="http://schemas.openxmlformats.org/drawingml/2006/main" idx="3">
          <a:schemeClr val="dk1"/>
        </a:lnRef>
        <a:fillRef xmlns:a="http://schemas.openxmlformats.org/drawingml/2006/main" idx="0">
          <a:schemeClr val="dk1"/>
        </a:fillRef>
        <a:effectRef xmlns:a="http://schemas.openxmlformats.org/drawingml/2006/main" idx="2">
          <a:schemeClr val="dk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ECA0110</dc:title>
  <cp:revision>0</cp:revision>
</cp:coreProperties>
</file>