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862C4" w:rsidRPr="00445075" w:rsidP="00445075">
      <w:pPr>
        <w:spacing w:before="40" w:line="240" w:lineRule="auto"/>
        <w:ind w:right="34"/>
        <w:jc w:val="center"/>
        <w:rPr>
          <w:rFonts w:ascii="Calibri" w:hAnsi="Calibri" w:cs="Calibri"/>
          <w:b/>
          <w:bCs/>
          <w:sz w:val="22"/>
          <w:szCs w:val="22"/>
        </w:rPr>
      </w:pPr>
      <w:r w:rsidRPr="00445075">
        <w:rPr>
          <w:rFonts w:ascii="Calibri" w:hAnsi="Calibri" w:cs="Calibri"/>
          <w:b/>
          <w:bCs/>
          <w:sz w:val="22"/>
          <w:szCs w:val="22"/>
        </w:rPr>
        <w:t xml:space="preserve">Written evidence by </w:t>
      </w:r>
      <w:r w:rsidRPr="00445075">
        <w:rPr>
          <w:rFonts w:ascii="Calibri" w:hAnsi="Calibri" w:cs="Calibri"/>
          <w:b/>
          <w:bCs/>
          <w:sz w:val="22"/>
          <w:szCs w:val="22"/>
        </w:rPr>
        <w:t>The Royal Society</w:t>
      </w:r>
      <w:r w:rsidRPr="00445075">
        <w:rPr>
          <w:rFonts w:ascii="Calibri" w:hAnsi="Calibri" w:cs="Calibri"/>
          <w:b/>
          <w:bCs/>
          <w:sz w:val="22"/>
          <w:szCs w:val="22"/>
        </w:rPr>
        <w:t xml:space="preserve"> (</w:t>
      </w:r>
      <w:r w:rsidRPr="00445075">
        <w:rPr>
          <w:rFonts w:ascii="Calibri" w:hAnsi="Calibri" w:cs="Calibri"/>
          <w:b/>
          <w:bCs/>
          <w:sz w:val="22"/>
          <w:szCs w:val="22"/>
        </w:rPr>
        <w:t>ECA0107</w:t>
      </w:r>
      <w:r w:rsidRPr="00445075">
        <w:rPr>
          <w:rFonts w:ascii="Calibri" w:hAnsi="Calibri" w:cs="Calibri"/>
          <w:b/>
          <w:bCs/>
          <w:sz w:val="22"/>
          <w:szCs w:val="22"/>
        </w:rPr>
        <w:t>)</w:t>
      </w:r>
    </w:p>
    <w:p w:rsidR="00445075" w:rsidRPr="00445075" w:rsidP="00445075">
      <w:pPr>
        <w:spacing w:before="40" w:line="240" w:lineRule="auto"/>
        <w:ind w:right="34"/>
        <w:rPr>
          <w:rFonts w:ascii="Calibri" w:hAnsi="Calibri" w:cs="Calibri"/>
          <w:b/>
          <w:bCs/>
          <w:sz w:val="22"/>
          <w:szCs w:val="22"/>
        </w:rPr>
      </w:pPr>
      <w:r w:rsidRPr="00445075">
        <w:rPr>
          <w:rFonts w:ascii="Calibri" w:hAnsi="Calibri" w:cs="Calibri"/>
          <w:b/>
          <w:bCs/>
          <w:sz w:val="22"/>
          <w:szCs w:val="22"/>
        </w:rPr>
        <w:t>Education committee</w:t>
      </w:r>
    </w:p>
    <w:p w:rsidR="00445075" w:rsidRPr="00445075" w:rsidP="00445075">
      <w:pPr>
        <w:spacing w:before="40" w:line="240" w:lineRule="auto"/>
        <w:ind w:right="34"/>
        <w:rPr>
          <w:rFonts w:ascii="Calibri" w:hAnsi="Calibri" w:cs="Calibri"/>
          <w:b/>
          <w:bCs/>
          <w:sz w:val="22"/>
          <w:szCs w:val="22"/>
        </w:rPr>
      </w:pPr>
      <w:r w:rsidRPr="00445075">
        <w:rPr>
          <w:rFonts w:ascii="Calibri" w:hAnsi="Calibri" w:cs="Calibri"/>
          <w:b/>
          <w:bCs/>
          <w:sz w:val="22"/>
          <w:szCs w:val="22"/>
        </w:rPr>
        <w:t>Every Child Achieving and Thriving’ White Paper</w:t>
      </w:r>
    </w:p>
    <w:p w:rsidR="00445075" w:rsidRPr="00445075" w:rsidP="0010158E">
      <w:pPr>
        <w:spacing w:before="40" w:line="240" w:lineRule="auto"/>
        <w:ind w:right="34"/>
        <w:rPr>
          <w:rFonts w:ascii="Calibri" w:hAnsi="Calibri" w:cs="Calibri"/>
          <w:sz w:val="22"/>
          <w:szCs w:val="22"/>
        </w:rPr>
      </w:pPr>
    </w:p>
    <w:p w:rsidR="00D862C4" w:rsidRPr="00445075" w:rsidP="0010158E">
      <w:pPr>
        <w:spacing w:before="40" w:line="240" w:lineRule="auto"/>
        <w:ind w:right="34"/>
        <w:rPr>
          <w:rFonts w:ascii="Calibri" w:hAnsi="Calibri" w:cs="Calibri"/>
          <w:sz w:val="22"/>
          <w:szCs w:val="22"/>
        </w:rPr>
      </w:pPr>
      <w:r w:rsidRPr="00445075">
        <w:rPr>
          <w:rFonts w:ascii="Calibri" w:hAnsi="Calibri" w:cs="Calibri"/>
          <w:sz w:val="22"/>
          <w:szCs w:val="22"/>
        </w:rPr>
        <w:t xml:space="preserve">The Royal Society is the UK’s national academy of science </w:t>
      </w:r>
      <w:r w:rsidRPr="00445075">
        <w:rPr>
          <w:rFonts w:ascii="Calibri" w:hAnsi="Calibri" w:cs="Calibri"/>
          <w:sz w:val="22"/>
          <w:szCs w:val="22"/>
        </w:rPr>
        <w:t>with</w:t>
      </w:r>
      <w:r w:rsidRPr="00445075">
        <w:rPr>
          <w:rFonts w:ascii="Calibri" w:hAnsi="Calibri" w:cs="Calibri"/>
          <w:sz w:val="22"/>
          <w:szCs w:val="22"/>
        </w:rPr>
        <w:t xml:space="preserve"> a Fellowship of the world’s leading scientists. The Royal Society’s fundamental purpose, as set out in its founding Charters of the 1660s, is to recognise, promote and support excellence in science and to encourage the development and use of science for the benefit of humanity.  </w:t>
      </w:r>
    </w:p>
    <w:p w:rsidR="00D862C4" w:rsidRPr="00445075" w:rsidP="0010158E">
      <w:pPr>
        <w:spacing w:before="40" w:line="240" w:lineRule="auto"/>
        <w:ind w:right="34"/>
        <w:rPr>
          <w:rFonts w:ascii="Calibri" w:hAnsi="Calibri" w:cs="Calibri"/>
          <w:sz w:val="22"/>
          <w:szCs w:val="22"/>
        </w:rPr>
      </w:pPr>
    </w:p>
    <w:p w:rsidR="00D862C4" w:rsidRPr="00445075" w:rsidP="0010158E">
      <w:pPr>
        <w:spacing w:before="40" w:line="240" w:lineRule="auto"/>
        <w:ind w:right="34"/>
        <w:rPr>
          <w:rFonts w:ascii="Calibri" w:hAnsi="Calibri" w:cs="Calibri"/>
          <w:sz w:val="22"/>
          <w:szCs w:val="22"/>
        </w:rPr>
      </w:pPr>
      <w:r w:rsidRPr="00445075">
        <w:rPr>
          <w:rFonts w:ascii="Calibri" w:hAnsi="Calibri" w:cs="Calibri"/>
          <w:sz w:val="22"/>
          <w:szCs w:val="22"/>
        </w:rPr>
        <w:t xml:space="preserve">The Royal Society is pleased to submit this response to the Education Select Committee’s call for evidence as part of its inquiry into the Government’s white paper </w:t>
      </w:r>
      <w:r w:rsidRPr="00445075">
        <w:rPr>
          <w:rFonts w:ascii="Calibri" w:hAnsi="Calibri" w:cs="Calibri"/>
          <w:i/>
          <w:iCs/>
          <w:sz w:val="22"/>
          <w:szCs w:val="22"/>
        </w:rPr>
        <w:t>Every child achieving and thriving</w:t>
      </w:r>
      <w:r w:rsidRPr="00445075">
        <w:rPr>
          <w:rFonts w:ascii="Calibri" w:hAnsi="Calibri" w:cs="Calibri"/>
          <w:sz w:val="22"/>
          <w:szCs w:val="22"/>
        </w:rPr>
        <w:t xml:space="preserve">, published in February 2026. The Society welcomes many of the policies set out in the white paper, including the focus on reforms to the current SEND system and the commitment to protect the 3-year key stage 3 model. However, there are areas where we would seek further clarification from Government about the details of the plans, including funding and resourcing, tackling science teacher recruitment and retention challenges, and the development of coherent post-16 STEM pathways. </w:t>
      </w:r>
    </w:p>
    <w:p w:rsidR="00D862C4" w:rsidRPr="00445075" w:rsidP="0010158E">
      <w:pPr>
        <w:spacing w:before="40" w:line="240" w:lineRule="auto"/>
        <w:ind w:right="34"/>
        <w:rPr>
          <w:rFonts w:ascii="Calibri" w:hAnsi="Calibri" w:cs="Calibri"/>
          <w:sz w:val="22"/>
          <w:szCs w:val="22"/>
        </w:rPr>
      </w:pPr>
    </w:p>
    <w:p w:rsidR="00D862C4" w:rsidRPr="00445075" w:rsidP="0010158E">
      <w:pPr>
        <w:spacing w:before="40" w:line="240" w:lineRule="auto"/>
        <w:ind w:right="34"/>
        <w:rPr>
          <w:rFonts w:ascii="Calibri" w:hAnsi="Calibri" w:cs="Calibri"/>
          <w:sz w:val="22"/>
          <w:szCs w:val="22"/>
        </w:rPr>
      </w:pPr>
      <w:r w:rsidRPr="00445075">
        <w:rPr>
          <w:rFonts w:ascii="Calibri" w:hAnsi="Calibri" w:cs="Calibri"/>
          <w:sz w:val="22"/>
          <w:szCs w:val="22"/>
        </w:rPr>
        <w:t>This submission focuses on three sections of the inquiry: raising attainment; enrichment, belonging and behaviour; and workforce reforms. We would be pleased to discuss th</w:t>
      </w:r>
      <w:r w:rsidRPr="00445075">
        <w:rPr>
          <w:rFonts w:ascii="Calibri" w:hAnsi="Calibri" w:cs="Calibri"/>
          <w:sz w:val="22"/>
          <w:szCs w:val="22"/>
        </w:rPr>
        <w:t>e submission</w:t>
      </w:r>
      <w:r w:rsidRPr="00445075">
        <w:rPr>
          <w:rFonts w:ascii="Calibri" w:hAnsi="Calibri" w:cs="Calibri"/>
          <w:sz w:val="22"/>
          <w:szCs w:val="22"/>
        </w:rPr>
        <w:t xml:space="preserve"> with the Committee in more detail. </w:t>
      </w:r>
    </w:p>
    <w:p w:rsidR="00D862C4" w:rsidRPr="00445075" w:rsidP="0010158E">
      <w:pPr>
        <w:spacing w:before="40" w:line="240" w:lineRule="auto"/>
        <w:ind w:right="34"/>
        <w:rPr>
          <w:rFonts w:ascii="Calibri" w:hAnsi="Calibri" w:cs="Calibri"/>
          <w:sz w:val="22"/>
          <w:szCs w:val="22"/>
        </w:rPr>
      </w:pPr>
    </w:p>
    <w:p w:rsidR="00D862C4" w:rsidRPr="00445075" w:rsidP="00BE3626">
      <w:pPr>
        <w:pStyle w:val="ListParagraph"/>
        <w:numPr>
          <w:ilvl w:val="0"/>
          <w:numId w:val="20"/>
        </w:numPr>
        <w:rPr>
          <w:rFonts w:ascii="Calibri" w:hAnsi="Calibri" w:cs="Calibri"/>
          <w:b/>
          <w:bCs/>
          <w:sz w:val="22"/>
          <w:szCs w:val="22"/>
        </w:rPr>
      </w:pPr>
      <w:r w:rsidRPr="00445075">
        <w:rPr>
          <w:rFonts w:ascii="Calibri" w:hAnsi="Calibri" w:cs="Calibri"/>
          <w:b/>
          <w:bCs/>
          <w:sz w:val="22"/>
          <w:szCs w:val="22"/>
        </w:rPr>
        <w:t>Raising attainment </w:t>
      </w:r>
    </w:p>
    <w:p w:rsidR="00D862C4" w:rsidRPr="00445075" w:rsidP="00FA0D63">
      <w:pPr>
        <w:pStyle w:val="ListParagraph"/>
        <w:ind w:left="360"/>
        <w:rPr>
          <w:rFonts w:ascii="Calibri" w:hAnsi="Calibri" w:cs="Calibri"/>
          <w:sz w:val="22"/>
          <w:szCs w:val="22"/>
        </w:rPr>
      </w:pPr>
    </w:p>
    <w:p w:rsidR="00D862C4" w:rsidRPr="00445075" w:rsidP="00BE3626">
      <w:pPr>
        <w:numPr>
          <w:ilvl w:val="1"/>
          <w:numId w:val="20"/>
        </w:numPr>
        <w:tabs>
          <w:tab w:val="num" w:pos="927"/>
        </w:tabs>
        <w:rPr>
          <w:rFonts w:ascii="Calibri" w:hAnsi="Calibri" w:cs="Calibri"/>
          <w:sz w:val="22"/>
          <w:szCs w:val="22"/>
        </w:rPr>
      </w:pPr>
      <w:r w:rsidRPr="00445075">
        <w:rPr>
          <w:rFonts w:ascii="Calibri" w:hAnsi="Calibri" w:cs="Calibri"/>
          <w:sz w:val="22"/>
          <w:szCs w:val="22"/>
        </w:rPr>
        <w:t xml:space="preserve">The Royal Society </w:t>
      </w:r>
      <w:r w:rsidRPr="00445075">
        <w:rPr>
          <w:rFonts w:ascii="Calibri" w:hAnsi="Calibri" w:cs="Calibri"/>
          <w:sz w:val="22"/>
          <w:szCs w:val="22"/>
        </w:rPr>
        <w:t xml:space="preserve">responded </w:t>
      </w:r>
      <w:r w:rsidRPr="00445075">
        <w:rPr>
          <w:rFonts w:ascii="Calibri" w:hAnsi="Calibri" w:cs="Calibri"/>
          <w:sz w:val="22"/>
          <w:szCs w:val="22"/>
        </w:rPr>
        <w:t xml:space="preserve">to the </w:t>
      </w:r>
      <w:r w:rsidRPr="00445075">
        <w:rPr>
          <w:rFonts w:ascii="Calibri" w:hAnsi="Calibri" w:cs="Calibri"/>
          <w:sz w:val="22"/>
          <w:szCs w:val="22"/>
        </w:rPr>
        <w:t>G</w:t>
      </w:r>
      <w:r w:rsidRPr="00445075">
        <w:rPr>
          <w:rFonts w:ascii="Calibri" w:hAnsi="Calibri" w:cs="Calibri"/>
          <w:sz w:val="22"/>
          <w:szCs w:val="22"/>
        </w:rPr>
        <w:t>overnment’s consultation on key stage 4 performance measures earlier this year</w:t>
      </w:r>
      <w:r w:rsidRPr="00445075">
        <w:rPr>
          <w:rFonts w:ascii="Calibri" w:hAnsi="Calibri" w:cs="Calibri"/>
          <w:sz w:val="22"/>
          <w:szCs w:val="22"/>
        </w:rPr>
        <w:t>. We outlined our</w:t>
      </w:r>
      <w:r w:rsidRPr="00445075">
        <w:rPr>
          <w:rFonts w:ascii="Calibri" w:hAnsi="Calibri" w:cs="Calibri"/>
          <w:sz w:val="22"/>
          <w:szCs w:val="22"/>
        </w:rPr>
        <w:t xml:space="preserve"> concerns about the proposals themselves, and about the implication</w:t>
      </w:r>
      <w:r w:rsidRPr="00445075">
        <w:rPr>
          <w:rFonts w:ascii="Calibri" w:hAnsi="Calibri" w:cs="Calibri"/>
          <w:sz w:val="22"/>
          <w:szCs w:val="22"/>
        </w:rPr>
        <w:t>s</w:t>
      </w:r>
      <w:r w:rsidRPr="00445075">
        <w:rPr>
          <w:rFonts w:ascii="Calibri" w:hAnsi="Calibri" w:cs="Calibri"/>
          <w:sz w:val="22"/>
          <w:szCs w:val="22"/>
        </w:rPr>
        <w:t xml:space="preserve"> of the proposals for other policies including the triple science entitlement. </w:t>
      </w:r>
    </w:p>
    <w:p w:rsidR="00D862C4" w:rsidRPr="00445075" w:rsidP="003B691A">
      <w:pPr>
        <w:tabs>
          <w:tab w:val="num" w:pos="927"/>
        </w:tabs>
        <w:ind w:left="792"/>
        <w:rPr>
          <w:rFonts w:ascii="Calibri" w:hAnsi="Calibri" w:cs="Calibri"/>
          <w:sz w:val="22"/>
          <w:szCs w:val="22"/>
        </w:rPr>
      </w:pPr>
    </w:p>
    <w:p w:rsidR="00D862C4" w:rsidRPr="00445075" w:rsidP="00BE3626">
      <w:pPr>
        <w:numPr>
          <w:ilvl w:val="1"/>
          <w:numId w:val="20"/>
        </w:numPr>
        <w:tabs>
          <w:tab w:val="num" w:pos="927"/>
        </w:tabs>
        <w:rPr>
          <w:rFonts w:ascii="Calibri" w:hAnsi="Calibri" w:cs="Calibri"/>
          <w:sz w:val="22"/>
          <w:szCs w:val="22"/>
        </w:rPr>
      </w:pPr>
      <w:r w:rsidRPr="00445075">
        <w:rPr>
          <w:rFonts w:ascii="Calibri" w:hAnsi="Calibri" w:cs="Calibri"/>
          <w:sz w:val="22"/>
          <w:szCs w:val="22"/>
        </w:rPr>
        <w:t xml:space="preserve">The Society has consistently held that all young people should have access to a broad and balanced education, encompassing mathematics, science, humanities, languages and the arts. This breadth is increasingly important, given the changing nature of work and growing uncertainty around future labour market demand. The Society is therefore concerned that the inclusion of a fourth science specific category as part of the reforms to Progress 8 would risk narrowing the curriculum and accelerating the decline in </w:t>
      </w:r>
      <w:r w:rsidRPr="00445075">
        <w:rPr>
          <w:rFonts w:ascii="Calibri" w:hAnsi="Calibri" w:cs="Calibri"/>
          <w:sz w:val="22"/>
          <w:szCs w:val="22"/>
        </w:rPr>
        <w:t xml:space="preserve">entries to humanities, creative subjects and languages. Such an outcome would run counter to the Government’s stated ambition for all pupils to study a curriculum that ‘recognises the value of a wide range of subjects, including the arts, which contribute to our economy and society’, but it is evidently a real possibility based on the worked examples the Government has produced. </w:t>
      </w:r>
    </w:p>
    <w:p w:rsidR="00D862C4" w:rsidRPr="00445075" w:rsidP="003B691A">
      <w:pPr>
        <w:pStyle w:val="ListParagraph"/>
        <w:rPr>
          <w:rFonts w:ascii="Calibri" w:hAnsi="Calibri" w:cs="Calibri"/>
          <w:sz w:val="22"/>
          <w:szCs w:val="22"/>
        </w:rPr>
      </w:pPr>
    </w:p>
    <w:p w:rsidR="00D862C4" w:rsidRPr="00445075" w:rsidP="008A422F">
      <w:pPr>
        <w:numPr>
          <w:ilvl w:val="1"/>
          <w:numId w:val="20"/>
        </w:numPr>
        <w:tabs>
          <w:tab w:val="num" w:pos="927"/>
        </w:tabs>
        <w:rPr>
          <w:rFonts w:ascii="Calibri" w:hAnsi="Calibri" w:cs="Calibri"/>
          <w:sz w:val="22"/>
          <w:szCs w:val="22"/>
        </w:rPr>
      </w:pPr>
      <w:r w:rsidRPr="00445075">
        <w:rPr>
          <w:rFonts w:ascii="Calibri" w:hAnsi="Calibri" w:cs="Calibri"/>
          <w:sz w:val="22"/>
          <w:szCs w:val="22"/>
        </w:rPr>
        <w:t xml:space="preserve">In June 2026 the Royal Society, along with the Royal Society of Biology, Royal Society of Chemistry, Institute of Physics and the Association for Science Education, held focus groups with school and Multi Academy Trust leaders, science directors, subject leads and teachers of science to discuss attitudes to the triple science entitlement and the changes to Progress 8 proposed by government in the white paper. Participants commented on the anticipated difficulty of providing an entitlement to triple science </w:t>
      </w:r>
      <w:r w:rsidRPr="00445075">
        <w:rPr>
          <w:rFonts w:ascii="Calibri" w:hAnsi="Calibri" w:cs="Calibri"/>
          <w:sz w:val="22"/>
          <w:szCs w:val="22"/>
        </w:rPr>
        <w:t xml:space="preserve">whilst facing huge obstacles in </w:t>
      </w:r>
      <w:r w:rsidRPr="00445075">
        <w:rPr>
          <w:rFonts w:ascii="Calibri" w:hAnsi="Calibri" w:cs="Calibri"/>
          <w:sz w:val="22"/>
          <w:szCs w:val="22"/>
        </w:rPr>
        <w:t xml:space="preserve">recruiting and retaining sufficient specialist science teachers, particularly in physics, as well as limits on laboratory space, equipment and technician support. </w:t>
      </w:r>
    </w:p>
    <w:p w:rsidR="00D862C4" w:rsidRPr="00445075" w:rsidP="005C76D6">
      <w:pPr>
        <w:pStyle w:val="ListParagraph"/>
        <w:rPr>
          <w:rFonts w:ascii="Calibri" w:hAnsi="Calibri" w:cs="Calibri"/>
          <w:sz w:val="22"/>
          <w:szCs w:val="22"/>
        </w:rPr>
      </w:pPr>
    </w:p>
    <w:p w:rsidR="00D862C4" w:rsidRPr="00445075" w:rsidP="008A422F">
      <w:pPr>
        <w:numPr>
          <w:ilvl w:val="1"/>
          <w:numId w:val="20"/>
        </w:numPr>
        <w:tabs>
          <w:tab w:val="num" w:pos="927"/>
        </w:tabs>
        <w:rPr>
          <w:rFonts w:ascii="Calibri" w:hAnsi="Calibri" w:cs="Calibri"/>
          <w:sz w:val="22"/>
          <w:szCs w:val="22"/>
        </w:rPr>
      </w:pPr>
      <w:r w:rsidRPr="00445075">
        <w:rPr>
          <w:rFonts w:ascii="Calibri" w:hAnsi="Calibri" w:cs="Calibri"/>
          <w:sz w:val="22"/>
          <w:szCs w:val="22"/>
        </w:rPr>
        <w:t xml:space="preserve">Schools also reported facing difficulties in how they would timetable triple science, with some of those who already offer separate sciences sharing that they often teach triple science outside of regular timetabled hours, creating difficulties in accessing these sessions for some students and further demands on teacher time outside of regular lesson time. </w:t>
      </w:r>
    </w:p>
    <w:p w:rsidR="00D862C4" w:rsidRPr="00445075" w:rsidP="002F7695">
      <w:pPr>
        <w:pStyle w:val="ListParagraph"/>
        <w:rPr>
          <w:rFonts w:ascii="Calibri" w:hAnsi="Calibri" w:cs="Calibri"/>
          <w:sz w:val="22"/>
          <w:szCs w:val="22"/>
        </w:rPr>
      </w:pPr>
    </w:p>
    <w:p w:rsidR="00D862C4" w:rsidRPr="00445075" w:rsidP="00EE52B6">
      <w:pPr>
        <w:numPr>
          <w:ilvl w:val="1"/>
          <w:numId w:val="20"/>
        </w:numPr>
        <w:tabs>
          <w:tab w:val="num" w:pos="927"/>
        </w:tabs>
        <w:rPr>
          <w:rFonts w:ascii="Calibri" w:hAnsi="Calibri" w:cs="Calibri"/>
          <w:sz w:val="22"/>
          <w:szCs w:val="22"/>
        </w:rPr>
      </w:pPr>
      <w:r w:rsidRPr="00445075">
        <w:rPr>
          <w:rFonts w:ascii="Calibri" w:hAnsi="Calibri" w:cs="Calibri"/>
          <w:sz w:val="22"/>
          <w:szCs w:val="22"/>
        </w:rPr>
        <w:t>Many participants</w:t>
      </w:r>
      <w:r w:rsidRPr="00445075">
        <w:rPr>
          <w:rFonts w:ascii="Calibri" w:hAnsi="Calibri" w:cs="Calibri"/>
          <w:sz w:val="22"/>
          <w:szCs w:val="22"/>
        </w:rPr>
        <w:t xml:space="preserve"> expressed support for moving towards a single, unified pathway for science at GCSE that continues to prioritise scientific rigour and clear progression to post-16 STEM study, while ensuring that all young people follow the same high-quality course rather than being divided by pathways that reinforce inequities. The Royal Society, along with the Royal Society of Biology, the Royal Society of Chemistry, the Institute of Physics and the Association for Science Education have previously advocated for a single </w:t>
      </w:r>
      <w:r w:rsidRPr="00445075">
        <w:rPr>
          <w:rFonts w:ascii="Calibri" w:hAnsi="Calibri" w:cs="Calibri"/>
          <w:sz w:val="22"/>
          <w:szCs w:val="22"/>
        </w:rPr>
        <w:t>route through the sciences, drawing on the depth of knowledge of the separate sciences route, but which reduces curriculum content and draws out interdisciplinary themes across the sciences.</w:t>
      </w:r>
      <w:r>
        <w:rPr>
          <w:rStyle w:val="FootnoteReference"/>
          <w:rFonts w:ascii="Calibri" w:hAnsi="Calibri" w:cs="Calibri"/>
          <w:sz w:val="22"/>
          <w:szCs w:val="22"/>
        </w:rPr>
        <w:footnoteReference w:id="2"/>
      </w:r>
    </w:p>
    <w:p w:rsidR="00D862C4" w:rsidRPr="00445075" w:rsidP="00F57C41">
      <w:pPr>
        <w:pStyle w:val="ListParagraph"/>
        <w:rPr>
          <w:rFonts w:ascii="Calibri" w:hAnsi="Calibri" w:cs="Calibri"/>
          <w:sz w:val="22"/>
          <w:szCs w:val="22"/>
        </w:rPr>
      </w:pPr>
    </w:p>
    <w:p w:rsidR="00D862C4" w:rsidRPr="00445075" w:rsidP="008A422F">
      <w:pPr>
        <w:numPr>
          <w:ilvl w:val="1"/>
          <w:numId w:val="20"/>
        </w:numPr>
        <w:tabs>
          <w:tab w:val="num" w:pos="927"/>
        </w:tabs>
        <w:rPr>
          <w:rFonts w:ascii="Calibri" w:hAnsi="Calibri" w:cs="Calibri"/>
          <w:sz w:val="22"/>
          <w:szCs w:val="22"/>
        </w:rPr>
      </w:pPr>
      <w:r w:rsidRPr="00445075">
        <w:rPr>
          <w:rFonts w:ascii="Calibri" w:hAnsi="Calibri" w:cs="Calibri"/>
          <w:sz w:val="22"/>
          <w:szCs w:val="22"/>
        </w:rPr>
        <w:t xml:space="preserve">The Royal Society’s 2024 report </w:t>
      </w:r>
      <w:r w:rsidRPr="00445075">
        <w:rPr>
          <w:rFonts w:ascii="Calibri" w:hAnsi="Calibri" w:cs="Calibri"/>
          <w:i/>
          <w:iCs/>
          <w:sz w:val="22"/>
          <w:szCs w:val="22"/>
        </w:rPr>
        <w:t>A new approach</w:t>
      </w:r>
      <w:r w:rsidRPr="00445075">
        <w:rPr>
          <w:rFonts w:ascii="Calibri" w:hAnsi="Calibri" w:cs="Calibri"/>
          <w:i/>
          <w:iCs/>
          <w:sz w:val="22"/>
          <w:szCs w:val="22"/>
        </w:rPr>
        <w:t xml:space="preserve"> to mathematical and data education</w:t>
      </w:r>
      <w:r>
        <w:rPr>
          <w:rStyle w:val="FootnoteReference"/>
          <w:rFonts w:ascii="Calibri" w:hAnsi="Calibri" w:cs="Calibri"/>
          <w:sz w:val="22"/>
          <w:szCs w:val="22"/>
        </w:rPr>
        <w:footnoteReference w:id="3"/>
      </w:r>
      <w:r w:rsidRPr="00445075">
        <w:rPr>
          <w:rFonts w:ascii="Calibri" w:hAnsi="Calibri" w:cs="Calibri"/>
          <w:i/>
          <w:iCs/>
          <w:sz w:val="22"/>
          <w:szCs w:val="22"/>
        </w:rPr>
        <w:t xml:space="preserve"> </w:t>
      </w:r>
      <w:r w:rsidRPr="00445075">
        <w:rPr>
          <w:rFonts w:ascii="Calibri" w:hAnsi="Calibri" w:cs="Calibri"/>
          <w:sz w:val="22"/>
          <w:szCs w:val="22"/>
        </w:rPr>
        <w:t xml:space="preserve">highlighted the need for extensive reforms to maths education. </w:t>
      </w:r>
      <w:r w:rsidRPr="00445075">
        <w:rPr>
          <w:rFonts w:ascii="Calibri" w:hAnsi="Calibri" w:cs="Calibri"/>
          <w:sz w:val="22"/>
          <w:szCs w:val="22"/>
        </w:rPr>
        <w:t xml:space="preserve">The report </w:t>
      </w:r>
      <w:r w:rsidRPr="00445075">
        <w:rPr>
          <w:rFonts w:ascii="Calibri" w:hAnsi="Calibri" w:cs="Calibri"/>
          <w:sz w:val="22"/>
          <w:szCs w:val="22"/>
        </w:rPr>
        <w:t xml:space="preserve">focuses on how we can better prepare young people for their futures, whether that is in </w:t>
      </w:r>
      <w:r w:rsidRPr="00445075">
        <w:rPr>
          <w:rFonts w:ascii="Calibri" w:hAnsi="Calibri" w:cs="Calibri"/>
          <w:sz w:val="22"/>
          <w:szCs w:val="22"/>
        </w:rPr>
        <w:t>how to use</w:t>
      </w:r>
      <w:r w:rsidRPr="00445075">
        <w:rPr>
          <w:rFonts w:ascii="Calibri" w:hAnsi="Calibri" w:cs="Calibri"/>
          <w:sz w:val="22"/>
          <w:szCs w:val="22"/>
        </w:rPr>
        <w:t xml:space="preserve"> and analyse data as part of many careers, </w:t>
      </w:r>
      <w:r w:rsidRPr="00445075">
        <w:rPr>
          <w:rFonts w:ascii="Calibri" w:hAnsi="Calibri" w:cs="Calibri"/>
          <w:sz w:val="22"/>
          <w:szCs w:val="22"/>
        </w:rPr>
        <w:t xml:space="preserve">or </w:t>
      </w:r>
      <w:r w:rsidRPr="00445075">
        <w:rPr>
          <w:rFonts w:ascii="Calibri" w:hAnsi="Calibri" w:cs="Calibri"/>
          <w:sz w:val="22"/>
          <w:szCs w:val="22"/>
        </w:rPr>
        <w:t>the data</w:t>
      </w:r>
      <w:r w:rsidRPr="00445075">
        <w:rPr>
          <w:rFonts w:ascii="Calibri" w:hAnsi="Calibri" w:cs="Calibri"/>
          <w:sz w:val="22"/>
          <w:szCs w:val="22"/>
        </w:rPr>
        <w:t xml:space="preserve"> and numeracy</w:t>
      </w:r>
      <w:r w:rsidRPr="00445075">
        <w:rPr>
          <w:rFonts w:ascii="Calibri" w:hAnsi="Calibri" w:cs="Calibri"/>
          <w:sz w:val="22"/>
          <w:szCs w:val="22"/>
        </w:rPr>
        <w:t xml:space="preserve"> skills needed as an active citizen in wider society. In July 2026, Professor Jane Clarke FRS, Chair of the Royal Society’s Advisory Committee on Mathematics Education</w:t>
      </w:r>
      <w:r w:rsidRPr="00445075">
        <w:rPr>
          <w:rFonts w:ascii="Calibri" w:hAnsi="Calibri" w:cs="Calibri"/>
          <w:sz w:val="22"/>
          <w:szCs w:val="22"/>
        </w:rPr>
        <w:t xml:space="preserve"> (RS ACME)</w:t>
      </w:r>
      <w:r w:rsidRPr="00445075">
        <w:rPr>
          <w:rFonts w:ascii="Calibri" w:hAnsi="Calibri" w:cs="Calibri"/>
          <w:sz w:val="22"/>
          <w:szCs w:val="22"/>
        </w:rPr>
        <w:t>, gave evidence to the House of Lords Numeracy for Life Committee, and spoke in depth about the importance of foundational mathematical education.</w:t>
      </w:r>
      <w:r>
        <w:rPr>
          <w:rStyle w:val="FootnoteReference"/>
          <w:rFonts w:ascii="Calibri" w:hAnsi="Calibri" w:cs="Calibri"/>
          <w:sz w:val="22"/>
          <w:szCs w:val="22"/>
        </w:rPr>
        <w:footnoteReference w:id="4"/>
      </w:r>
    </w:p>
    <w:p w:rsidR="00D862C4" w:rsidRPr="00445075" w:rsidP="00CB46A0">
      <w:pPr>
        <w:pStyle w:val="ListParagraph"/>
        <w:rPr>
          <w:rFonts w:ascii="Calibri" w:hAnsi="Calibri" w:cs="Calibri"/>
          <w:sz w:val="22"/>
          <w:szCs w:val="22"/>
        </w:rPr>
      </w:pPr>
    </w:p>
    <w:p w:rsidR="00D862C4" w:rsidRPr="00445075" w:rsidP="006803B3">
      <w:pPr>
        <w:numPr>
          <w:ilvl w:val="1"/>
          <w:numId w:val="20"/>
        </w:numPr>
        <w:tabs>
          <w:tab w:val="num" w:pos="927"/>
        </w:tabs>
        <w:rPr>
          <w:rFonts w:ascii="Calibri" w:hAnsi="Calibri" w:cs="Calibri"/>
          <w:sz w:val="22"/>
          <w:szCs w:val="22"/>
        </w:rPr>
      </w:pPr>
      <w:r w:rsidRPr="00445075">
        <w:rPr>
          <w:rFonts w:ascii="Calibri" w:hAnsi="Calibri" w:cs="Calibri"/>
          <w:sz w:val="22"/>
          <w:szCs w:val="22"/>
        </w:rPr>
        <w:t>Each year around 30% of 16-year-olds (that is some 200,000 students</w:t>
      </w:r>
      <w:r>
        <w:rPr>
          <w:rStyle w:val="FootnoteReference"/>
          <w:rFonts w:ascii="Calibri" w:hAnsi="Calibri" w:cs="Calibri"/>
          <w:sz w:val="22"/>
          <w:szCs w:val="22"/>
        </w:rPr>
        <w:footnoteReference w:id="5"/>
      </w:r>
      <w:r w:rsidRPr="00445075">
        <w:rPr>
          <w:rFonts w:ascii="Calibri" w:hAnsi="Calibri" w:cs="Calibri"/>
          <w:sz w:val="22"/>
          <w:szCs w:val="22"/>
        </w:rPr>
        <w:t xml:space="preserve">) in state schools fail to attain a </w:t>
      </w:r>
      <w:r w:rsidRPr="00445075">
        <w:rPr>
          <w:rFonts w:ascii="Calibri" w:hAnsi="Calibri" w:cs="Calibri"/>
          <w:sz w:val="22"/>
          <w:szCs w:val="22"/>
        </w:rPr>
        <w:t xml:space="preserve">GCSE </w:t>
      </w:r>
      <w:r w:rsidRPr="00445075">
        <w:rPr>
          <w:rFonts w:ascii="Calibri" w:hAnsi="Calibri" w:cs="Calibri"/>
          <w:sz w:val="22"/>
          <w:szCs w:val="22"/>
        </w:rPr>
        <w:t xml:space="preserve">grade 4 or better. There are wide regional disparities in terms of student pass rates – for example, the </w:t>
      </w:r>
      <w:r w:rsidRPr="00445075">
        <w:rPr>
          <w:rFonts w:ascii="Calibri" w:hAnsi="Calibri" w:cs="Calibri"/>
          <w:sz w:val="22"/>
          <w:szCs w:val="22"/>
        </w:rPr>
        <w:t>North West</w:t>
      </w:r>
      <w:r w:rsidRPr="00445075">
        <w:rPr>
          <w:rFonts w:ascii="Calibri" w:hAnsi="Calibri" w:cs="Calibri"/>
          <w:sz w:val="22"/>
          <w:szCs w:val="22"/>
        </w:rPr>
        <w:t xml:space="preserve"> is the top performing region for students resitting the GCSE in mathematics, whereas students in Yorkshire and Humber, the West Midlands, and the </w:t>
      </w:r>
      <w:r w:rsidRPr="00445075">
        <w:rPr>
          <w:rFonts w:ascii="Calibri" w:hAnsi="Calibri" w:cs="Calibri"/>
          <w:sz w:val="22"/>
          <w:szCs w:val="22"/>
        </w:rPr>
        <w:t>South West</w:t>
      </w:r>
      <w:r w:rsidRPr="00445075">
        <w:rPr>
          <w:rFonts w:ascii="Calibri" w:hAnsi="Calibri" w:cs="Calibri"/>
          <w:sz w:val="22"/>
          <w:szCs w:val="22"/>
        </w:rPr>
        <w:t xml:space="preserve"> perform poorly by comparison.</w:t>
      </w:r>
      <w:r>
        <w:rPr>
          <w:rFonts w:ascii="Calibri" w:hAnsi="Calibri" w:cs="Calibri"/>
          <w:sz w:val="22"/>
          <w:szCs w:val="22"/>
          <w:vertAlign w:val="superscript"/>
        </w:rPr>
        <w:footnoteReference w:id="6"/>
      </w:r>
      <w:r w:rsidRPr="00445075">
        <w:rPr>
          <w:rFonts w:ascii="Calibri" w:hAnsi="Calibri" w:cs="Calibri"/>
          <w:sz w:val="22"/>
          <w:szCs w:val="22"/>
        </w:rPr>
        <w:t xml:space="preserve"> </w:t>
      </w:r>
    </w:p>
    <w:p w:rsidR="00D862C4" w:rsidRPr="00445075" w:rsidP="006803B3">
      <w:pPr>
        <w:ind w:left="792"/>
        <w:rPr>
          <w:rFonts w:ascii="Calibri" w:hAnsi="Calibri" w:cs="Calibri"/>
          <w:sz w:val="22"/>
          <w:szCs w:val="22"/>
        </w:rPr>
      </w:pPr>
    </w:p>
    <w:p w:rsidR="00D862C4" w:rsidRPr="00445075" w:rsidP="008A422F">
      <w:pPr>
        <w:numPr>
          <w:ilvl w:val="1"/>
          <w:numId w:val="20"/>
        </w:numPr>
        <w:tabs>
          <w:tab w:val="num" w:pos="927"/>
        </w:tabs>
        <w:rPr>
          <w:rFonts w:ascii="Calibri" w:hAnsi="Calibri" w:cs="Calibri"/>
          <w:sz w:val="22"/>
          <w:szCs w:val="22"/>
        </w:rPr>
      </w:pPr>
      <w:r w:rsidRPr="00445075">
        <w:rPr>
          <w:rFonts w:ascii="Calibri" w:hAnsi="Calibri" w:cs="Calibri"/>
          <w:sz w:val="22"/>
          <w:szCs w:val="22"/>
        </w:rPr>
        <w:t>S</w:t>
      </w:r>
      <w:r w:rsidRPr="00445075">
        <w:rPr>
          <w:rFonts w:ascii="Calibri" w:hAnsi="Calibri" w:cs="Calibri"/>
          <w:sz w:val="22"/>
          <w:szCs w:val="22"/>
        </w:rPr>
        <w:t xml:space="preserve">tudents </w:t>
      </w:r>
      <w:r w:rsidRPr="00445075">
        <w:rPr>
          <w:rFonts w:ascii="Calibri" w:hAnsi="Calibri" w:cs="Calibri"/>
          <w:sz w:val="22"/>
          <w:szCs w:val="22"/>
        </w:rPr>
        <w:t xml:space="preserve">who do not achieve a grade 4 </w:t>
      </w:r>
      <w:r w:rsidRPr="00445075">
        <w:rPr>
          <w:rFonts w:ascii="Calibri" w:hAnsi="Calibri" w:cs="Calibri"/>
          <w:sz w:val="22"/>
          <w:szCs w:val="22"/>
        </w:rPr>
        <w:t>are required to</w:t>
      </w:r>
      <w:r w:rsidRPr="00445075">
        <w:rPr>
          <w:rFonts w:ascii="Calibri" w:hAnsi="Calibri" w:cs="Calibri"/>
          <w:sz w:val="22"/>
          <w:szCs w:val="22"/>
        </w:rPr>
        <w:t xml:space="preserve"> resit GCSE mathematics examinations or to pursue a ‘pass’ in an equivalent functional skills qualification. The outcomes</w:t>
      </w:r>
      <w:r w:rsidRPr="00445075">
        <w:rPr>
          <w:rFonts w:ascii="Calibri" w:hAnsi="Calibri" w:cs="Calibri"/>
          <w:sz w:val="22"/>
          <w:szCs w:val="22"/>
        </w:rPr>
        <w:t xml:space="preserve"> of these resits</w:t>
      </w:r>
      <w:r w:rsidRPr="00445075">
        <w:rPr>
          <w:rFonts w:ascii="Calibri" w:hAnsi="Calibri" w:cs="Calibri"/>
          <w:sz w:val="22"/>
          <w:szCs w:val="22"/>
        </w:rPr>
        <w:t xml:space="preserve"> are not encouraging</w:t>
      </w:r>
      <w:r w:rsidRPr="00445075">
        <w:rPr>
          <w:rFonts w:ascii="Calibri" w:hAnsi="Calibri" w:cs="Calibri"/>
          <w:sz w:val="22"/>
          <w:szCs w:val="22"/>
        </w:rPr>
        <w:t xml:space="preserve">: </w:t>
      </w:r>
      <w:r w:rsidRPr="00445075">
        <w:rPr>
          <w:rFonts w:ascii="Calibri" w:hAnsi="Calibri" w:cs="Calibri"/>
          <w:sz w:val="22"/>
          <w:szCs w:val="22"/>
        </w:rPr>
        <w:t>t</w:t>
      </w:r>
      <w:r w:rsidRPr="00445075">
        <w:rPr>
          <w:rFonts w:ascii="Calibri" w:hAnsi="Calibri" w:cs="Calibri"/>
          <w:sz w:val="22"/>
          <w:szCs w:val="22"/>
        </w:rPr>
        <w:t xml:space="preserve">wo thirds of the GCSE resit students do not improve their </w:t>
      </w:r>
      <w:r w:rsidRPr="00445075">
        <w:rPr>
          <w:rFonts w:ascii="Calibri" w:hAnsi="Calibri" w:cs="Calibri"/>
          <w:sz w:val="22"/>
          <w:szCs w:val="22"/>
        </w:rPr>
        <w:t>performance by age 19</w:t>
      </w:r>
      <w:r>
        <w:rPr>
          <w:rStyle w:val="FootnoteReference"/>
          <w:rFonts w:ascii="Calibri" w:hAnsi="Calibri" w:cs="Calibri"/>
          <w:sz w:val="22"/>
          <w:szCs w:val="22"/>
        </w:rPr>
        <w:footnoteReference w:id="7"/>
      </w:r>
      <w:r w:rsidRPr="00445075">
        <w:rPr>
          <w:rFonts w:ascii="Calibri" w:hAnsi="Calibri" w:cs="Calibri"/>
          <w:sz w:val="22"/>
          <w:szCs w:val="22"/>
        </w:rPr>
        <w:t>, while others may re-sit multiple times before achieving the pass grade. Students who come from socio-economically disadvantaged areas and those with special educational needs and disabilities are both more likely to fall within the resit group and less likely to succeed. The Royal Society has been at the forefront of the increasing number of organisations calling for the existing GCSE resits policy to be replaced</w:t>
      </w:r>
      <w:r>
        <w:rPr>
          <w:rStyle w:val="FootnoteReference"/>
          <w:rFonts w:ascii="Calibri" w:hAnsi="Calibri" w:cs="Calibri"/>
          <w:sz w:val="22"/>
          <w:szCs w:val="22"/>
        </w:rPr>
        <w:footnoteReference w:id="8"/>
      </w:r>
      <w:r w:rsidRPr="00445075">
        <w:rPr>
          <w:rFonts w:ascii="Calibri" w:hAnsi="Calibri" w:cs="Calibri"/>
          <w:sz w:val="22"/>
          <w:szCs w:val="22"/>
        </w:rPr>
        <w:t>.</w:t>
      </w:r>
    </w:p>
    <w:p w:rsidR="00D862C4" w:rsidRPr="00445075" w:rsidP="00126EE8">
      <w:pPr>
        <w:pStyle w:val="ListParagraph"/>
        <w:rPr>
          <w:rFonts w:ascii="Calibri" w:hAnsi="Calibri" w:cs="Calibri"/>
          <w:sz w:val="22"/>
          <w:szCs w:val="22"/>
        </w:rPr>
      </w:pPr>
    </w:p>
    <w:p w:rsidR="00D862C4" w:rsidRPr="00445075" w:rsidP="008A422F">
      <w:pPr>
        <w:numPr>
          <w:ilvl w:val="1"/>
          <w:numId w:val="20"/>
        </w:numPr>
        <w:tabs>
          <w:tab w:val="num" w:pos="927"/>
        </w:tabs>
        <w:rPr>
          <w:rFonts w:ascii="Calibri" w:hAnsi="Calibri" w:cs="Calibri"/>
          <w:sz w:val="22"/>
          <w:szCs w:val="22"/>
        </w:rPr>
      </w:pPr>
      <w:r w:rsidRPr="00445075">
        <w:rPr>
          <w:rFonts w:ascii="Calibri" w:hAnsi="Calibri" w:cs="Calibri"/>
          <w:sz w:val="22"/>
          <w:szCs w:val="22"/>
        </w:rPr>
        <w:t xml:space="preserve">The Royal Society welcomes the recommendations from the Curriculum and Assessment Review and the commitment in </w:t>
      </w:r>
      <w:r w:rsidRPr="00445075">
        <w:rPr>
          <w:rFonts w:ascii="Calibri" w:hAnsi="Calibri" w:cs="Calibri"/>
          <w:sz w:val="22"/>
          <w:szCs w:val="22"/>
        </w:rPr>
        <w:t xml:space="preserve">the </w:t>
      </w:r>
      <w:r w:rsidRPr="00445075">
        <w:rPr>
          <w:rFonts w:ascii="Calibri" w:hAnsi="Calibri" w:cs="Calibri"/>
          <w:i/>
          <w:iCs/>
          <w:sz w:val="22"/>
          <w:szCs w:val="22"/>
        </w:rPr>
        <w:t>Every</w:t>
      </w:r>
      <w:r w:rsidRPr="00445075">
        <w:rPr>
          <w:rFonts w:ascii="Calibri" w:hAnsi="Calibri" w:cs="Calibri"/>
          <w:i/>
          <w:iCs/>
          <w:sz w:val="22"/>
          <w:szCs w:val="22"/>
        </w:rPr>
        <w:t xml:space="preserve"> child achieving and thriving </w:t>
      </w:r>
      <w:r w:rsidRPr="00445075">
        <w:rPr>
          <w:rFonts w:ascii="Calibri" w:hAnsi="Calibri" w:cs="Calibri"/>
          <w:sz w:val="22"/>
          <w:szCs w:val="22"/>
        </w:rPr>
        <w:t>white paper to address the challenges to GCSE resits. However, the Society wishes to ensure that changes to the resit policy allow young people to succeed by developing a wide range of mathematical and data knowledge and skills appropriate to them and to their progression, and as part of this Government should consider carefully whether the GCSE is an appropriate measure of achievement for every student. We are keen to work with government on what</w:t>
      </w:r>
      <w:r w:rsidRPr="00445075">
        <w:rPr>
          <w:rFonts w:ascii="Calibri" w:hAnsi="Calibri" w:cs="Calibri"/>
          <w:sz w:val="22"/>
          <w:szCs w:val="22"/>
        </w:rPr>
        <w:t xml:space="preserve"> an alternative to GCSE Mathematics could </w:t>
      </w:r>
      <w:r w:rsidRPr="00445075">
        <w:rPr>
          <w:rFonts w:ascii="Calibri" w:hAnsi="Calibri" w:cs="Calibri"/>
          <w:sz w:val="22"/>
          <w:szCs w:val="22"/>
        </w:rPr>
        <w:t>look</w:t>
      </w:r>
      <w:r w:rsidRPr="00445075">
        <w:rPr>
          <w:rFonts w:ascii="Calibri" w:hAnsi="Calibri" w:cs="Calibri"/>
          <w:sz w:val="22"/>
          <w:szCs w:val="22"/>
        </w:rPr>
        <w:t xml:space="preserve"> like in practice, </w:t>
      </w:r>
      <w:r w:rsidRPr="00445075">
        <w:rPr>
          <w:rFonts w:ascii="Calibri" w:hAnsi="Calibri" w:cs="Calibri"/>
          <w:sz w:val="22"/>
          <w:szCs w:val="22"/>
        </w:rPr>
        <w:t xml:space="preserve">as well as </w:t>
      </w:r>
      <w:r w:rsidRPr="00445075">
        <w:rPr>
          <w:rFonts w:ascii="Calibri" w:hAnsi="Calibri" w:cs="Calibri"/>
          <w:sz w:val="22"/>
          <w:szCs w:val="22"/>
        </w:rPr>
        <w:t xml:space="preserve">exploring how to integrate </w:t>
      </w:r>
      <w:r w:rsidRPr="00445075">
        <w:rPr>
          <w:rFonts w:ascii="Calibri" w:hAnsi="Calibri" w:cs="Calibri"/>
          <w:sz w:val="22"/>
          <w:szCs w:val="22"/>
        </w:rPr>
        <w:t xml:space="preserve">key mathematical and data concepts across a broad range of subjects through the new V levels. </w:t>
      </w:r>
    </w:p>
    <w:p w:rsidR="00D862C4" w:rsidRPr="00445075" w:rsidP="1D1B7171">
      <w:pPr>
        <w:tabs>
          <w:tab w:val="num" w:pos="927"/>
        </w:tabs>
        <w:ind w:left="792"/>
        <w:rPr>
          <w:rFonts w:ascii="Calibri" w:hAnsi="Calibri" w:cs="Calibri"/>
          <w:sz w:val="22"/>
          <w:szCs w:val="22"/>
        </w:rPr>
      </w:pPr>
    </w:p>
    <w:p w:rsidR="00D862C4" w:rsidRPr="00445075" w:rsidP="1D1B7171">
      <w:pPr>
        <w:numPr>
          <w:ilvl w:val="1"/>
          <w:numId w:val="20"/>
        </w:numPr>
        <w:tabs>
          <w:tab w:val="num" w:pos="927"/>
        </w:tabs>
        <w:rPr>
          <w:rFonts w:ascii="Calibri" w:eastAsia="Arial" w:hAnsi="Calibri" w:cs="Calibri"/>
          <w:sz w:val="22"/>
          <w:szCs w:val="22"/>
        </w:rPr>
      </w:pPr>
      <w:r w:rsidRPr="00445075">
        <w:rPr>
          <w:rFonts w:ascii="Calibri" w:hAnsi="Calibri" w:cs="Calibri"/>
          <w:sz w:val="22"/>
          <w:szCs w:val="22"/>
        </w:rPr>
        <w:t xml:space="preserve">In its response to the DfE’s consultation on 16-19 Level 1 English and Maths qualifications, </w:t>
      </w:r>
      <w:r w:rsidRPr="00445075">
        <w:rPr>
          <w:rFonts w:ascii="Calibri" w:hAnsi="Calibri" w:cs="Calibri"/>
          <w:sz w:val="22"/>
          <w:szCs w:val="22"/>
        </w:rPr>
        <w:t>RS ACME</w:t>
      </w:r>
      <w:r w:rsidRPr="00445075">
        <w:rPr>
          <w:rFonts w:ascii="Calibri" w:hAnsi="Calibri" w:cs="Calibri"/>
          <w:sz w:val="22"/>
          <w:szCs w:val="22"/>
        </w:rPr>
        <w:t xml:space="preserve"> stated that proposed qualification reform must be recognised and valued as a </w:t>
      </w:r>
      <w:r w:rsidRPr="00445075">
        <w:rPr>
          <w:rFonts w:ascii="Calibri" w:hAnsi="Calibri" w:cs="Calibri"/>
          <w:sz w:val="22"/>
          <w:szCs w:val="22"/>
        </w:rPr>
        <w:t>high-quality</w:t>
      </w:r>
      <w:r w:rsidRPr="00445075">
        <w:rPr>
          <w:rFonts w:ascii="Calibri" w:hAnsi="Calibri" w:cs="Calibri"/>
          <w:sz w:val="22"/>
          <w:szCs w:val="22"/>
        </w:rPr>
        <w:t xml:space="preserve"> alternative rather than a remedial ‘stepping stone’. </w:t>
      </w:r>
      <w:r w:rsidRPr="00445075">
        <w:rPr>
          <w:rFonts w:ascii="Calibri" w:eastAsia="Arial" w:hAnsi="Calibri" w:cs="Calibri"/>
          <w:sz w:val="22"/>
          <w:szCs w:val="22"/>
        </w:rPr>
        <w:t>The qualification should clearly communicate the knowledge and skills it represents, and its content should visibly reflect the mathematical skills that are valued in employment and everyday life. Engagement with employers, higher education and sector bodies will be important in establishing recognition over time of attainment across key areas or modules. This supports a more meaningful understanding of student capability and aligns with the needs of employers who are often interested in specific competenci</w:t>
      </w:r>
      <w:r w:rsidRPr="00445075">
        <w:rPr>
          <w:rFonts w:ascii="Calibri" w:eastAsia="Arial" w:hAnsi="Calibri" w:cs="Calibri"/>
          <w:sz w:val="22"/>
          <w:szCs w:val="22"/>
        </w:rPr>
        <w:t>es rather than a single aggregated outcome.</w:t>
      </w:r>
    </w:p>
    <w:p w:rsidR="00D862C4" w:rsidRPr="00445075" w:rsidP="1D1B7171">
      <w:pPr>
        <w:tabs>
          <w:tab w:val="num" w:pos="927"/>
        </w:tabs>
        <w:ind w:left="792"/>
        <w:rPr>
          <w:rFonts w:ascii="Calibri" w:hAnsi="Calibri" w:cs="Calibri"/>
          <w:sz w:val="22"/>
          <w:szCs w:val="22"/>
        </w:rPr>
      </w:pPr>
    </w:p>
    <w:p w:rsidR="00D862C4" w:rsidRPr="00445075" w:rsidP="00E32044">
      <w:pPr>
        <w:numPr>
          <w:ilvl w:val="0"/>
          <w:numId w:val="20"/>
        </w:numPr>
        <w:tabs>
          <w:tab w:val="num" w:pos="720"/>
        </w:tabs>
        <w:rPr>
          <w:rFonts w:ascii="Calibri" w:hAnsi="Calibri" w:cs="Calibri"/>
          <w:b/>
          <w:bCs/>
          <w:sz w:val="22"/>
          <w:szCs w:val="22"/>
        </w:rPr>
      </w:pPr>
      <w:r w:rsidRPr="00445075">
        <w:rPr>
          <w:rFonts w:ascii="Calibri" w:hAnsi="Calibri" w:cs="Calibri"/>
          <w:b/>
          <w:bCs/>
          <w:sz w:val="22"/>
          <w:szCs w:val="22"/>
        </w:rPr>
        <w:t>Enrichment, belonging and behaviour </w:t>
      </w:r>
    </w:p>
    <w:p w:rsidR="00D862C4" w:rsidRPr="00445075" w:rsidP="00F25F85">
      <w:pPr>
        <w:tabs>
          <w:tab w:val="num" w:pos="720"/>
        </w:tabs>
        <w:ind w:left="360"/>
        <w:rPr>
          <w:rFonts w:ascii="Calibri" w:hAnsi="Calibri" w:cs="Calibri"/>
          <w:sz w:val="22"/>
          <w:szCs w:val="22"/>
        </w:rPr>
      </w:pPr>
    </w:p>
    <w:p w:rsidR="00D862C4" w:rsidRPr="00445075" w:rsidP="00E32044">
      <w:pPr>
        <w:numPr>
          <w:ilvl w:val="1"/>
          <w:numId w:val="20"/>
        </w:numPr>
        <w:rPr>
          <w:rFonts w:ascii="Calibri" w:hAnsi="Calibri" w:cs="Calibri"/>
          <w:sz w:val="22"/>
          <w:szCs w:val="22"/>
        </w:rPr>
      </w:pPr>
      <w:r w:rsidRPr="00445075">
        <w:rPr>
          <w:rFonts w:ascii="Calibri" w:hAnsi="Calibri" w:cs="Calibri"/>
          <w:sz w:val="22"/>
          <w:szCs w:val="22"/>
        </w:rPr>
        <w:t>The Royal Society shares concerns recently expressed by others across the science education sector that DfE’s initial communication around the enrichment entitlement made no reference to STEM or science relat</w:t>
      </w:r>
      <w:r w:rsidRPr="00445075">
        <w:rPr>
          <w:rFonts w:ascii="Calibri" w:eastAsia="Arial" w:hAnsi="Calibri" w:cs="Calibri"/>
          <w:sz w:val="22"/>
          <w:szCs w:val="22"/>
        </w:rPr>
        <w:t>ed activities in its benchmarks. Following discussions with the DfE, we were disappointed that this omission was not rectified by the creation of an additional, separate, STEM category within the framework.,</w:t>
      </w:r>
      <w:r w:rsidRPr="00445075">
        <w:rPr>
          <w:rFonts w:ascii="Calibri" w:hAnsi="Calibri" w:cs="Calibri"/>
          <w:sz w:val="22"/>
          <w:szCs w:val="22"/>
        </w:rPr>
        <w:t xml:space="preserve"> despite the prevalence and importance of STEM enrichment activity within schools in England. We acknowledge the inclusion of STEM and science examples throughout the ‘wider life and future skills’ and ‘nature, outdoors, and adventure’ categories as part of the enrichment benchmarks, but we remain concerned that the absence of science-related benchmarks will mean that schools deprioritise STEM enrichment. </w:t>
      </w:r>
    </w:p>
    <w:p w:rsidR="00D862C4" w:rsidRPr="00445075" w:rsidP="00085454">
      <w:pPr>
        <w:ind w:left="792"/>
        <w:rPr>
          <w:rFonts w:ascii="Calibri" w:hAnsi="Calibri" w:cs="Calibri"/>
          <w:sz w:val="22"/>
          <w:szCs w:val="22"/>
        </w:rPr>
      </w:pPr>
    </w:p>
    <w:p w:rsidR="00D862C4" w:rsidRPr="00445075" w:rsidP="00E32044">
      <w:pPr>
        <w:numPr>
          <w:ilvl w:val="1"/>
          <w:numId w:val="20"/>
        </w:numPr>
        <w:rPr>
          <w:rFonts w:ascii="Calibri" w:hAnsi="Calibri" w:cs="Calibri"/>
          <w:sz w:val="22"/>
          <w:szCs w:val="22"/>
        </w:rPr>
      </w:pPr>
      <w:r w:rsidRPr="00445075">
        <w:rPr>
          <w:rFonts w:ascii="Calibri" w:hAnsi="Calibri" w:cs="Calibri"/>
          <w:sz w:val="22"/>
          <w:szCs w:val="22"/>
        </w:rPr>
        <w:t>In the Science Education Tracker</w:t>
      </w:r>
      <w:r w:rsidRPr="00445075">
        <w:rPr>
          <w:rFonts w:ascii="Calibri" w:hAnsi="Calibri" w:cs="Calibri"/>
          <w:sz w:val="22"/>
          <w:szCs w:val="22"/>
        </w:rPr>
        <w:t>,</w:t>
      </w:r>
      <w:r w:rsidRPr="00445075">
        <w:rPr>
          <w:rFonts w:ascii="Calibri" w:hAnsi="Calibri" w:cs="Calibri"/>
          <w:sz w:val="22"/>
          <w:szCs w:val="22"/>
        </w:rPr>
        <w:t xml:space="preserve"> published in 2024</w:t>
      </w:r>
      <w:r>
        <w:rPr>
          <w:rStyle w:val="FootnoteReference"/>
          <w:rFonts w:ascii="Calibri" w:hAnsi="Calibri" w:cs="Calibri"/>
          <w:sz w:val="22"/>
          <w:szCs w:val="22"/>
        </w:rPr>
        <w:footnoteReference w:id="9"/>
      </w:r>
      <w:r w:rsidRPr="00445075">
        <w:rPr>
          <w:rFonts w:ascii="Calibri" w:hAnsi="Calibri" w:cs="Calibri"/>
          <w:sz w:val="22"/>
          <w:szCs w:val="22"/>
        </w:rPr>
        <w:t xml:space="preserve">, 52% of students surveyed in years 7-9 reported practical work as the biggest incentive to studying science at school. In the same survey, we found that the number of GCSE students experiencing hands-on practical work at least once a fortnight had dropped from 44% in 2016 to 26% in 2023. </w:t>
      </w:r>
    </w:p>
    <w:p w:rsidR="00D862C4" w:rsidRPr="00445075" w:rsidP="00D96FCF">
      <w:pPr>
        <w:pStyle w:val="ListParagraph"/>
        <w:rPr>
          <w:rFonts w:ascii="Calibri" w:hAnsi="Calibri" w:cs="Calibri"/>
          <w:sz w:val="22"/>
          <w:szCs w:val="22"/>
        </w:rPr>
      </w:pPr>
    </w:p>
    <w:p w:rsidR="00D862C4" w:rsidRPr="00445075" w:rsidP="1D1B7171">
      <w:pPr>
        <w:numPr>
          <w:ilvl w:val="1"/>
          <w:numId w:val="20"/>
        </w:numPr>
        <w:rPr>
          <w:rFonts w:ascii="Calibri" w:hAnsi="Calibri" w:cs="Calibri"/>
          <w:sz w:val="22"/>
          <w:szCs w:val="22"/>
        </w:rPr>
      </w:pPr>
      <w:r w:rsidRPr="00445075">
        <w:rPr>
          <w:rFonts w:ascii="Calibri" w:hAnsi="Calibri" w:cs="Calibri"/>
          <w:sz w:val="22"/>
          <w:szCs w:val="22"/>
        </w:rPr>
        <w:t xml:space="preserve">During the focus groups described in 1.3 above, school leaders reported the greatest difficulties in providing a wide range of enrichment opportunities, including further opportunities in science and STEM, were practical considerations around transport limitations, departmental resources, and staff goodwill. Science leads also reported concerns that STEM is diluted by not appearing as a distinct category in the benchmarks.  </w:t>
      </w:r>
    </w:p>
    <w:p w:rsidR="00D862C4" w:rsidRPr="00445075" w:rsidP="001A1AC3">
      <w:pPr>
        <w:pStyle w:val="ListParagraph"/>
        <w:rPr>
          <w:rFonts w:ascii="Calibri" w:hAnsi="Calibri" w:cs="Calibri"/>
          <w:sz w:val="22"/>
          <w:szCs w:val="22"/>
        </w:rPr>
      </w:pPr>
    </w:p>
    <w:p w:rsidR="00D862C4" w:rsidRPr="00445075" w:rsidP="00E32044">
      <w:pPr>
        <w:numPr>
          <w:ilvl w:val="1"/>
          <w:numId w:val="20"/>
        </w:numPr>
        <w:rPr>
          <w:rFonts w:ascii="Calibri" w:hAnsi="Calibri" w:cs="Calibri"/>
          <w:sz w:val="22"/>
          <w:szCs w:val="22"/>
        </w:rPr>
      </w:pPr>
      <w:r w:rsidRPr="00445075">
        <w:rPr>
          <w:rFonts w:ascii="Calibri" w:hAnsi="Calibri" w:cs="Calibri"/>
          <w:sz w:val="22"/>
          <w:szCs w:val="22"/>
        </w:rPr>
        <w:t>These barriers are particularly significant because</w:t>
      </w:r>
      <w:r w:rsidRPr="00445075">
        <w:rPr>
          <w:rFonts w:ascii="Calibri" w:hAnsi="Calibri" w:cs="Calibri"/>
          <w:sz w:val="22"/>
          <w:szCs w:val="22"/>
        </w:rPr>
        <w:t xml:space="preserve"> enrichment offers an opportunity for students to engage in aspects of practical science they are often missing in their lesson time. The Society is keen to ensure schools and colleges offer a broad range of STEM opportunities to young people within lessons and as enrichment activities. However, schools, colleges and teachers will be unable to do so without further support, including training and guidance, and investment in additional staff time and resources. </w:t>
      </w:r>
    </w:p>
    <w:p w:rsidR="00D862C4" w:rsidRPr="00445075" w:rsidP="1D1B7171">
      <w:pPr>
        <w:rPr>
          <w:rFonts w:ascii="Calibri" w:hAnsi="Calibri" w:cs="Calibri"/>
          <w:sz w:val="22"/>
          <w:szCs w:val="22"/>
        </w:rPr>
      </w:pPr>
    </w:p>
    <w:p w:rsidR="00D862C4" w:rsidRPr="00445075" w:rsidP="001A1AC3">
      <w:pPr>
        <w:numPr>
          <w:ilvl w:val="1"/>
          <w:numId w:val="20"/>
        </w:numPr>
        <w:rPr>
          <w:rFonts w:ascii="Calibri" w:hAnsi="Calibri" w:cs="Calibri"/>
          <w:sz w:val="22"/>
          <w:szCs w:val="22"/>
        </w:rPr>
      </w:pPr>
      <w:r w:rsidRPr="00445075">
        <w:rPr>
          <w:rFonts w:ascii="Calibri" w:hAnsi="Calibri" w:cs="Calibri"/>
          <w:sz w:val="22"/>
          <w:szCs w:val="22"/>
        </w:rPr>
        <w:t>To date</w:t>
      </w:r>
      <w:r w:rsidRPr="00445075">
        <w:rPr>
          <w:rFonts w:ascii="Calibri" w:hAnsi="Calibri" w:cs="Calibri"/>
          <w:sz w:val="22"/>
          <w:szCs w:val="22"/>
        </w:rPr>
        <w:t>,</w:t>
      </w:r>
      <w:r w:rsidRPr="00445075">
        <w:rPr>
          <w:rFonts w:ascii="Calibri" w:hAnsi="Calibri" w:cs="Calibri"/>
          <w:sz w:val="22"/>
          <w:szCs w:val="22"/>
        </w:rPr>
        <w:t xml:space="preserve"> the </w:t>
      </w:r>
      <w:r w:rsidRPr="00445075">
        <w:rPr>
          <w:rFonts w:ascii="Calibri" w:hAnsi="Calibri" w:cs="Calibri"/>
          <w:sz w:val="22"/>
          <w:szCs w:val="22"/>
        </w:rPr>
        <w:t>G</w:t>
      </w:r>
      <w:r w:rsidRPr="00445075">
        <w:rPr>
          <w:rFonts w:ascii="Calibri" w:hAnsi="Calibri" w:cs="Calibri"/>
          <w:sz w:val="22"/>
          <w:szCs w:val="22"/>
        </w:rPr>
        <w:t xml:space="preserve">overnment has not confirmed whether schools and colleges will receive funding directly to provide additional </w:t>
      </w:r>
      <w:r w:rsidRPr="00445075">
        <w:rPr>
          <w:rFonts w:ascii="Calibri" w:hAnsi="Calibri" w:cs="Calibri"/>
          <w:sz w:val="22"/>
          <w:szCs w:val="22"/>
        </w:rPr>
        <w:t xml:space="preserve">enrichment opportunities. </w:t>
      </w:r>
      <w:r w:rsidRPr="00445075">
        <w:rPr>
          <w:rFonts w:ascii="Calibri" w:hAnsi="Calibri" w:cs="Calibri"/>
          <w:sz w:val="22"/>
          <w:szCs w:val="22"/>
        </w:rPr>
        <w:t xml:space="preserve">There is a risk that without direct investment, the creation of the enrichment benchmarks will exacerbate existing inequalities, with the most disadvantaged schools struggling </w:t>
      </w:r>
      <w:r w:rsidRPr="00445075">
        <w:rPr>
          <w:rFonts w:ascii="Calibri" w:hAnsi="Calibri" w:cs="Calibri"/>
          <w:sz w:val="22"/>
          <w:szCs w:val="22"/>
        </w:rPr>
        <w:t xml:space="preserve">to meet the requirements more than others. </w:t>
      </w:r>
    </w:p>
    <w:p w:rsidR="00D862C4" w:rsidRPr="00445075" w:rsidP="00F20BB2">
      <w:pPr>
        <w:tabs>
          <w:tab w:val="num" w:pos="927"/>
        </w:tabs>
        <w:ind w:left="927"/>
        <w:rPr>
          <w:rFonts w:ascii="Calibri" w:hAnsi="Calibri" w:cs="Calibri"/>
          <w:sz w:val="22"/>
          <w:szCs w:val="22"/>
        </w:rPr>
      </w:pPr>
    </w:p>
    <w:p w:rsidR="00D862C4" w:rsidRPr="00445075" w:rsidP="00FA0D63">
      <w:pPr>
        <w:numPr>
          <w:ilvl w:val="0"/>
          <w:numId w:val="20"/>
        </w:numPr>
        <w:tabs>
          <w:tab w:val="num" w:pos="720"/>
        </w:tabs>
        <w:rPr>
          <w:rFonts w:ascii="Calibri" w:hAnsi="Calibri" w:cs="Calibri"/>
          <w:b/>
          <w:bCs/>
          <w:sz w:val="22"/>
          <w:szCs w:val="22"/>
        </w:rPr>
      </w:pPr>
      <w:r w:rsidRPr="00445075">
        <w:rPr>
          <w:rFonts w:ascii="Calibri" w:hAnsi="Calibri" w:cs="Calibri"/>
          <w:b/>
          <w:bCs/>
          <w:sz w:val="22"/>
          <w:szCs w:val="22"/>
        </w:rPr>
        <w:t>Workforce reforms </w:t>
      </w:r>
    </w:p>
    <w:p w:rsidR="00D862C4" w:rsidRPr="00445075" w:rsidP="00FA0D63">
      <w:pPr>
        <w:tabs>
          <w:tab w:val="num" w:pos="720"/>
        </w:tabs>
        <w:ind w:left="360"/>
        <w:rPr>
          <w:rFonts w:ascii="Calibri" w:hAnsi="Calibri" w:cs="Calibri"/>
          <w:sz w:val="22"/>
          <w:szCs w:val="22"/>
        </w:rPr>
      </w:pPr>
    </w:p>
    <w:p w:rsidR="00D862C4" w:rsidRPr="00445075" w:rsidP="00FA0D63">
      <w:pPr>
        <w:numPr>
          <w:ilvl w:val="1"/>
          <w:numId w:val="20"/>
        </w:numPr>
        <w:rPr>
          <w:rFonts w:ascii="Calibri" w:hAnsi="Calibri" w:cs="Calibri"/>
          <w:sz w:val="22"/>
          <w:szCs w:val="22"/>
        </w:rPr>
      </w:pPr>
      <w:r w:rsidRPr="00445075">
        <w:rPr>
          <w:rFonts w:ascii="Calibri" w:hAnsi="Calibri" w:cs="Calibri"/>
          <w:sz w:val="22"/>
          <w:szCs w:val="22"/>
        </w:rPr>
        <w:t xml:space="preserve">The Royal Society remains concerned about the </w:t>
      </w:r>
      <w:r w:rsidRPr="00445075">
        <w:rPr>
          <w:rFonts w:ascii="Calibri" w:hAnsi="Calibri" w:cs="Calibri"/>
          <w:sz w:val="22"/>
          <w:szCs w:val="22"/>
        </w:rPr>
        <w:t xml:space="preserve">significant challenges posed by inadequate numbers of specialist teachers across the education sector, </w:t>
      </w:r>
      <w:r w:rsidRPr="00445075">
        <w:rPr>
          <w:rFonts w:ascii="Calibri" w:hAnsi="Calibri" w:cs="Calibri"/>
          <w:sz w:val="22"/>
          <w:szCs w:val="22"/>
        </w:rPr>
        <w:t>particularly in recognised shortage subjects such as physics</w:t>
      </w:r>
      <w:r w:rsidRPr="00445075">
        <w:rPr>
          <w:rFonts w:ascii="Calibri" w:hAnsi="Calibri" w:cs="Calibri"/>
          <w:sz w:val="22"/>
          <w:szCs w:val="22"/>
        </w:rPr>
        <w:t>, mathematics</w:t>
      </w:r>
      <w:r w:rsidRPr="00445075">
        <w:rPr>
          <w:rFonts w:ascii="Calibri" w:hAnsi="Calibri" w:cs="Calibri"/>
          <w:sz w:val="22"/>
          <w:szCs w:val="22"/>
        </w:rPr>
        <w:t xml:space="preserve"> and computing. </w:t>
      </w:r>
      <w:r w:rsidRPr="00445075">
        <w:rPr>
          <w:rFonts w:ascii="Calibri" w:hAnsi="Calibri" w:cs="Calibri"/>
          <w:sz w:val="22"/>
          <w:szCs w:val="22"/>
        </w:rPr>
        <w:t xml:space="preserve">Despite STEM teacher recruitment being a key focus of Government over the last two years, </w:t>
      </w:r>
      <w:r w:rsidRPr="00445075">
        <w:rPr>
          <w:rFonts w:ascii="Calibri" w:hAnsi="Calibri" w:cs="Calibri"/>
          <w:sz w:val="22"/>
          <w:szCs w:val="22"/>
        </w:rPr>
        <w:t xml:space="preserve">recruitment targets in </w:t>
      </w:r>
      <w:r w:rsidRPr="00445075">
        <w:rPr>
          <w:rFonts w:ascii="Calibri" w:hAnsi="Calibri" w:cs="Calibri"/>
          <w:sz w:val="22"/>
          <w:szCs w:val="22"/>
        </w:rPr>
        <w:t xml:space="preserve">physics and computing </w:t>
      </w:r>
      <w:r w:rsidRPr="00445075">
        <w:rPr>
          <w:rFonts w:ascii="Calibri" w:hAnsi="Calibri" w:cs="Calibri"/>
          <w:sz w:val="22"/>
          <w:szCs w:val="22"/>
        </w:rPr>
        <w:t>were</w:t>
      </w:r>
      <w:r w:rsidRPr="00445075">
        <w:rPr>
          <w:rFonts w:ascii="Calibri" w:hAnsi="Calibri" w:cs="Calibri"/>
          <w:sz w:val="22"/>
          <w:szCs w:val="22"/>
        </w:rPr>
        <w:t xml:space="preserve"> missed in 2025/26 by </w:t>
      </w:r>
      <w:r w:rsidRPr="00445075">
        <w:rPr>
          <w:rFonts w:ascii="Calibri" w:hAnsi="Calibri" w:cs="Calibri"/>
          <w:sz w:val="22"/>
          <w:szCs w:val="22"/>
        </w:rPr>
        <w:t>22 and 19 per cent</w:t>
      </w:r>
      <w:r w:rsidRPr="00445075">
        <w:rPr>
          <w:rFonts w:ascii="Calibri" w:hAnsi="Calibri" w:cs="Calibri"/>
          <w:sz w:val="22"/>
          <w:szCs w:val="22"/>
        </w:rPr>
        <w:t>,</w:t>
      </w:r>
      <w:r w:rsidRPr="00445075">
        <w:rPr>
          <w:rFonts w:ascii="Calibri" w:hAnsi="Calibri" w:cs="Calibri"/>
          <w:sz w:val="22"/>
          <w:szCs w:val="22"/>
        </w:rPr>
        <w:t xml:space="preserve"> respectively</w:t>
      </w:r>
      <w:r w:rsidRPr="00445075">
        <w:rPr>
          <w:rFonts w:ascii="Calibri" w:hAnsi="Calibri" w:cs="Calibri"/>
          <w:sz w:val="22"/>
          <w:szCs w:val="22"/>
        </w:rPr>
        <w:t>;</w:t>
      </w:r>
      <w:r w:rsidRPr="00445075">
        <w:rPr>
          <w:rFonts w:ascii="Calibri" w:hAnsi="Calibri" w:cs="Calibri"/>
          <w:sz w:val="22"/>
          <w:szCs w:val="22"/>
        </w:rPr>
        <w:t xml:space="preserve"> and while </w:t>
      </w:r>
      <w:r w:rsidRPr="00445075">
        <w:rPr>
          <w:rFonts w:ascii="Calibri" w:hAnsi="Calibri" w:cs="Calibri"/>
          <w:sz w:val="22"/>
          <w:szCs w:val="22"/>
        </w:rPr>
        <w:t xml:space="preserve">the target </w:t>
      </w:r>
      <w:r w:rsidRPr="00445075">
        <w:rPr>
          <w:rFonts w:ascii="Calibri" w:hAnsi="Calibri" w:cs="Calibri"/>
          <w:sz w:val="22"/>
          <w:szCs w:val="22"/>
        </w:rPr>
        <w:t xml:space="preserve">was exceeded in mathematics, it was not sufficient to make up </w:t>
      </w:r>
      <w:r w:rsidRPr="00445075">
        <w:rPr>
          <w:rFonts w:ascii="Calibri" w:hAnsi="Calibri" w:cs="Calibri"/>
          <w:sz w:val="22"/>
          <w:szCs w:val="22"/>
        </w:rPr>
        <w:t xml:space="preserve">the </w:t>
      </w:r>
      <w:r w:rsidRPr="00445075">
        <w:rPr>
          <w:rFonts w:ascii="Calibri" w:hAnsi="Calibri" w:cs="Calibri"/>
          <w:sz w:val="22"/>
          <w:szCs w:val="22"/>
        </w:rPr>
        <w:t xml:space="preserve">cumulative </w:t>
      </w:r>
      <w:r w:rsidRPr="00445075">
        <w:rPr>
          <w:rFonts w:ascii="Calibri" w:hAnsi="Calibri" w:cs="Calibri"/>
          <w:sz w:val="22"/>
          <w:szCs w:val="22"/>
        </w:rPr>
        <w:t>shortfall</w:t>
      </w:r>
      <w:r w:rsidRPr="00445075">
        <w:rPr>
          <w:rFonts w:ascii="Calibri" w:hAnsi="Calibri" w:cs="Calibri"/>
          <w:sz w:val="22"/>
          <w:szCs w:val="22"/>
        </w:rPr>
        <w:t>s</w:t>
      </w:r>
      <w:r w:rsidRPr="00445075">
        <w:rPr>
          <w:rFonts w:ascii="Calibri" w:hAnsi="Calibri" w:cs="Calibri"/>
          <w:sz w:val="22"/>
          <w:szCs w:val="22"/>
        </w:rPr>
        <w:t xml:space="preserve"> </w:t>
      </w:r>
      <w:r w:rsidRPr="00445075">
        <w:rPr>
          <w:rFonts w:ascii="Calibri" w:hAnsi="Calibri" w:cs="Calibri"/>
          <w:sz w:val="22"/>
          <w:szCs w:val="22"/>
        </w:rPr>
        <w:t>from previous year</w:t>
      </w:r>
      <w:r w:rsidRPr="00445075">
        <w:rPr>
          <w:rFonts w:ascii="Calibri" w:hAnsi="Calibri" w:cs="Calibri"/>
          <w:sz w:val="22"/>
          <w:szCs w:val="22"/>
        </w:rPr>
        <w:t>s</w:t>
      </w:r>
      <w:r w:rsidRPr="00445075">
        <w:rPr>
          <w:rFonts w:ascii="Calibri" w:hAnsi="Calibri" w:cs="Calibri"/>
          <w:sz w:val="22"/>
          <w:szCs w:val="22"/>
        </w:rPr>
        <w:t>.</w:t>
      </w:r>
      <w:r>
        <w:rPr>
          <w:rStyle w:val="FootnoteReference"/>
          <w:rFonts w:ascii="Calibri" w:hAnsi="Calibri" w:cs="Calibri"/>
          <w:sz w:val="22"/>
          <w:szCs w:val="22"/>
        </w:rPr>
        <w:footnoteReference w:id="10"/>
      </w:r>
      <w:r w:rsidRPr="00445075">
        <w:rPr>
          <w:rFonts w:ascii="Calibri" w:hAnsi="Calibri" w:cs="Calibri"/>
          <w:sz w:val="22"/>
          <w:szCs w:val="22"/>
          <w:vertAlign w:val="superscript"/>
        </w:rPr>
        <w:t>,</w:t>
      </w:r>
      <w:r>
        <w:rPr>
          <w:rStyle w:val="FootnoteReference"/>
          <w:rFonts w:ascii="Calibri" w:hAnsi="Calibri" w:cs="Calibri"/>
          <w:sz w:val="22"/>
          <w:szCs w:val="22"/>
        </w:rPr>
        <w:footnoteReference w:id="11"/>
      </w:r>
    </w:p>
    <w:p w:rsidR="00D862C4" w:rsidRPr="00445075" w:rsidP="00290313">
      <w:pPr>
        <w:ind w:left="792"/>
        <w:rPr>
          <w:rFonts w:ascii="Calibri" w:hAnsi="Calibri" w:cs="Calibri"/>
          <w:sz w:val="22"/>
          <w:szCs w:val="22"/>
        </w:rPr>
      </w:pPr>
    </w:p>
    <w:p w:rsidR="00D862C4" w:rsidRPr="00445075" w:rsidP="00FD5A4D">
      <w:pPr>
        <w:numPr>
          <w:ilvl w:val="1"/>
          <w:numId w:val="20"/>
        </w:numPr>
        <w:rPr>
          <w:rFonts w:ascii="Calibri" w:hAnsi="Calibri" w:cs="Calibri"/>
          <w:sz w:val="22"/>
          <w:szCs w:val="22"/>
        </w:rPr>
      </w:pPr>
      <w:r w:rsidRPr="00445075">
        <w:rPr>
          <w:rFonts w:ascii="Calibri" w:hAnsi="Calibri" w:cs="Calibri"/>
          <w:sz w:val="22"/>
          <w:szCs w:val="22"/>
        </w:rPr>
        <w:t>Subject-specific professional development is</w:t>
      </w:r>
      <w:r w:rsidRPr="00445075">
        <w:rPr>
          <w:rFonts w:ascii="Calibri" w:hAnsi="Calibri" w:cs="Calibri"/>
          <w:sz w:val="22"/>
          <w:szCs w:val="22"/>
        </w:rPr>
        <w:t xml:space="preserve"> not only </w:t>
      </w:r>
      <w:r w:rsidRPr="00445075">
        <w:rPr>
          <w:rFonts w:ascii="Calibri" w:hAnsi="Calibri" w:cs="Calibri"/>
          <w:sz w:val="22"/>
          <w:szCs w:val="22"/>
        </w:rPr>
        <w:t xml:space="preserve">important for </w:t>
      </w:r>
      <w:r w:rsidRPr="00445075">
        <w:rPr>
          <w:rFonts w:ascii="Calibri" w:hAnsi="Calibri" w:cs="Calibri"/>
          <w:sz w:val="22"/>
          <w:szCs w:val="22"/>
        </w:rPr>
        <w:t>ongoing</w:t>
      </w:r>
      <w:r w:rsidRPr="00445075">
        <w:rPr>
          <w:rFonts w:ascii="Calibri" w:hAnsi="Calibri" w:cs="Calibri"/>
          <w:sz w:val="22"/>
          <w:szCs w:val="22"/>
        </w:rPr>
        <w:t xml:space="preserve"> professional growth,</w:t>
      </w:r>
      <w:r w:rsidRPr="00445075">
        <w:rPr>
          <w:rFonts w:ascii="Calibri" w:hAnsi="Calibri" w:cs="Calibri"/>
          <w:sz w:val="22"/>
          <w:szCs w:val="22"/>
        </w:rPr>
        <w:t xml:space="preserve"> </w:t>
      </w:r>
      <w:r w:rsidRPr="00445075">
        <w:rPr>
          <w:rFonts w:ascii="Calibri" w:hAnsi="Calibri" w:cs="Calibri"/>
          <w:sz w:val="22"/>
          <w:szCs w:val="22"/>
        </w:rPr>
        <w:t>Ofsted</w:t>
      </w:r>
      <w:r w:rsidRPr="00445075">
        <w:rPr>
          <w:rFonts w:ascii="Calibri" w:hAnsi="Calibri" w:cs="Calibri"/>
          <w:sz w:val="22"/>
          <w:szCs w:val="22"/>
        </w:rPr>
        <w:t xml:space="preserve"> has</w:t>
      </w:r>
      <w:r w:rsidRPr="00445075">
        <w:rPr>
          <w:rFonts w:ascii="Calibri" w:hAnsi="Calibri" w:cs="Calibri"/>
          <w:sz w:val="22"/>
          <w:szCs w:val="22"/>
        </w:rPr>
        <w:t xml:space="preserve"> also</w:t>
      </w:r>
      <w:r w:rsidRPr="00445075">
        <w:rPr>
          <w:rFonts w:ascii="Calibri" w:hAnsi="Calibri" w:cs="Calibri"/>
          <w:sz w:val="22"/>
          <w:szCs w:val="22"/>
        </w:rPr>
        <w:t xml:space="preserve"> found that ‘teachers … are more likely to stay in their jobs when they regularly access high-quality training’</w:t>
      </w:r>
      <w:r>
        <w:rPr>
          <w:rStyle w:val="FootnoteReference"/>
          <w:rFonts w:ascii="Calibri" w:hAnsi="Calibri" w:cs="Calibri"/>
          <w:sz w:val="22"/>
          <w:szCs w:val="22"/>
        </w:rPr>
        <w:footnoteReference w:id="12"/>
      </w:r>
      <w:r w:rsidRPr="00445075">
        <w:rPr>
          <w:rFonts w:ascii="Calibri" w:hAnsi="Calibri" w:cs="Calibri"/>
          <w:sz w:val="22"/>
          <w:szCs w:val="22"/>
        </w:rPr>
        <w:t>, echoing similar conclusions from the EEF</w:t>
      </w:r>
      <w:r>
        <w:rPr>
          <w:rStyle w:val="FootnoteReference"/>
          <w:rFonts w:ascii="Calibri" w:hAnsi="Calibri" w:cs="Calibri"/>
          <w:sz w:val="22"/>
          <w:szCs w:val="22"/>
        </w:rPr>
        <w:footnoteReference w:id="13"/>
      </w:r>
      <w:r w:rsidRPr="00445075">
        <w:rPr>
          <w:rFonts w:ascii="Calibri" w:hAnsi="Calibri" w:cs="Calibri"/>
          <w:sz w:val="22"/>
          <w:szCs w:val="22"/>
        </w:rPr>
        <w:t xml:space="preserve">. A study commissioned by STEM Learning </w:t>
      </w:r>
      <w:r w:rsidRPr="00445075">
        <w:rPr>
          <w:rFonts w:ascii="Calibri" w:hAnsi="Calibri" w:cs="Calibri"/>
          <w:sz w:val="22"/>
          <w:szCs w:val="22"/>
        </w:rPr>
        <w:t>Ltd</w:t>
      </w:r>
      <w:r w:rsidRPr="00445075">
        <w:rPr>
          <w:rFonts w:ascii="Calibri" w:hAnsi="Calibri" w:cs="Calibri"/>
          <w:sz w:val="22"/>
          <w:szCs w:val="22"/>
        </w:rPr>
        <w:t xml:space="preserve"> found that early career teachers who engaged with its science subject </w:t>
      </w:r>
      <w:r w:rsidRPr="00445075">
        <w:rPr>
          <w:rFonts w:ascii="Calibri" w:hAnsi="Calibri" w:cs="Calibri"/>
          <w:sz w:val="22"/>
          <w:szCs w:val="22"/>
        </w:rPr>
        <w:t xml:space="preserve">professional development </w:t>
      </w:r>
      <w:r w:rsidRPr="00445075">
        <w:rPr>
          <w:rFonts w:ascii="Calibri" w:hAnsi="Calibri" w:cs="Calibri"/>
          <w:sz w:val="22"/>
          <w:szCs w:val="22"/>
        </w:rPr>
        <w:t xml:space="preserve">provision were 1.5 times more likely to remain in teaching one year </w:t>
      </w:r>
      <w:r w:rsidRPr="00445075">
        <w:rPr>
          <w:rFonts w:ascii="Calibri" w:hAnsi="Calibri" w:cs="Calibri"/>
          <w:sz w:val="22"/>
          <w:szCs w:val="22"/>
        </w:rPr>
        <w:t xml:space="preserve">longer </w:t>
      </w:r>
      <w:r w:rsidRPr="00445075">
        <w:rPr>
          <w:rFonts w:ascii="Calibri" w:hAnsi="Calibri" w:cs="Calibri"/>
          <w:sz w:val="22"/>
          <w:szCs w:val="22"/>
        </w:rPr>
        <w:t xml:space="preserve">than comparable non-participants, and that student performance </w:t>
      </w:r>
      <w:r w:rsidRPr="00445075">
        <w:rPr>
          <w:rFonts w:ascii="Calibri" w:hAnsi="Calibri" w:cs="Calibri"/>
          <w:sz w:val="22"/>
          <w:szCs w:val="22"/>
        </w:rPr>
        <w:t>and progression in science improved</w:t>
      </w:r>
      <w:r>
        <w:rPr>
          <w:rStyle w:val="FootnoteReference"/>
          <w:rFonts w:ascii="Calibri" w:hAnsi="Calibri" w:cs="Calibri"/>
          <w:sz w:val="22"/>
          <w:szCs w:val="22"/>
        </w:rPr>
        <w:footnoteReference w:id="14"/>
      </w:r>
      <w:r w:rsidRPr="00445075">
        <w:rPr>
          <w:rFonts w:ascii="Calibri" w:hAnsi="Calibri" w:cs="Calibri"/>
          <w:sz w:val="22"/>
          <w:szCs w:val="22"/>
        </w:rPr>
        <w:t xml:space="preserve">. </w:t>
      </w:r>
      <w:r w:rsidRPr="00445075">
        <w:rPr>
          <w:rFonts w:ascii="Calibri" w:hAnsi="Calibri" w:cs="Calibri"/>
          <w:sz w:val="22"/>
          <w:szCs w:val="22"/>
        </w:rPr>
        <w:t xml:space="preserve">However, </w:t>
      </w:r>
      <w:r w:rsidRPr="00445075">
        <w:rPr>
          <w:rFonts w:ascii="Calibri" w:hAnsi="Calibri" w:cs="Calibri"/>
          <w:sz w:val="22"/>
          <w:szCs w:val="22"/>
        </w:rPr>
        <w:t>as the Sc</w:t>
      </w:r>
      <w:r w:rsidRPr="00445075">
        <w:rPr>
          <w:rFonts w:ascii="Calibri" w:hAnsi="Calibri" w:cs="Calibri"/>
          <w:sz w:val="22"/>
          <w:szCs w:val="22"/>
        </w:rPr>
        <w:t xml:space="preserve">ience Teaching Survey has shown, </w:t>
      </w:r>
      <w:r w:rsidRPr="00445075">
        <w:rPr>
          <w:rFonts w:ascii="Calibri" w:hAnsi="Calibri" w:cs="Calibri"/>
          <w:sz w:val="22"/>
          <w:szCs w:val="22"/>
        </w:rPr>
        <w:t>many</w:t>
      </w:r>
      <w:r w:rsidRPr="00445075">
        <w:rPr>
          <w:rFonts w:ascii="Calibri" w:hAnsi="Calibri" w:cs="Calibri"/>
          <w:sz w:val="22"/>
          <w:szCs w:val="22"/>
        </w:rPr>
        <w:t xml:space="preserve"> science</w:t>
      </w:r>
      <w:r w:rsidRPr="00445075">
        <w:rPr>
          <w:rFonts w:ascii="Calibri" w:hAnsi="Calibri" w:cs="Calibri"/>
          <w:sz w:val="22"/>
          <w:szCs w:val="22"/>
        </w:rPr>
        <w:t xml:space="preserve"> </w:t>
      </w:r>
      <w:r w:rsidRPr="00445075">
        <w:rPr>
          <w:rFonts w:ascii="Calibri" w:hAnsi="Calibri" w:cs="Calibri"/>
          <w:sz w:val="22"/>
          <w:szCs w:val="22"/>
        </w:rPr>
        <w:t>teachers are not</w:t>
      </w:r>
      <w:r w:rsidRPr="00445075">
        <w:rPr>
          <w:rFonts w:ascii="Calibri" w:hAnsi="Calibri" w:cs="Calibri"/>
          <w:sz w:val="22"/>
          <w:szCs w:val="22"/>
        </w:rPr>
        <w:t xml:space="preserve"> </w:t>
      </w:r>
      <w:r w:rsidRPr="00445075">
        <w:rPr>
          <w:rFonts w:ascii="Calibri" w:hAnsi="Calibri" w:cs="Calibri"/>
          <w:sz w:val="22"/>
          <w:szCs w:val="22"/>
        </w:rPr>
        <w:t>able to access the subject-specific professional development they need</w:t>
      </w:r>
      <w:r>
        <w:rPr>
          <w:rStyle w:val="FootnoteReference"/>
          <w:rFonts w:ascii="Calibri" w:hAnsi="Calibri" w:cs="Calibri"/>
          <w:sz w:val="22"/>
          <w:szCs w:val="22"/>
        </w:rPr>
        <w:footnoteReference w:id="15"/>
      </w:r>
      <w:r w:rsidRPr="00445075">
        <w:rPr>
          <w:rFonts w:ascii="Calibri" w:hAnsi="Calibri" w:cs="Calibri"/>
          <w:sz w:val="22"/>
          <w:szCs w:val="22"/>
        </w:rPr>
        <w:t>.</w:t>
      </w:r>
      <w:r w:rsidRPr="00445075">
        <w:rPr>
          <w:rFonts w:ascii="Calibri" w:hAnsi="Calibri" w:cs="Calibri"/>
          <w:sz w:val="22"/>
          <w:szCs w:val="22"/>
        </w:rPr>
        <w:t xml:space="preserve"> </w:t>
      </w:r>
      <w:r w:rsidRPr="00445075">
        <w:rPr>
          <w:rFonts w:ascii="Calibri" w:hAnsi="Calibri" w:cs="Calibri"/>
          <w:sz w:val="22"/>
          <w:szCs w:val="22"/>
        </w:rPr>
        <w:t xml:space="preserve">School and college leadership support is essential in enabling teaching staff to benefit from effective </w:t>
      </w:r>
      <w:r w:rsidRPr="00445075">
        <w:rPr>
          <w:rFonts w:ascii="Calibri" w:hAnsi="Calibri" w:cs="Calibri"/>
          <w:sz w:val="22"/>
          <w:szCs w:val="22"/>
        </w:rPr>
        <w:t xml:space="preserve">professional development </w:t>
      </w:r>
      <w:r w:rsidRPr="00445075">
        <w:rPr>
          <w:rFonts w:ascii="Calibri" w:hAnsi="Calibri" w:cs="Calibri"/>
          <w:sz w:val="22"/>
          <w:szCs w:val="22"/>
        </w:rPr>
        <w:t xml:space="preserve">opportunities: there is good </w:t>
      </w:r>
      <w:r w:rsidRPr="00445075">
        <w:rPr>
          <w:rFonts w:ascii="Calibri" w:hAnsi="Calibri" w:cs="Calibri"/>
          <w:sz w:val="22"/>
          <w:szCs w:val="22"/>
        </w:rPr>
        <w:t>and growing</w:t>
      </w:r>
      <w:r w:rsidRPr="00445075">
        <w:rPr>
          <w:rFonts w:ascii="Calibri" w:hAnsi="Calibri" w:cs="Calibri"/>
          <w:sz w:val="22"/>
          <w:szCs w:val="22"/>
        </w:rPr>
        <w:t xml:space="preserve"> evidence that the required encouragement and investment in time, funding and cover supports better outcomes for all.</w:t>
      </w:r>
    </w:p>
    <w:p w:rsidR="00D862C4" w:rsidRPr="00445075" w:rsidP="00FD5A4D">
      <w:pPr>
        <w:pStyle w:val="ListParagraph"/>
        <w:rPr>
          <w:rFonts w:ascii="Calibri" w:hAnsi="Calibri" w:cs="Calibri"/>
          <w:sz w:val="22"/>
          <w:szCs w:val="22"/>
        </w:rPr>
      </w:pPr>
    </w:p>
    <w:p w:rsidR="00D862C4" w:rsidRPr="00445075" w:rsidP="00FD5A4D">
      <w:pPr>
        <w:numPr>
          <w:ilvl w:val="1"/>
          <w:numId w:val="20"/>
        </w:numPr>
        <w:rPr>
          <w:rFonts w:ascii="Calibri" w:hAnsi="Calibri" w:cs="Calibri"/>
          <w:sz w:val="22"/>
          <w:szCs w:val="22"/>
        </w:rPr>
      </w:pPr>
      <w:r w:rsidRPr="00445075">
        <w:rPr>
          <w:rFonts w:ascii="Calibri" w:hAnsi="Calibri" w:cs="Calibri"/>
          <w:sz w:val="22"/>
          <w:szCs w:val="22"/>
        </w:rPr>
        <w:t>Earlier in 2026 the Royal Society's commissioned Teacher Tapp to explore how well</w:t>
      </w:r>
      <w:r w:rsidRPr="00445075">
        <w:rPr>
          <w:rFonts w:ascii="Calibri" w:hAnsi="Calibri" w:cs="Calibri"/>
          <w:sz w:val="22"/>
          <w:szCs w:val="22"/>
        </w:rPr>
        <w:t>-equipped</w:t>
      </w:r>
      <w:r w:rsidRPr="00445075">
        <w:rPr>
          <w:rFonts w:ascii="Calibri" w:hAnsi="Calibri" w:cs="Calibri"/>
          <w:sz w:val="22"/>
          <w:szCs w:val="22"/>
        </w:rPr>
        <w:t xml:space="preserve"> schoolteachers</w:t>
      </w:r>
      <w:r w:rsidRPr="00445075">
        <w:rPr>
          <w:rFonts w:ascii="Calibri" w:hAnsi="Calibri" w:cs="Calibri"/>
          <w:sz w:val="22"/>
          <w:szCs w:val="22"/>
        </w:rPr>
        <w:t xml:space="preserve"> in England feel in developing young people’s AI literacy. It found that, of the 9,250 teachers surveyed, only 14% were confident across all three dimensions (technological, practical and human) of AI literacy, and that just 18% had received structured professional development on AI literacy. However, teachers in schools with structured professional development were roughly three times more likely to be confident across all three dimensions of AI literacy than those without. This is one example of the benef</w:t>
      </w:r>
      <w:r w:rsidRPr="00445075">
        <w:rPr>
          <w:rFonts w:ascii="Calibri" w:hAnsi="Calibri" w:cs="Calibri"/>
          <w:sz w:val="22"/>
          <w:szCs w:val="22"/>
        </w:rPr>
        <w:t>it of high-quality professional development. The absence of a systematic national offer is leaving many teachers underprepared to deliver reformed digital and AI content.  </w:t>
      </w:r>
    </w:p>
    <w:p w:rsidR="00D862C4" w:rsidRPr="00445075" w:rsidP="00D662C0">
      <w:pPr>
        <w:tabs>
          <w:tab w:val="num" w:pos="927"/>
        </w:tabs>
        <w:ind w:left="927"/>
        <w:rPr>
          <w:rFonts w:ascii="Calibri" w:hAnsi="Calibri" w:cs="Calibri"/>
          <w:sz w:val="22"/>
          <w:szCs w:val="22"/>
          <w:highlight w:val="yellow"/>
        </w:rPr>
      </w:pPr>
    </w:p>
    <w:p w:rsidR="00D862C4" w:rsidRPr="00445075" w:rsidP="0052328F">
      <w:pPr>
        <w:numPr>
          <w:ilvl w:val="0"/>
          <w:numId w:val="20"/>
        </w:numPr>
        <w:tabs>
          <w:tab w:val="num" w:pos="720"/>
        </w:tabs>
        <w:rPr>
          <w:rFonts w:ascii="Calibri" w:hAnsi="Calibri" w:cs="Calibri"/>
          <w:b/>
          <w:bCs/>
          <w:sz w:val="22"/>
          <w:szCs w:val="22"/>
        </w:rPr>
      </w:pPr>
      <w:r w:rsidRPr="00445075">
        <w:rPr>
          <w:rFonts w:ascii="Calibri" w:hAnsi="Calibri" w:cs="Calibri"/>
          <w:b/>
          <w:bCs/>
          <w:sz w:val="22"/>
          <w:szCs w:val="22"/>
        </w:rPr>
        <w:t>Conclusion </w:t>
      </w:r>
    </w:p>
    <w:p w:rsidR="00D862C4" w:rsidRPr="00445075" w:rsidP="0052328F">
      <w:pPr>
        <w:tabs>
          <w:tab w:val="num" w:pos="720"/>
        </w:tabs>
        <w:ind w:left="360"/>
        <w:rPr>
          <w:rFonts w:ascii="Calibri" w:hAnsi="Calibri" w:cs="Calibri"/>
          <w:sz w:val="22"/>
          <w:szCs w:val="22"/>
        </w:rPr>
      </w:pPr>
    </w:p>
    <w:p w:rsidR="00D862C4" w:rsidRPr="00445075" w:rsidP="0052328F">
      <w:pPr>
        <w:numPr>
          <w:ilvl w:val="1"/>
          <w:numId w:val="20"/>
        </w:numPr>
        <w:tabs>
          <w:tab w:val="num" w:pos="720"/>
        </w:tabs>
        <w:rPr>
          <w:rFonts w:ascii="Calibri" w:hAnsi="Calibri" w:cs="Calibri"/>
          <w:sz w:val="22"/>
          <w:szCs w:val="22"/>
        </w:rPr>
      </w:pPr>
      <w:r w:rsidRPr="00445075">
        <w:rPr>
          <w:rFonts w:ascii="Calibri" w:hAnsi="Calibri" w:cs="Calibri"/>
          <w:sz w:val="22"/>
          <w:szCs w:val="22"/>
        </w:rPr>
        <w:t>The Royal Society welcomes the government’s ambition for every child to achieve and thrive, but the current plans fall short of creating an equitable and broad education system equipped to inspire students and provide the foundations of scientific, data and digital literacy needed for future citizens.  </w:t>
      </w:r>
    </w:p>
    <w:p w:rsidR="00D862C4" w:rsidRPr="00445075" w:rsidP="001B0C0B">
      <w:pPr>
        <w:tabs>
          <w:tab w:val="num" w:pos="720"/>
        </w:tabs>
        <w:ind w:left="792"/>
        <w:rPr>
          <w:rFonts w:ascii="Calibri" w:hAnsi="Calibri" w:cs="Calibri"/>
          <w:sz w:val="22"/>
          <w:szCs w:val="22"/>
        </w:rPr>
      </w:pPr>
    </w:p>
    <w:p w:rsidR="00D862C4" w:rsidRPr="00445075" w:rsidP="0052328F">
      <w:pPr>
        <w:numPr>
          <w:ilvl w:val="1"/>
          <w:numId w:val="20"/>
        </w:numPr>
        <w:tabs>
          <w:tab w:val="num" w:pos="720"/>
        </w:tabs>
        <w:rPr>
          <w:rFonts w:ascii="Calibri" w:hAnsi="Calibri" w:cs="Calibri"/>
          <w:sz w:val="22"/>
          <w:szCs w:val="22"/>
        </w:rPr>
      </w:pPr>
      <w:r w:rsidRPr="00445075">
        <w:rPr>
          <w:rFonts w:ascii="Calibri" w:hAnsi="Calibri" w:cs="Calibri"/>
          <w:sz w:val="22"/>
          <w:szCs w:val="22"/>
        </w:rPr>
        <w:t xml:space="preserve">The Society is particularly concerned about the impact </w:t>
      </w:r>
      <w:r w:rsidRPr="00445075">
        <w:rPr>
          <w:rFonts w:ascii="Calibri" w:hAnsi="Calibri" w:cs="Calibri"/>
          <w:sz w:val="22"/>
          <w:szCs w:val="22"/>
        </w:rPr>
        <w:t>policies such as the triple science entitlement will have, and the</w:t>
      </w:r>
      <w:r w:rsidRPr="00445075">
        <w:rPr>
          <w:rFonts w:ascii="Calibri" w:hAnsi="Calibri" w:cs="Calibri"/>
          <w:sz w:val="22"/>
          <w:szCs w:val="22"/>
        </w:rPr>
        <w:t xml:space="preserve"> potentially negative</w:t>
      </w:r>
      <w:r w:rsidRPr="00445075">
        <w:rPr>
          <w:rFonts w:ascii="Calibri" w:hAnsi="Calibri" w:cs="Calibri"/>
          <w:sz w:val="22"/>
          <w:szCs w:val="22"/>
        </w:rPr>
        <w:t xml:space="preserve"> effect</w:t>
      </w:r>
      <w:r w:rsidRPr="00445075">
        <w:rPr>
          <w:rFonts w:ascii="Calibri" w:hAnsi="Calibri" w:cs="Calibri"/>
          <w:sz w:val="22"/>
          <w:szCs w:val="22"/>
        </w:rPr>
        <w:t>s</w:t>
      </w:r>
      <w:r w:rsidRPr="00445075">
        <w:rPr>
          <w:rFonts w:ascii="Calibri" w:hAnsi="Calibri" w:cs="Calibri"/>
          <w:sz w:val="22"/>
          <w:szCs w:val="22"/>
        </w:rPr>
        <w:t xml:space="preserve"> of asking teachers and school leaders to find staff, budget, and space in </w:t>
      </w:r>
      <w:r w:rsidRPr="00445075">
        <w:rPr>
          <w:rFonts w:ascii="Calibri" w:hAnsi="Calibri" w:cs="Calibri"/>
          <w:sz w:val="22"/>
          <w:szCs w:val="22"/>
        </w:rPr>
        <w:t xml:space="preserve">an overloaded curriculum to </w:t>
      </w:r>
      <w:r w:rsidRPr="00445075">
        <w:rPr>
          <w:rFonts w:ascii="Calibri" w:hAnsi="Calibri" w:cs="Calibri"/>
          <w:sz w:val="22"/>
          <w:szCs w:val="22"/>
        </w:rPr>
        <w:t xml:space="preserve">deliver this policy </w:t>
      </w:r>
      <w:r w:rsidRPr="00445075">
        <w:rPr>
          <w:rFonts w:ascii="Calibri" w:hAnsi="Calibri" w:cs="Calibri"/>
          <w:sz w:val="22"/>
          <w:szCs w:val="22"/>
        </w:rPr>
        <w:t xml:space="preserve">for a relatively small number of students. </w:t>
      </w:r>
    </w:p>
    <w:p w:rsidR="00D862C4" w:rsidRPr="00445075" w:rsidP="00BF1F38">
      <w:pPr>
        <w:pStyle w:val="ListParagraph"/>
        <w:rPr>
          <w:rFonts w:ascii="Calibri" w:hAnsi="Calibri" w:cs="Calibri"/>
          <w:sz w:val="22"/>
          <w:szCs w:val="22"/>
        </w:rPr>
      </w:pPr>
    </w:p>
    <w:p w:rsidR="00D862C4" w:rsidRPr="00445075" w:rsidP="00550B27">
      <w:pPr>
        <w:numPr>
          <w:ilvl w:val="1"/>
          <w:numId w:val="20"/>
        </w:numPr>
        <w:tabs>
          <w:tab w:val="num" w:pos="720"/>
        </w:tabs>
        <w:rPr>
          <w:rFonts w:ascii="Calibri" w:eastAsia="Arial" w:hAnsi="Calibri" w:cs="Calibri"/>
          <w:sz w:val="22"/>
          <w:szCs w:val="22"/>
        </w:rPr>
      </w:pPr>
      <w:r w:rsidRPr="00445075">
        <w:rPr>
          <w:rFonts w:ascii="Calibri" w:eastAsia="Arial" w:hAnsi="Calibri" w:cs="Calibri"/>
          <w:sz w:val="22"/>
          <w:szCs w:val="22"/>
        </w:rPr>
        <w:t xml:space="preserve">The Royal Society is keen to work with government to ensure that mathematical and data education and skills are properly integrated across the new V level qualifications and that changes to the GCSE resit policy ensure a greater number of young people can </w:t>
      </w:r>
      <w:r w:rsidRPr="00445075">
        <w:rPr>
          <w:rFonts w:ascii="Calibri" w:eastAsia="Arial" w:hAnsi="Calibri" w:cs="Calibri"/>
          <w:color w:val="242424"/>
          <w:sz w:val="22"/>
          <w:szCs w:val="22"/>
        </w:rPr>
        <w:t>gain confidence in mathematics and meaningful mathematical competence, including through the establishment of a rigorous post-16 ‘stepping-stone’ qualification that supports progression to GCSE where appropriate.</w:t>
      </w:r>
      <w:r w:rsidRPr="00445075">
        <w:rPr>
          <w:rFonts w:ascii="Calibri" w:eastAsia="Arial" w:hAnsi="Calibri" w:cs="Calibri"/>
          <w:sz w:val="22"/>
          <w:szCs w:val="22"/>
        </w:rPr>
        <w:t xml:space="preserve"> </w:t>
      </w:r>
    </w:p>
    <w:sectPr w:rsidSect="00D43210">
      <w:headerReference w:type="default" r:id="rId9"/>
      <w:footerReference w:type="even" r:id="rId10"/>
      <w:footerReference w:type="default" r:id="rId11"/>
      <w:headerReference w:type="first" r:id="rId12"/>
      <w:footerReference w:type="first" r:id="rId13"/>
      <w:pgSz w:w="11907" w:h="16840"/>
      <w:pgMar w:top="2099" w:right="1417" w:bottom="1560" w:left="1276" w:header="0" w:footer="848" w:gutter="0"/>
      <w:cols w:space="720"/>
      <w:formProt w:val="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LT Pro 45 Light">
    <w:altName w:val="Calibri"/>
    <w:panose1 w:val="00000000000000000000"/>
    <w:charset w:val="00"/>
    <w:family w:val="swiss"/>
    <w:notTrueType/>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62C4" w:rsidP="00D04EE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62C4" w:rsidP="00D04EE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62C4" w:rsidP="00D04EE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D862C4" w:rsidP="00D04EE5">
    <w:pPr>
      <w:pStyle w:val="Footer"/>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70"/>
      <w:gridCol w:w="3070"/>
      <w:gridCol w:w="3070"/>
    </w:tblGrid>
    <w:tr w:rsidTr="0700FADD">
      <w:tblPrEx>
        <w:tblW w:w="0" w:type="auto"/>
        <w:tblLook w:val="06A0"/>
      </w:tblPrEx>
      <w:trPr>
        <w:trHeight w:val="300"/>
      </w:trPr>
      <w:tc>
        <w:tcPr>
          <w:tcW w:w="3070" w:type="dxa"/>
        </w:tcPr>
        <w:p w:rsidR="00D862C4" w:rsidP="0700FADD">
          <w:pPr>
            <w:pStyle w:val="Header"/>
            <w:ind w:left="-115"/>
          </w:pPr>
        </w:p>
      </w:tc>
      <w:tc>
        <w:tcPr>
          <w:tcW w:w="3070" w:type="dxa"/>
        </w:tcPr>
        <w:p w:rsidR="00D862C4" w:rsidP="0700FADD">
          <w:pPr>
            <w:pStyle w:val="Header"/>
            <w:jc w:val="center"/>
          </w:pPr>
        </w:p>
      </w:tc>
      <w:tc>
        <w:tcPr>
          <w:tcW w:w="3070" w:type="dxa"/>
        </w:tcPr>
        <w:p w:rsidR="00D862C4" w:rsidP="0700FADD">
          <w:pPr>
            <w:pStyle w:val="Header"/>
            <w:ind w:right="-115"/>
            <w:jc w:val="right"/>
          </w:pPr>
        </w:p>
      </w:tc>
    </w:tr>
  </w:tbl>
  <w:p w:rsidR="00D862C4" w:rsidP="0700FA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862C4">
      <w:pPr>
        <w:spacing w:line="240" w:lineRule="auto"/>
      </w:pPr>
      <w:r>
        <w:separator/>
      </w:r>
    </w:p>
  </w:footnote>
  <w:footnote w:type="continuationSeparator" w:id="1">
    <w:p w:rsidR="00D862C4">
      <w:pPr>
        <w:spacing w:line="240" w:lineRule="auto"/>
      </w:pPr>
      <w:r>
        <w:continuationSeparator/>
      </w:r>
    </w:p>
  </w:footnote>
  <w:footnote w:id="2">
    <w:p w:rsidR="00D862C4" w:rsidP="00445075">
      <w:pPr>
        <w:pStyle w:val="FootnoteText"/>
      </w:pPr>
      <w:r>
        <w:rPr>
          <w:rStyle w:val="FootnoteReference"/>
        </w:rPr>
        <w:footnoteRef/>
      </w:r>
      <w:r>
        <w:t xml:space="preserve"> For example, see: </w:t>
      </w:r>
      <w:r>
        <w:t xml:space="preserve">SEPA, 2025 </w:t>
      </w:r>
      <w:r>
        <w:fldChar w:fldCharType="begin"/>
      </w:r>
      <w:r>
        <w:instrText xml:space="preserve"> HYPERLINK "https://royalsociety.org/news-resources/publications/2025/sepa-highlights-priorities-for-science-education/" </w:instrText>
      </w:r>
      <w:r>
        <w:fldChar w:fldCharType="separate"/>
      </w:r>
      <w:r w:rsidRPr="00B1270B">
        <w:rPr>
          <w:rStyle w:val="Hyperlink"/>
        </w:rPr>
        <w:t>SEPA highlights priorities for science education | Royal Society</w:t>
      </w:r>
      <w:r>
        <w:fldChar w:fldCharType="end"/>
      </w:r>
      <w:r>
        <w:t xml:space="preserve">; </w:t>
      </w:r>
      <w:r>
        <w:t xml:space="preserve">SEPA, 2024 </w:t>
      </w:r>
      <w:r>
        <w:fldChar w:fldCharType="begin"/>
      </w:r>
      <w:r>
        <w:instrText xml:space="preserve"> HYPERLINK "https://d1ymz67w5raq8g.cloudfront.net/Uploads/t/a/o/sepalettertocurriculumandassessmentreviewpaneldecember2024_470382.pdf" </w:instrText>
      </w:r>
      <w:r>
        <w:fldChar w:fldCharType="separate"/>
      </w:r>
      <w:r w:rsidRPr="00C6258E">
        <w:rPr>
          <w:rStyle w:val="Hyperlink"/>
        </w:rPr>
        <w:t>SEPA letter to Curriculum and Assessment Review panel - December 2024</w:t>
      </w:r>
      <w:r>
        <w:fldChar w:fldCharType="end"/>
      </w:r>
      <w:r>
        <w:t xml:space="preserve">; </w:t>
      </w:r>
      <w:r>
        <w:t xml:space="preserve">Royal Society of Biology, </w:t>
      </w:r>
      <w:r>
        <w:t xml:space="preserve">2023 </w:t>
      </w:r>
      <w:r>
        <w:fldChar w:fldCharType="begin"/>
      </w:r>
      <w:r>
        <w:instrText xml:space="preserve"> HYPERLINK "https://committees.parliament.uk/writtenevidence/120712/html/" </w:instrText>
      </w:r>
      <w:r>
        <w:fldChar w:fldCharType="separate"/>
      </w:r>
      <w:r w:rsidRPr="004C2CB0">
        <w:rPr>
          <w:rStyle w:val="Hyperlink"/>
        </w:rPr>
        <w:t>committees.parliament.uk/</w:t>
      </w:r>
      <w:r w:rsidRPr="004C2CB0">
        <w:rPr>
          <w:rStyle w:val="Hyperlink"/>
        </w:rPr>
        <w:t>writtenevidence</w:t>
      </w:r>
      <w:r w:rsidRPr="004C2CB0">
        <w:rPr>
          <w:rStyle w:val="Hyperlink"/>
        </w:rPr>
        <w:t>/120712/html/</w:t>
      </w:r>
      <w:r>
        <w:fldChar w:fldCharType="end"/>
      </w:r>
      <w:r>
        <w:t xml:space="preserve">; </w:t>
      </w:r>
    </w:p>
  </w:footnote>
  <w:footnote w:id="3">
    <w:p w:rsidR="00D862C4" w:rsidP="00445075">
      <w:pPr>
        <w:pStyle w:val="FootnoteText"/>
      </w:pPr>
      <w:r>
        <w:rPr>
          <w:rStyle w:val="FootnoteReference"/>
        </w:rPr>
        <w:footnoteRef/>
      </w:r>
      <w:r>
        <w:t xml:space="preserve"> The Royal Society, 2024 </w:t>
      </w:r>
      <w:r>
        <w:fldChar w:fldCharType="begin"/>
      </w:r>
      <w:r>
        <w:instrText xml:space="preserve"> HYPERLINK "https://royalsociety.org/news-resources/projects/mathematical-futures/" </w:instrText>
      </w:r>
      <w:r>
        <w:fldChar w:fldCharType="separate"/>
      </w:r>
      <w:r w:rsidRPr="00A539C4">
        <w:rPr>
          <w:rStyle w:val="Hyperlink"/>
        </w:rPr>
        <w:t>Mathematical Futures programme | Royal Society</w:t>
      </w:r>
      <w:r>
        <w:fldChar w:fldCharType="end"/>
      </w:r>
    </w:p>
  </w:footnote>
  <w:footnote w:id="4">
    <w:p w:rsidR="00D862C4" w:rsidP="00445075">
      <w:pPr>
        <w:pStyle w:val="FootnoteText"/>
      </w:pPr>
      <w:r w:rsidRPr="1D1B7171">
        <w:rPr>
          <w:rStyle w:val="FootnoteReference"/>
        </w:rPr>
        <w:footnoteRef/>
      </w:r>
      <w:r>
        <w:t xml:space="preserve"> House of Lords, 2026 </w:t>
      </w:r>
      <w:r>
        <w:fldChar w:fldCharType="begin"/>
      </w:r>
      <w:r>
        <w:instrText xml:space="preserve"> HYPERLINK "https://committees.parliament.uk/committee/833/numeracy-for-life-committee/publications/oral-evidence/" </w:instrText>
      </w:r>
      <w:r>
        <w:fldChar w:fldCharType="separate"/>
      </w:r>
      <w:r w:rsidRPr="1D1B7171">
        <w:rPr>
          <w:rStyle w:val="Hyperlink"/>
        </w:rPr>
        <w:t>Numeracy for Life Committee - Oral evidence transcripts - Committees - UK Parliament</w:t>
      </w:r>
      <w:r>
        <w:fldChar w:fldCharType="end"/>
      </w:r>
    </w:p>
  </w:footnote>
  <w:footnote w:id="5">
    <w:p w:rsidR="00D862C4" w:rsidP="00445075">
      <w:pPr>
        <w:pStyle w:val="FootnoteText"/>
      </w:pPr>
      <w:r>
        <w:rPr>
          <w:rStyle w:val="FootnoteReference"/>
        </w:rPr>
        <w:footnoteRef/>
      </w:r>
      <w:r>
        <w:t xml:space="preserve"> </w:t>
      </w:r>
      <w:r w:rsidRPr="00EC2E5C">
        <w:t xml:space="preserve">National Statistics, 2023. Schools, pupils and their characteristics. See </w:t>
      </w:r>
      <w:r>
        <w:fldChar w:fldCharType="begin"/>
      </w:r>
      <w:r>
        <w:instrText xml:space="preserve"> HYPERLINK "https://explore-education-statistics.service.gov.uk/find-statistics/school-pupils-and-their-characteristics" </w:instrText>
      </w:r>
      <w:r>
        <w:fldChar w:fldCharType="separate"/>
      </w:r>
      <w:r w:rsidRPr="0045510D">
        <w:rPr>
          <w:rStyle w:val="Hyperlink"/>
        </w:rPr>
        <w:t>https://explore-education-statistics.service.gov.uk/find-statistics/school-pupils-and-their-characteristics</w:t>
      </w:r>
      <w:r>
        <w:fldChar w:fldCharType="end"/>
      </w:r>
      <w:r>
        <w:t xml:space="preserve"> </w:t>
      </w:r>
    </w:p>
  </w:footnote>
  <w:footnote w:id="6">
    <w:p w:rsidR="00D862C4" w:rsidP="00445075">
      <w:pPr>
        <w:pStyle w:val="FootnoteText"/>
      </w:pPr>
      <w:r>
        <w:rPr>
          <w:rStyle w:val="FootnoteReference"/>
        </w:rPr>
        <w:footnoteRef/>
      </w:r>
      <w:r>
        <w:t xml:space="preserve"> See EPI, 2025 </w:t>
      </w:r>
      <w:r>
        <w:fldChar w:fldCharType="begin"/>
      </w:r>
      <w:r>
        <w:instrText xml:space="preserve"> HYPERLINK "https://epi.org.uk/wp-content/uploads/2025/06/English-and-Maths-Resits.pdf" </w:instrText>
      </w:r>
      <w:r>
        <w:fldChar w:fldCharType="separate"/>
      </w:r>
      <w:r>
        <w:rPr>
          <w:rStyle w:val="Hyperlink"/>
        </w:rPr>
        <w:t>Microsoft Word - EPI Resits report</w:t>
      </w:r>
      <w:r>
        <w:fldChar w:fldCharType="end"/>
      </w:r>
    </w:p>
    <w:p w:rsidR="00D862C4" w:rsidP="00445075">
      <w:pPr>
        <w:pStyle w:val="FootnoteText"/>
      </w:pPr>
    </w:p>
  </w:footnote>
  <w:footnote w:id="7">
    <w:p w:rsidR="00D862C4" w:rsidP="00445075">
      <w:pPr>
        <w:pStyle w:val="FootnoteText"/>
      </w:pPr>
      <w:r>
        <w:rPr>
          <w:rStyle w:val="FootnoteReference"/>
        </w:rPr>
        <w:footnoteRef/>
      </w:r>
      <w:r>
        <w:t xml:space="preserve"> </w:t>
      </w:r>
      <w:r w:rsidRPr="00126EE8">
        <w:t xml:space="preserve">Department for Education, 2020. A level and other 16 to 18 results: 2018 to 2019 (revised). See </w:t>
      </w:r>
      <w:r>
        <w:fldChar w:fldCharType="begin"/>
      </w:r>
      <w:r>
        <w:instrText xml:space="preserve"> HYPERLINK "https://explore-education-statistics.service.gov.uk/find-statistics/a-level-and-other-16-to-18-results/2021-22" </w:instrText>
      </w:r>
      <w:r>
        <w:fldChar w:fldCharType="separate"/>
      </w:r>
      <w:r w:rsidRPr="0045510D">
        <w:rPr>
          <w:rStyle w:val="Hyperlink"/>
        </w:rPr>
        <w:t>https://explore-education-statistics.service.gov.uk/find-statistics/a-level-and-other-16-to-18-results/2021-22</w:t>
      </w:r>
      <w:r>
        <w:fldChar w:fldCharType="end"/>
      </w:r>
      <w:r>
        <w:t xml:space="preserve"> </w:t>
      </w:r>
    </w:p>
  </w:footnote>
  <w:footnote w:id="8">
    <w:p w:rsidR="00D862C4" w:rsidP="00445075">
      <w:pPr>
        <w:pStyle w:val="FootnoteText"/>
      </w:pPr>
      <w:r>
        <w:rPr>
          <w:rStyle w:val="FootnoteReference"/>
        </w:rPr>
        <w:footnoteRef/>
      </w:r>
      <w:r>
        <w:t xml:space="preserve"> </w:t>
      </w:r>
      <w:r w:rsidRPr="00126EE8">
        <w:t xml:space="preserve">Education Policy Institute, 2024. Time for a resit reset? See </w:t>
      </w:r>
      <w:r>
        <w:fldChar w:fldCharType="begin"/>
      </w:r>
      <w:r>
        <w:instrText xml:space="preserve"> HYPERLINK "https://epi.org.uk/publications-and-research/blog-time%20for-a-resit-reset/" </w:instrText>
      </w:r>
      <w:r>
        <w:fldChar w:fldCharType="separate"/>
      </w:r>
      <w:r w:rsidRPr="0045510D">
        <w:rPr>
          <w:rStyle w:val="Hyperlink"/>
        </w:rPr>
        <w:t>https://epi.org.uk/publications-and-research/blog-time for-a-resit-reset/</w:t>
      </w:r>
      <w:r>
        <w:fldChar w:fldCharType="end"/>
      </w:r>
      <w:r>
        <w:t xml:space="preserve"> </w:t>
      </w:r>
    </w:p>
  </w:footnote>
  <w:footnote w:id="9">
    <w:p w:rsidR="00D862C4" w:rsidP="00445075">
      <w:pPr>
        <w:pStyle w:val="FootnoteText"/>
      </w:pPr>
      <w:r>
        <w:rPr>
          <w:rStyle w:val="FootnoteReference"/>
        </w:rPr>
        <w:footnoteRef/>
      </w:r>
      <w:r>
        <w:t xml:space="preserve"> The Royal Society</w:t>
      </w:r>
      <w:r>
        <w:t>, Engineering UK</w:t>
      </w:r>
      <w:r>
        <w:t>,</w:t>
      </w:r>
      <w:r>
        <w:t xml:space="preserve"> and Verian, 2024 </w:t>
      </w:r>
      <w:r>
        <w:fldChar w:fldCharType="begin"/>
      </w:r>
      <w:r>
        <w:instrText xml:space="preserve"> HYPERLINK "https://royalsociety.org/-/media/policy/projects/science-education-tracker/science-education-tracker-2023.pdf" </w:instrText>
      </w:r>
      <w:r>
        <w:fldChar w:fldCharType="separate"/>
      </w:r>
      <w:r w:rsidRPr="004E0524">
        <w:rPr>
          <w:rStyle w:val="Hyperlink"/>
        </w:rPr>
        <w:t>science-education-tracker-2023.pdf</w:t>
      </w:r>
      <w:r>
        <w:fldChar w:fldCharType="end"/>
      </w:r>
    </w:p>
  </w:footnote>
  <w:footnote w:id="10">
    <w:p w:rsidR="00D862C4" w:rsidP="00445075">
      <w:pPr>
        <w:pStyle w:val="FootnoteText"/>
      </w:pPr>
      <w:r>
        <w:rPr>
          <w:rStyle w:val="FootnoteReference"/>
        </w:rPr>
        <w:footnoteRef/>
      </w:r>
      <w:r>
        <w:t xml:space="preserve"> </w:t>
      </w:r>
      <w:r>
        <w:t>Worth, J &amp; Scott, M (</w:t>
      </w:r>
      <w:r>
        <w:t>NFER, 2026</w:t>
      </w:r>
      <w:r>
        <w:t>)</w:t>
      </w:r>
      <w:r>
        <w:t xml:space="preserve"> </w:t>
      </w:r>
      <w:r>
        <w:fldChar w:fldCharType="begin"/>
      </w:r>
      <w:r>
        <w:instrText xml:space="preserve"> HYPERLINK "https://www.nfer.ac.uk/media/idcdsseo/the_school_teacher_workforce_in_england_annual_report_2026.pdf" </w:instrText>
      </w:r>
      <w:r>
        <w:fldChar w:fldCharType="separate"/>
      </w:r>
      <w:r w:rsidRPr="00796AC5">
        <w:rPr>
          <w:rStyle w:val="Hyperlink"/>
        </w:rPr>
        <w:t>the_school_teacher_workforce_in_england_annual_report_2026.pdf</w:t>
      </w:r>
      <w:r>
        <w:fldChar w:fldCharType="end"/>
      </w:r>
    </w:p>
  </w:footnote>
  <w:footnote w:id="11">
    <w:p w:rsidR="00D862C4" w:rsidP="00445075">
      <w:pPr>
        <w:pStyle w:val="FootnoteText"/>
      </w:pPr>
      <w:r>
        <w:rPr>
          <w:rStyle w:val="FootnoteReference"/>
        </w:rPr>
        <w:footnoteRef/>
      </w:r>
      <w:r>
        <w:t xml:space="preserve"> </w:t>
      </w:r>
      <w:r>
        <w:t xml:space="preserve">McLean, D &amp; Worth, J (NFER 2025) </w:t>
      </w:r>
      <w:r>
        <w:fldChar w:fldCharType="begin"/>
      </w:r>
      <w:r>
        <w:instrText xml:space="preserve"> HYPERLINK "https://www.nfer.ac.uk/publications/teacher-labour-market-in-england-annual-report-2025/" </w:instrText>
      </w:r>
      <w:r>
        <w:fldChar w:fldCharType="separate"/>
      </w:r>
      <w:r w:rsidRPr="00F462E8">
        <w:rPr>
          <w:rStyle w:val="Hyperlink"/>
        </w:rPr>
        <w:t>Teacher Labour Market in England Annual Report 2025 - NFER</w:t>
      </w:r>
      <w:r>
        <w:fldChar w:fldCharType="end"/>
      </w:r>
    </w:p>
  </w:footnote>
  <w:footnote w:id="12">
    <w:p w:rsidR="00D862C4" w:rsidP="00445075">
      <w:pPr>
        <w:pStyle w:val="FootnoteText"/>
      </w:pPr>
      <w:r>
        <w:rPr>
          <w:rStyle w:val="FootnoteReference"/>
        </w:rPr>
        <w:footnoteRef/>
      </w:r>
      <w:r>
        <w:t xml:space="preserve"> </w:t>
      </w:r>
      <w:r>
        <w:t xml:space="preserve">Ofsted 2024 </w:t>
      </w:r>
      <w:r>
        <w:fldChar w:fldCharType="begin"/>
      </w:r>
      <w:r>
        <w:instrText xml:space="preserve"> HYPERLINK "https://www.gov.uk/government/publications/teachers-professional-development-in-schools/independent-review-of-teachers-professional-development-in-schools-phase-2-findings" </w:instrText>
      </w:r>
      <w:r>
        <w:fldChar w:fldCharType="separate"/>
      </w:r>
      <w:r w:rsidRPr="000321E4">
        <w:rPr>
          <w:rStyle w:val="Hyperlink"/>
        </w:rPr>
        <w:t>Independent review of teachers’ professional development in schools: phase 2 findings - GOV.UK</w:t>
      </w:r>
      <w:r>
        <w:fldChar w:fldCharType="end"/>
      </w:r>
    </w:p>
  </w:footnote>
  <w:footnote w:id="13">
    <w:p w:rsidR="00D862C4" w:rsidP="00730702">
      <w:r>
        <w:rPr>
          <w:rStyle w:val="FootnoteReference"/>
        </w:rPr>
        <w:footnoteRef/>
      </w:r>
      <w:r>
        <w:t xml:space="preserve"> </w:t>
      </w:r>
      <w:r>
        <w:t xml:space="preserve">Education Endowment Fund 2022 </w:t>
      </w:r>
      <w:r>
        <w:fldChar w:fldCharType="begin"/>
      </w:r>
      <w:r>
        <w:instrText xml:space="preserve"> HYPERLINK "https://educationendowmentfoundation.org.uk/education-evidence/guidance-reports/effective-professional-development" </w:instrText>
      </w:r>
      <w:r>
        <w:fldChar w:fldCharType="separate"/>
      </w:r>
      <w:r w:rsidRPr="003341F8">
        <w:rPr>
          <w:rStyle w:val="Hyperlink"/>
        </w:rPr>
        <w:t>Effective Professional Development | EEF</w:t>
      </w:r>
      <w:r>
        <w:fldChar w:fldCharType="end"/>
      </w:r>
    </w:p>
  </w:footnote>
  <w:footnote w:id="14">
    <w:p w:rsidR="00D862C4" w:rsidP="00CD2445">
      <w:r>
        <w:rPr>
          <w:rStyle w:val="FootnoteReference"/>
        </w:rPr>
        <w:footnoteRef/>
      </w:r>
      <w:r>
        <w:t xml:space="preserve"> </w:t>
      </w:r>
      <w:r>
        <w:t xml:space="preserve">STEM Learning 2023 </w:t>
      </w:r>
      <w:r>
        <w:fldChar w:fldCharType="begin"/>
      </w:r>
      <w:r>
        <w:instrText xml:space="preserve"> HYPERLINK "https://assets.ctfassets.net/pc40tpn1u6ef/6INDlmObGAIh4edoOfNAr/3ceb98da94254260deab3b35aa5b4450/Full_Report-teacher_retention.pdf" </w:instrText>
      </w:r>
      <w:r>
        <w:fldChar w:fldCharType="separate"/>
      </w:r>
      <w:r w:rsidRPr="00E73B30">
        <w:rPr>
          <w:rStyle w:val="Hyperlink"/>
        </w:rPr>
        <w:t>The impact of STEM Learning Science CPD. An analysis of teacher retention</w:t>
      </w:r>
      <w:r>
        <w:fldChar w:fldCharType="end"/>
      </w:r>
      <w:r>
        <w:t xml:space="preserve">. </w:t>
      </w:r>
    </w:p>
  </w:footnote>
  <w:footnote w:id="15">
    <w:p w:rsidR="00D862C4" w:rsidP="00445075">
      <w:pPr>
        <w:pStyle w:val="FootnoteText"/>
      </w:pPr>
      <w:r>
        <w:rPr>
          <w:rStyle w:val="FootnoteReference"/>
        </w:rPr>
        <w:footnoteRef/>
      </w:r>
      <w:r>
        <w:t xml:space="preserve"> </w:t>
      </w:r>
      <w:r>
        <w:t xml:space="preserve">Royal Society of Chemistry 2025 </w:t>
      </w:r>
      <w:r>
        <w:fldChar w:fldCharType="begin"/>
      </w:r>
      <w:r>
        <w:instrText xml:space="preserve"> HYPERLINK "https://www.rsc.org/policy-and-campaigning/education/the-science-teaching-survey" </w:instrText>
      </w:r>
      <w:r>
        <w:fldChar w:fldCharType="separate"/>
      </w:r>
      <w:r w:rsidRPr="00CD2445">
        <w:rPr>
          <w:rStyle w:val="Hyperlink"/>
        </w:rPr>
        <w:t>The Science Teaching Survey 2025</w:t>
      </w:r>
      <w:r>
        <w:fldChar w:fldCharType="end"/>
      </w:r>
    </w:p>
    <w:p w:rsidR="00445075" w:rsidRPr="00445075" w:rsidP="00445075">
      <w:pPr>
        <w:pStyle w:val="FootnoteText"/>
      </w:pPr>
      <w:r w:rsidRPr="00445075">
        <w:t>September 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62C4">
    <w:pPr>
      <w:tabs>
        <w:tab w:val="left" w:pos="7484"/>
      </w:tabs>
      <w:ind w:left="7484" w:right="-113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62C4" w:rsidP="00550B27">
    <w:pPr>
      <w:spacing w:before="40" w:line="240" w:lineRule="auto"/>
      <w:ind w:right="34"/>
      <w:rPr>
        <w:b/>
        <w:color w:val="C00000"/>
        <w:sz w:val="28"/>
        <w:szCs w:val="16"/>
      </w:rPr>
    </w:pPr>
  </w:p>
  <w:p w:rsidR="00D862C4" w:rsidP="00550B27">
    <w:pPr>
      <w:spacing w:before="40" w:line="240" w:lineRule="auto"/>
      <w:ind w:right="34"/>
      <w:rPr>
        <w:b/>
        <w:color w:val="C00000"/>
        <w:sz w:val="28"/>
        <w:szCs w:val="16"/>
      </w:rPr>
    </w:pPr>
  </w:p>
  <w:p w:rsidR="00D862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48576C"/>
    <w:multiLevelType w:val="multilevel"/>
    <w:tmpl w:val="1E7CC420"/>
    <w:lvl w:ilvl="0">
      <w:start w:val="1"/>
      <w:numFmt w:val="bullet"/>
      <w:lvlText w:val="o"/>
      <w:lvlJc w:val="left"/>
      <w:pPr>
        <w:tabs>
          <w:tab w:val="num" w:pos="927"/>
        </w:tabs>
        <w:ind w:left="927" w:hanging="360"/>
      </w:pPr>
      <w:rPr>
        <w:rFonts w:ascii="Courier New" w:hAnsi="Courier New"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o"/>
      <w:lvlJc w:val="left"/>
      <w:pPr>
        <w:tabs>
          <w:tab w:val="num" w:pos="2367"/>
        </w:tabs>
        <w:ind w:left="2367" w:hanging="360"/>
      </w:pPr>
      <w:rPr>
        <w:rFonts w:ascii="Courier New" w:hAnsi="Courier New" w:hint="default"/>
        <w:sz w:val="20"/>
      </w:rPr>
    </w:lvl>
    <w:lvl w:ilvl="3" w:tentative="1">
      <w:start w:val="1"/>
      <w:numFmt w:val="bullet"/>
      <w:lvlText w:val="o"/>
      <w:lvlJc w:val="left"/>
      <w:pPr>
        <w:tabs>
          <w:tab w:val="num" w:pos="3087"/>
        </w:tabs>
        <w:ind w:left="3087" w:hanging="360"/>
      </w:pPr>
      <w:rPr>
        <w:rFonts w:ascii="Courier New" w:hAnsi="Courier New" w:hint="default"/>
        <w:sz w:val="20"/>
      </w:rPr>
    </w:lvl>
    <w:lvl w:ilvl="4" w:tentative="1">
      <w:start w:val="1"/>
      <w:numFmt w:val="bullet"/>
      <w:lvlText w:val="o"/>
      <w:lvlJc w:val="left"/>
      <w:pPr>
        <w:tabs>
          <w:tab w:val="num" w:pos="3807"/>
        </w:tabs>
        <w:ind w:left="3807" w:hanging="360"/>
      </w:pPr>
      <w:rPr>
        <w:rFonts w:ascii="Courier New" w:hAnsi="Courier New" w:hint="default"/>
        <w:sz w:val="20"/>
      </w:rPr>
    </w:lvl>
    <w:lvl w:ilvl="5" w:tentative="1">
      <w:start w:val="1"/>
      <w:numFmt w:val="bullet"/>
      <w:lvlText w:val="o"/>
      <w:lvlJc w:val="left"/>
      <w:pPr>
        <w:tabs>
          <w:tab w:val="num" w:pos="4527"/>
        </w:tabs>
        <w:ind w:left="4527" w:hanging="360"/>
      </w:pPr>
      <w:rPr>
        <w:rFonts w:ascii="Courier New" w:hAnsi="Courier New" w:hint="default"/>
        <w:sz w:val="20"/>
      </w:rPr>
    </w:lvl>
    <w:lvl w:ilvl="6" w:tentative="1">
      <w:start w:val="1"/>
      <w:numFmt w:val="bullet"/>
      <w:lvlText w:val="o"/>
      <w:lvlJc w:val="left"/>
      <w:pPr>
        <w:tabs>
          <w:tab w:val="num" w:pos="5247"/>
        </w:tabs>
        <w:ind w:left="5247" w:hanging="360"/>
      </w:pPr>
      <w:rPr>
        <w:rFonts w:ascii="Courier New" w:hAnsi="Courier New" w:hint="default"/>
        <w:sz w:val="20"/>
      </w:rPr>
    </w:lvl>
    <w:lvl w:ilvl="7" w:tentative="1">
      <w:start w:val="1"/>
      <w:numFmt w:val="bullet"/>
      <w:lvlText w:val="o"/>
      <w:lvlJc w:val="left"/>
      <w:pPr>
        <w:tabs>
          <w:tab w:val="num" w:pos="5967"/>
        </w:tabs>
        <w:ind w:left="5967" w:hanging="360"/>
      </w:pPr>
      <w:rPr>
        <w:rFonts w:ascii="Courier New" w:hAnsi="Courier New" w:hint="default"/>
        <w:sz w:val="20"/>
      </w:rPr>
    </w:lvl>
    <w:lvl w:ilvl="8" w:tentative="1">
      <w:start w:val="1"/>
      <w:numFmt w:val="bullet"/>
      <w:lvlText w:val="o"/>
      <w:lvlJc w:val="left"/>
      <w:pPr>
        <w:tabs>
          <w:tab w:val="num" w:pos="6687"/>
        </w:tabs>
        <w:ind w:left="6687" w:hanging="360"/>
      </w:pPr>
      <w:rPr>
        <w:rFonts w:ascii="Courier New" w:hAnsi="Courier New" w:hint="default"/>
        <w:sz w:val="20"/>
      </w:rPr>
    </w:lvl>
  </w:abstractNum>
  <w:abstractNum w:abstractNumId="1">
    <w:nsid w:val="08F83599"/>
    <w:multiLevelType w:val="multilevel"/>
    <w:tmpl w:val="BF20E67A"/>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9A662A8"/>
    <w:multiLevelType w:val="multilevel"/>
    <w:tmpl w:val="08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3">
    <w:nsid w:val="0B5B46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DED77F8"/>
    <w:multiLevelType w:val="hybridMultilevel"/>
    <w:tmpl w:val="0DD87B50"/>
    <w:lvl w:ilvl="0">
      <w:start w:val="6"/>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EC549F7"/>
    <w:multiLevelType w:val="multilevel"/>
    <w:tmpl w:val="AA421884"/>
    <w:lvl w:ilvl="0">
      <w:start w:val="1"/>
      <w:numFmt w:val="bullet"/>
      <w:lvlText w:val="o"/>
      <w:lvlJc w:val="left"/>
      <w:pPr>
        <w:tabs>
          <w:tab w:val="num" w:pos="1170"/>
        </w:tabs>
        <w:ind w:left="1170" w:hanging="360"/>
      </w:pPr>
      <w:rPr>
        <w:rFonts w:ascii="Courier New" w:hAnsi="Courier New"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o"/>
      <w:lvlJc w:val="left"/>
      <w:pPr>
        <w:tabs>
          <w:tab w:val="num" w:pos="2610"/>
        </w:tabs>
        <w:ind w:left="2610" w:hanging="360"/>
      </w:pPr>
      <w:rPr>
        <w:rFonts w:ascii="Courier New" w:hAnsi="Courier New" w:hint="default"/>
        <w:sz w:val="20"/>
      </w:rPr>
    </w:lvl>
    <w:lvl w:ilvl="3" w:tentative="1">
      <w:start w:val="1"/>
      <w:numFmt w:val="bullet"/>
      <w:lvlText w:val="o"/>
      <w:lvlJc w:val="left"/>
      <w:pPr>
        <w:tabs>
          <w:tab w:val="num" w:pos="3330"/>
        </w:tabs>
        <w:ind w:left="3330" w:hanging="360"/>
      </w:pPr>
      <w:rPr>
        <w:rFonts w:ascii="Courier New" w:hAnsi="Courier New" w:hint="default"/>
        <w:sz w:val="20"/>
      </w:rPr>
    </w:lvl>
    <w:lvl w:ilvl="4" w:tentative="1">
      <w:start w:val="1"/>
      <w:numFmt w:val="bullet"/>
      <w:lvlText w:val="o"/>
      <w:lvlJc w:val="left"/>
      <w:pPr>
        <w:tabs>
          <w:tab w:val="num" w:pos="4050"/>
        </w:tabs>
        <w:ind w:left="4050" w:hanging="360"/>
      </w:pPr>
      <w:rPr>
        <w:rFonts w:ascii="Courier New" w:hAnsi="Courier New" w:hint="default"/>
        <w:sz w:val="20"/>
      </w:rPr>
    </w:lvl>
    <w:lvl w:ilvl="5" w:tentative="1">
      <w:start w:val="1"/>
      <w:numFmt w:val="bullet"/>
      <w:lvlText w:val="o"/>
      <w:lvlJc w:val="left"/>
      <w:pPr>
        <w:tabs>
          <w:tab w:val="num" w:pos="4770"/>
        </w:tabs>
        <w:ind w:left="4770" w:hanging="360"/>
      </w:pPr>
      <w:rPr>
        <w:rFonts w:ascii="Courier New" w:hAnsi="Courier New" w:hint="default"/>
        <w:sz w:val="20"/>
      </w:rPr>
    </w:lvl>
    <w:lvl w:ilvl="6" w:tentative="1">
      <w:start w:val="1"/>
      <w:numFmt w:val="bullet"/>
      <w:lvlText w:val="o"/>
      <w:lvlJc w:val="left"/>
      <w:pPr>
        <w:tabs>
          <w:tab w:val="num" w:pos="5490"/>
        </w:tabs>
        <w:ind w:left="5490" w:hanging="360"/>
      </w:pPr>
      <w:rPr>
        <w:rFonts w:ascii="Courier New" w:hAnsi="Courier New" w:hint="default"/>
        <w:sz w:val="20"/>
      </w:rPr>
    </w:lvl>
    <w:lvl w:ilvl="7" w:tentative="1">
      <w:start w:val="1"/>
      <w:numFmt w:val="bullet"/>
      <w:lvlText w:val="o"/>
      <w:lvlJc w:val="left"/>
      <w:pPr>
        <w:tabs>
          <w:tab w:val="num" w:pos="6210"/>
        </w:tabs>
        <w:ind w:left="6210" w:hanging="360"/>
      </w:pPr>
      <w:rPr>
        <w:rFonts w:ascii="Courier New" w:hAnsi="Courier New" w:hint="default"/>
        <w:sz w:val="20"/>
      </w:rPr>
    </w:lvl>
    <w:lvl w:ilvl="8" w:tentative="1">
      <w:start w:val="1"/>
      <w:numFmt w:val="bullet"/>
      <w:lvlText w:val="o"/>
      <w:lvlJc w:val="left"/>
      <w:pPr>
        <w:tabs>
          <w:tab w:val="num" w:pos="6930"/>
        </w:tabs>
        <w:ind w:left="6930" w:hanging="360"/>
      </w:pPr>
      <w:rPr>
        <w:rFonts w:ascii="Courier New" w:hAnsi="Courier New" w:hint="default"/>
        <w:sz w:val="20"/>
      </w:rPr>
    </w:lvl>
  </w:abstractNum>
  <w:abstractNum w:abstractNumId="6">
    <w:nsid w:val="127001B8"/>
    <w:multiLevelType w:val="multilevel"/>
    <w:tmpl w:val="58922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35A1BF5"/>
    <w:multiLevelType w:val="multilevel"/>
    <w:tmpl w:val="63924D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26F36224"/>
    <w:multiLevelType w:val="hybridMultilevel"/>
    <w:tmpl w:val="943C430A"/>
    <w:lvl w:ilvl="0">
      <w:start w:val="1"/>
      <w:numFmt w:val="bullet"/>
      <w:lvlText w:val=""/>
      <w:lvlJc w:val="left"/>
      <w:pPr>
        <w:ind w:left="1494" w:hanging="360"/>
      </w:pPr>
      <w:rPr>
        <w:rFonts w:ascii="Symbol" w:hAnsi="Symbol" w:hint="default"/>
      </w:rPr>
    </w:lvl>
    <w:lvl w:ilvl="1" w:tentative="1">
      <w:start w:val="1"/>
      <w:numFmt w:val="bullet"/>
      <w:lvlText w:val="o"/>
      <w:lvlJc w:val="left"/>
      <w:pPr>
        <w:ind w:left="2214" w:hanging="360"/>
      </w:pPr>
      <w:rPr>
        <w:rFonts w:ascii="Courier New" w:hAnsi="Courier New" w:cs="Courier New" w:hint="default"/>
      </w:rPr>
    </w:lvl>
    <w:lvl w:ilvl="2" w:tentative="1">
      <w:start w:val="1"/>
      <w:numFmt w:val="bullet"/>
      <w:lvlText w:val=""/>
      <w:lvlJc w:val="left"/>
      <w:pPr>
        <w:ind w:left="2934" w:hanging="360"/>
      </w:pPr>
      <w:rPr>
        <w:rFonts w:ascii="Wingdings" w:hAnsi="Wingdings" w:hint="default"/>
      </w:rPr>
    </w:lvl>
    <w:lvl w:ilvl="3" w:tentative="1">
      <w:start w:val="1"/>
      <w:numFmt w:val="bullet"/>
      <w:lvlText w:val=""/>
      <w:lvlJc w:val="left"/>
      <w:pPr>
        <w:ind w:left="3654" w:hanging="360"/>
      </w:pPr>
      <w:rPr>
        <w:rFonts w:ascii="Symbol" w:hAnsi="Symbol" w:hint="default"/>
      </w:rPr>
    </w:lvl>
    <w:lvl w:ilvl="4" w:tentative="1">
      <w:start w:val="1"/>
      <w:numFmt w:val="bullet"/>
      <w:lvlText w:val="o"/>
      <w:lvlJc w:val="left"/>
      <w:pPr>
        <w:ind w:left="4374" w:hanging="360"/>
      </w:pPr>
      <w:rPr>
        <w:rFonts w:ascii="Courier New" w:hAnsi="Courier New" w:cs="Courier New" w:hint="default"/>
      </w:rPr>
    </w:lvl>
    <w:lvl w:ilvl="5" w:tentative="1">
      <w:start w:val="1"/>
      <w:numFmt w:val="bullet"/>
      <w:lvlText w:val=""/>
      <w:lvlJc w:val="left"/>
      <w:pPr>
        <w:ind w:left="5094" w:hanging="360"/>
      </w:pPr>
      <w:rPr>
        <w:rFonts w:ascii="Wingdings" w:hAnsi="Wingdings" w:hint="default"/>
      </w:rPr>
    </w:lvl>
    <w:lvl w:ilvl="6" w:tentative="1">
      <w:start w:val="1"/>
      <w:numFmt w:val="bullet"/>
      <w:lvlText w:val=""/>
      <w:lvlJc w:val="left"/>
      <w:pPr>
        <w:ind w:left="5814" w:hanging="360"/>
      </w:pPr>
      <w:rPr>
        <w:rFonts w:ascii="Symbol" w:hAnsi="Symbol" w:hint="default"/>
      </w:rPr>
    </w:lvl>
    <w:lvl w:ilvl="7" w:tentative="1">
      <w:start w:val="1"/>
      <w:numFmt w:val="bullet"/>
      <w:lvlText w:val="o"/>
      <w:lvlJc w:val="left"/>
      <w:pPr>
        <w:ind w:left="6534" w:hanging="360"/>
      </w:pPr>
      <w:rPr>
        <w:rFonts w:ascii="Courier New" w:hAnsi="Courier New" w:cs="Courier New" w:hint="default"/>
      </w:rPr>
    </w:lvl>
    <w:lvl w:ilvl="8" w:tentative="1">
      <w:start w:val="1"/>
      <w:numFmt w:val="bullet"/>
      <w:lvlText w:val=""/>
      <w:lvlJc w:val="left"/>
      <w:pPr>
        <w:ind w:left="7254" w:hanging="360"/>
      </w:pPr>
      <w:rPr>
        <w:rFonts w:ascii="Wingdings" w:hAnsi="Wingdings" w:hint="default"/>
      </w:rPr>
    </w:lvl>
  </w:abstractNum>
  <w:abstractNum w:abstractNumId="9">
    <w:nsid w:val="288E155C"/>
    <w:multiLevelType w:val="hybridMultilevel"/>
    <w:tmpl w:val="F18E642A"/>
    <w:lvl w:ilvl="0">
      <w:start w:val="0"/>
      <w:numFmt w:val="bullet"/>
      <w:lvlText w:val="-"/>
      <w:lvlJc w:val="left"/>
      <w:pPr>
        <w:ind w:left="720" w:hanging="360"/>
      </w:pPr>
      <w:rPr>
        <w:rFonts w:ascii="Frutiger LT Pro 45 Light" w:eastAsia="Times New Roman" w:hAnsi="Frutiger LT Pro 45 Light"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DB35B7D"/>
    <w:multiLevelType w:val="multilevel"/>
    <w:tmpl w:val="0AB66D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nsid w:val="32C45846"/>
    <w:multiLevelType w:val="multilevel"/>
    <w:tmpl w:val="08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12">
    <w:nsid w:val="3D470F81"/>
    <w:multiLevelType w:val="multilevel"/>
    <w:tmpl w:val="1A78EA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nsid w:val="5DFB1FA6"/>
    <w:multiLevelType w:val="multilevel"/>
    <w:tmpl w:val="BF6E6C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nsid w:val="632850BA"/>
    <w:multiLevelType w:val="multilevel"/>
    <w:tmpl w:val="757812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nsid w:val="6672787D"/>
    <w:multiLevelType w:val="multilevel"/>
    <w:tmpl w:val="6644A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nsid w:val="66842FA4"/>
    <w:multiLevelType w:val="multilevel"/>
    <w:tmpl w:val="E912EC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nsid w:val="6E452736"/>
    <w:multiLevelType w:val="multilevel"/>
    <w:tmpl w:val="E5964B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nsid w:val="703C6AAA"/>
    <w:multiLevelType w:val="multilevel"/>
    <w:tmpl w:val="8578E8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nsid w:val="70A66785"/>
    <w:multiLevelType w:val="multilevel"/>
    <w:tmpl w:val="41E8E0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nsid w:val="72696EE0"/>
    <w:multiLevelType w:val="hybridMultilevel"/>
    <w:tmpl w:val="6C00D424"/>
    <w:lvl w:ilvl="0">
      <w:start w:val="6"/>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7F401B98"/>
    <w:multiLevelType w:val="hybridMultilevel"/>
    <w:tmpl w:val="B6B6D83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20"/>
  </w:num>
  <w:num w:numId="2">
    <w:abstractNumId w:val="4"/>
  </w:num>
  <w:num w:numId="3">
    <w:abstractNumId w:val="9"/>
  </w:num>
  <w:num w:numId="4">
    <w:abstractNumId w:val="6"/>
  </w:num>
  <w:num w:numId="5">
    <w:abstractNumId w:val="10"/>
  </w:num>
  <w:num w:numId="6">
    <w:abstractNumId w:val="14"/>
  </w:num>
  <w:num w:numId="7">
    <w:abstractNumId w:val="13"/>
  </w:num>
  <w:num w:numId="8">
    <w:abstractNumId w:val="18"/>
  </w:num>
  <w:num w:numId="9">
    <w:abstractNumId w:val="2"/>
  </w:num>
  <w:num w:numId="10">
    <w:abstractNumId w:val="19"/>
  </w:num>
  <w:num w:numId="11">
    <w:abstractNumId w:val="17"/>
  </w:num>
  <w:num w:numId="12">
    <w:abstractNumId w:val="15"/>
  </w:num>
  <w:num w:numId="13">
    <w:abstractNumId w:val="12"/>
  </w:num>
  <w:num w:numId="14">
    <w:abstractNumId w:val="5"/>
  </w:num>
  <w:num w:numId="15">
    <w:abstractNumId w:val="7"/>
  </w:num>
  <w:num w:numId="16">
    <w:abstractNumId w:val="16"/>
  </w:num>
  <w:num w:numId="17">
    <w:abstractNumId w:val="11"/>
  </w:num>
  <w:num w:numId="18">
    <w:abstractNumId w:val="0"/>
  </w:num>
  <w:num w:numId="19">
    <w:abstractNumId w:val="21"/>
  </w:num>
  <w:num w:numId="20">
    <w:abstractNumId w:val="1"/>
  </w:num>
  <w:num w:numId="21">
    <w:abstractNumId w:val="3"/>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567"/>
  <w:drawingGridHorizontalSpacing w:val="120"/>
  <w:drawingGridVerticalSpacing w:val="120"/>
  <w:displayVerticalDrawingGridEvery w:val="0"/>
  <w:doNotUseMarginsForDrawingGridOrigin/>
  <w:noPunctuationKerning/>
  <w:characterSpacingControl w:val="doNotCompress"/>
  <w:footnotePr>
    <w:footnote w:id="0"/>
    <w:footnote w:id="1"/>
  </w:foot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atentStyles>
  <w:style w:type="paragraph" w:default="1" w:styleId="Normal">
    <w:name w:val="Normal"/>
    <w:qFormat/>
    <w:rsid w:val="00096197"/>
    <w:pPr>
      <w:suppressAutoHyphens/>
      <w:overflowPunct w:val="0"/>
      <w:autoSpaceDE w:val="0"/>
      <w:autoSpaceDN w:val="0"/>
      <w:adjustRightInd w:val="0"/>
      <w:spacing w:line="280" w:lineRule="exact"/>
      <w:textAlignment w:val="baseline"/>
    </w:pPr>
    <w:rPr>
      <w:rFonts w:ascii="Arial" w:hAnsi="Arial"/>
      <w:lang w:eastAsia="en-US"/>
    </w:rPr>
  </w:style>
  <w:style w:type="paragraph" w:styleId="Heading1">
    <w:name w:val="heading 1"/>
    <w:basedOn w:val="Normal"/>
    <w:next w:val="Normal"/>
    <w:autoRedefine/>
    <w:qFormat/>
    <w:pPr>
      <w:keepNext/>
      <w:outlineLvl w:val="0"/>
    </w:pPr>
    <w:rPr>
      <w:b/>
      <w:kern w:val="28"/>
    </w:rPr>
  </w:style>
  <w:style w:type="paragraph" w:styleId="Heading2">
    <w:name w:val="heading 2"/>
    <w:basedOn w:val="Normal"/>
    <w:next w:val="Normal"/>
    <w:qFormat/>
    <w:pPr>
      <w:keepNext/>
      <w:outlineLvl w:val="1"/>
    </w:pPr>
  </w:style>
  <w:style w:type="paragraph" w:styleId="Heading3">
    <w:name w:val="heading 3"/>
    <w:basedOn w:val="Normal"/>
    <w:next w:val="Normal"/>
    <w:qFormat/>
    <w:pPr>
      <w:keepNext/>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stomTitle">
    <w:name w:val="Custom Title"/>
    <w:basedOn w:val="Normal"/>
    <w:autoRedefine/>
    <w:rsid w:val="006B3968"/>
    <w:rPr>
      <w:i/>
    </w:rPr>
  </w:style>
  <w:style w:type="paragraph" w:styleId="Footer">
    <w:name w:val="footer"/>
    <w:basedOn w:val="Normal"/>
    <w:autoRedefine/>
    <w:rsid w:val="009C357C"/>
    <w:pPr>
      <w:tabs>
        <w:tab w:val="center" w:pos="4320"/>
        <w:tab w:val="right" w:pos="8640"/>
      </w:tabs>
    </w:pPr>
  </w:style>
  <w:style w:type="paragraph" w:styleId="Header">
    <w:name w:val="header"/>
    <w:basedOn w:val="Normal"/>
    <w:link w:val="HeaderChar"/>
    <w:rsid w:val="002B6881"/>
    <w:pPr>
      <w:tabs>
        <w:tab w:val="center" w:pos="4320"/>
        <w:tab w:val="right" w:pos="8640"/>
      </w:tabs>
    </w:pPr>
  </w:style>
  <w:style w:type="character" w:customStyle="1" w:styleId="HeaderChar">
    <w:name w:val="Header Char"/>
    <w:basedOn w:val="DefaultParagraphFont"/>
    <w:link w:val="Header"/>
    <w:rsid w:val="002B6881"/>
    <w:rPr>
      <w:rFonts w:ascii="Frutiger LT Pro 45 Light" w:hAnsi="Frutiger LT Pro 45 Light"/>
    </w:rPr>
  </w:style>
  <w:style w:type="paragraph" w:customStyle="1" w:styleId="Mabc">
    <w:name w:val="Mabc"/>
    <w:basedOn w:val="Normal"/>
    <w:autoRedefine/>
    <w:pPr>
      <w:ind w:left="851" w:hanging="284"/>
    </w:pPr>
  </w:style>
  <w:style w:type="paragraph" w:customStyle="1" w:styleId="Minutes1">
    <w:name w:val="Minutes 1"/>
    <w:basedOn w:val="Normal"/>
    <w:autoRedefine/>
    <w:pPr>
      <w:ind w:left="567" w:hanging="567"/>
    </w:pPr>
  </w:style>
  <w:style w:type="paragraph" w:customStyle="1" w:styleId="Mpara">
    <w:name w:val="Mpara"/>
    <w:basedOn w:val="Normal"/>
    <w:autoRedefine/>
    <w:pPr>
      <w:ind w:left="567"/>
    </w:pPr>
  </w:style>
  <w:style w:type="character" w:styleId="PageNumber">
    <w:name w:val="page number"/>
    <w:basedOn w:val="DefaultParagraphFont"/>
    <w:rsid w:val="00096197"/>
    <w:rPr>
      <w:rFonts w:ascii="Arial" w:hAnsi="Arial"/>
      <w:i/>
      <w:color w:val="auto"/>
      <w:sz w:val="16"/>
    </w:rPr>
  </w:style>
  <w:style w:type="paragraph" w:styleId="Subtitle">
    <w:name w:val="Subtitle"/>
    <w:basedOn w:val="Normal"/>
    <w:next w:val="Normal"/>
    <w:autoRedefine/>
    <w:qFormat/>
    <w:rsid w:val="00096197"/>
    <w:pPr>
      <w:spacing w:line="240" w:lineRule="auto"/>
    </w:pPr>
    <w:rPr>
      <w:sz w:val="28"/>
    </w:rPr>
  </w:style>
  <w:style w:type="paragraph" w:styleId="Title">
    <w:name w:val="Title"/>
    <w:basedOn w:val="Normal"/>
    <w:next w:val="Normal"/>
    <w:autoRedefine/>
    <w:qFormat/>
    <w:rsid w:val="00096197"/>
    <w:pPr>
      <w:spacing w:line="240" w:lineRule="auto"/>
      <w:ind w:right="-23"/>
    </w:pPr>
    <w:rPr>
      <w:kern w:val="28"/>
      <w:sz w:val="36"/>
    </w:rPr>
  </w:style>
  <w:style w:type="paragraph" w:styleId="FootnoteText">
    <w:name w:val="footnote text"/>
    <w:basedOn w:val="Normal"/>
    <w:link w:val="FootnoteTextChar"/>
    <w:autoRedefine/>
    <w:rsid w:val="00445075"/>
    <w:rPr>
      <w:i/>
      <w:iCs/>
      <w:szCs w:val="24"/>
    </w:rPr>
  </w:style>
  <w:style w:type="character" w:customStyle="1" w:styleId="FootnoteTextChar">
    <w:name w:val="Footnote Text Char"/>
    <w:basedOn w:val="DefaultParagraphFont"/>
    <w:link w:val="FootnoteText"/>
    <w:rsid w:val="00445075"/>
    <w:rPr>
      <w:rFonts w:ascii="Arial" w:hAnsi="Arial"/>
      <w:i/>
      <w:iCs/>
      <w:szCs w:val="24"/>
      <w:lang w:eastAsia="en-US"/>
    </w:rPr>
  </w:style>
  <w:style w:type="character" w:styleId="FootnoteReference">
    <w:name w:val="footnote reference"/>
    <w:basedOn w:val="FootnoteTextChar"/>
    <w:rsid w:val="00096197"/>
    <w:rPr>
      <w:rFonts w:ascii="Arial" w:hAnsi="Arial"/>
      <w:i/>
      <w:iCs/>
      <w:dstrike w:val="0"/>
      <w:color w:val="auto"/>
      <w:spacing w:val="0"/>
      <w:w w:val="100"/>
      <w:kern w:val="0"/>
      <w:position w:val="0"/>
      <w:sz w:val="20"/>
      <w:szCs w:val="24"/>
      <w:u w:val="none"/>
      <w:vertAlign w:val="superscript"/>
      <w:lang w:eastAsia="en-US"/>
    </w:rPr>
  </w:style>
  <w:style w:type="paragraph" w:styleId="EndnoteText">
    <w:name w:val="endnote text"/>
    <w:basedOn w:val="Normal"/>
    <w:link w:val="EndnoteTextChar"/>
    <w:autoRedefine/>
    <w:rsid w:val="00ED294C"/>
    <w:rPr>
      <w:szCs w:val="24"/>
    </w:rPr>
  </w:style>
  <w:style w:type="character" w:customStyle="1" w:styleId="EndnoteTextChar">
    <w:name w:val="Endnote Text Char"/>
    <w:basedOn w:val="DefaultParagraphFont"/>
    <w:link w:val="EndnoteText"/>
    <w:rsid w:val="00ED294C"/>
    <w:rPr>
      <w:rFonts w:ascii="Frutiger LT Pro 45 Light" w:hAnsi="Frutiger LT Pro 45 Light"/>
      <w:szCs w:val="24"/>
    </w:rPr>
  </w:style>
  <w:style w:type="character" w:styleId="EndnoteReference">
    <w:name w:val="endnote reference"/>
    <w:basedOn w:val="DefaultParagraphFont"/>
    <w:rsid w:val="00096197"/>
    <w:rPr>
      <w:rFonts w:ascii="Arial" w:hAnsi="Arial"/>
      <w:color w:val="auto"/>
      <w:sz w:val="20"/>
      <w:u w:val="none"/>
      <w:vertAlign w:val="superscript"/>
    </w:rPr>
  </w:style>
  <w:style w:type="paragraph" w:customStyle="1" w:styleId="BasicParagraph">
    <w:name w:val="[Basic Paragraph]"/>
    <w:basedOn w:val="Normal"/>
    <w:autoRedefine/>
    <w:uiPriority w:val="99"/>
    <w:rsid w:val="00096197"/>
  </w:style>
  <w:style w:type="character" w:styleId="Hyperlink">
    <w:name w:val="Hyperlink"/>
    <w:uiPriority w:val="99"/>
    <w:unhideWhenUsed/>
    <w:rsid w:val="00CA5ECD"/>
    <w:rPr>
      <w:color w:val="0563C1"/>
      <w:u w:val="single"/>
    </w:rPr>
  </w:style>
  <w:style w:type="character" w:customStyle="1" w:styleId="ListParagraphChar">
    <w:name w:val="List Paragraph Char"/>
    <w:link w:val="ListParagraph"/>
    <w:locked/>
    <w:rsid w:val="00096197"/>
    <w:rPr>
      <w:rFonts w:ascii="Arial" w:hAnsi="Arial"/>
    </w:rPr>
  </w:style>
  <w:style w:type="paragraph" w:styleId="ListParagraph">
    <w:name w:val="List Paragraph"/>
    <w:basedOn w:val="Normal"/>
    <w:link w:val="ListParagraphChar"/>
    <w:qFormat/>
    <w:rsid w:val="00096197"/>
    <w:pPr>
      <w:suppressAutoHyphens w:val="0"/>
      <w:overflowPunct/>
      <w:autoSpaceDE/>
      <w:autoSpaceDN/>
      <w:adjustRightInd/>
      <w:spacing w:line="240" w:lineRule="auto"/>
      <w:ind w:left="720"/>
      <w:textAlignment w:val="auto"/>
    </w:pPr>
    <w:rPr>
      <w:lang w:eastAsia="en-GB"/>
    </w:rPr>
  </w:style>
  <w:style w:type="character" w:styleId="FollowedHyperlink">
    <w:name w:val="FollowedHyperlink"/>
    <w:basedOn w:val="DefaultParagraphFont"/>
    <w:rsid w:val="00022C91"/>
    <w:rPr>
      <w:color w:val="954F72" w:themeColor="followedHyperlink"/>
      <w:u w:val="single"/>
    </w:rPr>
  </w:style>
  <w:style w:type="table" w:styleId="TableGrid">
    <w:name w:val="Table Grid"/>
    <w:basedOn w:val="TableNormal"/>
    <w:rsid w:val="000961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96197"/>
    <w:pPr>
      <w:keepLines/>
      <w:suppressAutoHyphens w:val="0"/>
      <w:overflowPunct/>
      <w:autoSpaceDE/>
      <w:autoSpaceDN/>
      <w:adjustRightInd/>
      <w:spacing w:before="480" w:line="276" w:lineRule="auto"/>
      <w:textAlignment w:val="auto"/>
      <w:outlineLvl w:val="9"/>
    </w:pPr>
    <w:rPr>
      <w:rFonts w:asciiTheme="majorHAnsi" w:eastAsiaTheme="majorEastAsia" w:hAnsiTheme="majorHAnsi" w:cstheme="majorBidi"/>
      <w:bCs/>
      <w:color w:val="2E74B5" w:themeColor="accent1" w:themeShade="BF"/>
      <w:kern w:val="0"/>
      <w:sz w:val="28"/>
      <w:szCs w:val="28"/>
      <w:lang w:val="en-US"/>
    </w:rPr>
  </w:style>
  <w:style w:type="paragraph" w:styleId="TOC1">
    <w:name w:val="toc 1"/>
    <w:basedOn w:val="Normal"/>
    <w:next w:val="Normal"/>
    <w:autoRedefine/>
    <w:uiPriority w:val="39"/>
    <w:rsid w:val="00096197"/>
    <w:pPr>
      <w:spacing w:before="120"/>
    </w:pPr>
    <w:rPr>
      <w:rFonts w:asciiTheme="minorHAnsi" w:hAnsiTheme="minorHAnsi"/>
      <w:b/>
      <w:sz w:val="24"/>
      <w:szCs w:val="24"/>
    </w:rPr>
  </w:style>
  <w:style w:type="paragraph" w:styleId="BalloonText">
    <w:name w:val="Balloon Text"/>
    <w:basedOn w:val="Normal"/>
    <w:link w:val="BalloonTextChar"/>
    <w:rsid w:val="00096197"/>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rsid w:val="00096197"/>
    <w:rPr>
      <w:rFonts w:ascii="Lucida Grande" w:hAnsi="Lucida Grande" w:cs="Lucida Grande"/>
      <w:sz w:val="18"/>
      <w:szCs w:val="18"/>
      <w:lang w:eastAsia="en-US"/>
    </w:rPr>
  </w:style>
  <w:style w:type="paragraph" w:styleId="TOC2">
    <w:name w:val="toc 2"/>
    <w:basedOn w:val="Normal"/>
    <w:next w:val="Normal"/>
    <w:autoRedefine/>
    <w:rsid w:val="00096197"/>
    <w:pPr>
      <w:ind w:left="200"/>
    </w:pPr>
    <w:rPr>
      <w:rFonts w:asciiTheme="minorHAnsi" w:hAnsiTheme="minorHAnsi"/>
      <w:b/>
      <w:sz w:val="22"/>
      <w:szCs w:val="22"/>
    </w:rPr>
  </w:style>
  <w:style w:type="paragraph" w:styleId="TOC3">
    <w:name w:val="toc 3"/>
    <w:basedOn w:val="Normal"/>
    <w:next w:val="Normal"/>
    <w:autoRedefine/>
    <w:rsid w:val="00096197"/>
    <w:pPr>
      <w:ind w:left="400"/>
    </w:pPr>
    <w:rPr>
      <w:rFonts w:asciiTheme="minorHAnsi" w:hAnsiTheme="minorHAnsi"/>
      <w:sz w:val="22"/>
      <w:szCs w:val="22"/>
    </w:rPr>
  </w:style>
  <w:style w:type="paragraph" w:styleId="TOC4">
    <w:name w:val="toc 4"/>
    <w:basedOn w:val="Normal"/>
    <w:next w:val="Normal"/>
    <w:autoRedefine/>
    <w:rsid w:val="00096197"/>
    <w:pPr>
      <w:ind w:left="600"/>
    </w:pPr>
    <w:rPr>
      <w:rFonts w:asciiTheme="minorHAnsi" w:hAnsiTheme="minorHAnsi"/>
    </w:rPr>
  </w:style>
  <w:style w:type="paragraph" w:styleId="TOC5">
    <w:name w:val="toc 5"/>
    <w:basedOn w:val="Normal"/>
    <w:next w:val="Normal"/>
    <w:autoRedefine/>
    <w:rsid w:val="00096197"/>
    <w:pPr>
      <w:ind w:left="800"/>
    </w:pPr>
    <w:rPr>
      <w:rFonts w:asciiTheme="minorHAnsi" w:hAnsiTheme="minorHAnsi"/>
    </w:rPr>
  </w:style>
  <w:style w:type="paragraph" w:styleId="TOC6">
    <w:name w:val="toc 6"/>
    <w:basedOn w:val="Normal"/>
    <w:next w:val="Normal"/>
    <w:autoRedefine/>
    <w:rsid w:val="00096197"/>
    <w:pPr>
      <w:ind w:left="1000"/>
    </w:pPr>
    <w:rPr>
      <w:rFonts w:asciiTheme="minorHAnsi" w:hAnsiTheme="minorHAnsi"/>
    </w:rPr>
  </w:style>
  <w:style w:type="paragraph" w:styleId="TOC7">
    <w:name w:val="toc 7"/>
    <w:basedOn w:val="Normal"/>
    <w:next w:val="Normal"/>
    <w:autoRedefine/>
    <w:rsid w:val="00096197"/>
    <w:pPr>
      <w:ind w:left="1200"/>
    </w:pPr>
    <w:rPr>
      <w:rFonts w:asciiTheme="minorHAnsi" w:hAnsiTheme="minorHAnsi"/>
    </w:rPr>
  </w:style>
  <w:style w:type="paragraph" w:styleId="TOC8">
    <w:name w:val="toc 8"/>
    <w:basedOn w:val="Normal"/>
    <w:next w:val="Normal"/>
    <w:autoRedefine/>
    <w:rsid w:val="00096197"/>
    <w:pPr>
      <w:ind w:left="1400"/>
    </w:pPr>
    <w:rPr>
      <w:rFonts w:asciiTheme="minorHAnsi" w:hAnsiTheme="minorHAnsi"/>
    </w:rPr>
  </w:style>
  <w:style w:type="paragraph" w:styleId="TOC9">
    <w:name w:val="toc 9"/>
    <w:basedOn w:val="Normal"/>
    <w:next w:val="Normal"/>
    <w:autoRedefine/>
    <w:rsid w:val="00096197"/>
    <w:pPr>
      <w:ind w:left="1600"/>
    </w:pPr>
    <w:rPr>
      <w:rFonts w:asciiTheme="minorHAnsi" w:hAnsiTheme="minorHAnsi"/>
    </w:rPr>
  </w:style>
  <w:style w:type="character" w:customStyle="1" w:styleId="UnresolvedMention1">
    <w:name w:val="Unresolved Mention1"/>
    <w:basedOn w:val="DefaultParagraphFont"/>
    <w:uiPriority w:val="99"/>
    <w:semiHidden/>
    <w:unhideWhenUsed/>
    <w:rsid w:val="00796AC5"/>
    <w:rPr>
      <w:color w:val="605E5C"/>
      <w:shd w:val="clear" w:color="auto" w:fill="E1DFDD"/>
    </w:rPr>
  </w:style>
  <w:style w:type="paragraph" w:styleId="Revision">
    <w:name w:val="Revision"/>
    <w:hidden/>
    <w:semiHidden/>
    <w:rsid w:val="00D662C0"/>
    <w:rPr>
      <w:rFonts w:ascii="Arial" w:hAnsi="Arial"/>
      <w:lang w:eastAsia="en-US"/>
    </w:rPr>
  </w:style>
  <w:style w:type="character" w:styleId="CommentReference">
    <w:name w:val="annotation reference"/>
    <w:basedOn w:val="DefaultParagraphFont"/>
    <w:semiHidden/>
    <w:unhideWhenUsed/>
    <w:rsid w:val="00D501DB"/>
    <w:rPr>
      <w:sz w:val="16"/>
      <w:szCs w:val="16"/>
    </w:rPr>
  </w:style>
  <w:style w:type="paragraph" w:styleId="CommentText">
    <w:name w:val="annotation text"/>
    <w:basedOn w:val="Normal"/>
    <w:link w:val="CommentTextChar"/>
    <w:unhideWhenUsed/>
    <w:rsid w:val="00D501DB"/>
    <w:pPr>
      <w:spacing w:line="240" w:lineRule="auto"/>
    </w:pPr>
  </w:style>
  <w:style w:type="character" w:customStyle="1" w:styleId="CommentTextChar">
    <w:name w:val="Comment Text Char"/>
    <w:basedOn w:val="DefaultParagraphFont"/>
    <w:link w:val="CommentText"/>
    <w:rsid w:val="00D501DB"/>
    <w:rPr>
      <w:rFonts w:ascii="Arial" w:hAnsi="Arial"/>
      <w:lang w:eastAsia="en-US"/>
    </w:rPr>
  </w:style>
  <w:style w:type="paragraph" w:styleId="CommentSubject">
    <w:name w:val="annotation subject"/>
    <w:basedOn w:val="CommentText"/>
    <w:next w:val="CommentText"/>
    <w:link w:val="CommentSubjectChar"/>
    <w:semiHidden/>
    <w:unhideWhenUsed/>
    <w:rsid w:val="00D501DB"/>
    <w:rPr>
      <w:b/>
      <w:bCs/>
    </w:rPr>
  </w:style>
  <w:style w:type="character" w:customStyle="1" w:styleId="CommentSubjectChar">
    <w:name w:val="Comment Subject Char"/>
    <w:basedOn w:val="CommentTextChar"/>
    <w:link w:val="CommentSubject"/>
    <w:semiHidden/>
    <w:rsid w:val="00D501DB"/>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2.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RS\Templates\RS%20Documents\Agenda.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Status xmlns="82de704f-32c6-4a01-b3ac-f897d6d90b3e" xsi:nil="true"/>
    <TaxCatchAll xmlns="fe8a5af9-564c-4975-8da5-5042c203690a"/>
    <FileTag xmlns="82de704f-32c6-4a01-b3ac-f897d6d90b3e" xsi:nil="true"/>
    <lcf76f155ced4ddcb4097134ff3c332f xmlns="82de704f-32c6-4a01-b3ac-f897d6d90b3e">
      <Terms xmlns="http://schemas.microsoft.com/office/infopath/2007/PartnerControls"/>
    </lcf76f155ced4ddcb4097134ff3c332f>
    <Dateandtime xmlns="82de704f-32c6-4a01-b3ac-f897d6d90b3e" xsi:nil="true"/>
    <Filesize xmlns="82de704f-32c6-4a01-b3ac-f897d6d90b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38F6EDF6550564BA18DB428D22C0279" ma:contentTypeVersion="23" ma:contentTypeDescription="Create a new document." ma:contentTypeScope="" ma:versionID="e5b13ea9f80e431bf497ba6017e1f01f">
  <xsd:schema xmlns:xsd="http://www.w3.org/2001/XMLSchema" xmlns:xs="http://www.w3.org/2001/XMLSchema" xmlns:p="http://schemas.microsoft.com/office/2006/metadata/properties" xmlns:ns2="82de704f-32c6-4a01-b3ac-f897d6d90b3e" xmlns:ns3="fe8a5af9-564c-4975-8da5-5042c203690a" xmlns:ns4="54b9ac78-5add-471c-9fd4-389dceb1bbd0" targetNamespace="http://schemas.microsoft.com/office/2006/metadata/properties" ma:root="true" ma:fieldsID="a2d3a118ef742f022e93960711f42f8e" ns2:_="" ns3:_="" ns4:_="">
    <xsd:import namespace="82de704f-32c6-4a01-b3ac-f897d6d90b3e"/>
    <xsd:import namespace="fe8a5af9-564c-4975-8da5-5042c203690a"/>
    <xsd:import namespace="54b9ac78-5add-471c-9fd4-389dceb1bbd0"/>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4:SharedWithUsers" minOccurs="0"/>
                <xsd:element ref="ns4: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Filesize" minOccurs="0"/>
                <xsd:element ref="ns2:Status" minOccurs="0"/>
                <xsd:element ref="ns2:Dateandtime" minOccurs="0"/>
                <xsd:element ref="ns2:FileTa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de704f-32c6-4a01-b3ac-f897d6d90b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0c94ad2-48e3-437a-bef5-ec96f0c1989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Filesize" ma:index="23" nillable="true" ma:displayName="File size" ma:decimals="0" ma:format="Dropdown" ma:internalName="Filesize" ma:percentage="FALSE">
      <xsd:simpleType>
        <xsd:restriction base="dms:Number"/>
      </xsd:simpleType>
    </xsd:element>
    <xsd:element name="Status" ma:index="24" nillable="true" ma:displayName="Status" ma:format="Dropdown" ma:indexed="true" ma:internalName="Status">
      <xsd:simpleType>
        <xsd:restriction base="dms:Choice">
          <xsd:enumeration value="Active"/>
          <xsd:enumeration value="Completed"/>
          <xsd:enumeration value="Stalled"/>
        </xsd:restriction>
      </xsd:simpleType>
    </xsd:element>
    <xsd:element name="Dateandtime" ma:index="25" nillable="true" ma:displayName="Date and time" ma:format="DateOnly" ma:internalName="Dateandtime">
      <xsd:simpleType>
        <xsd:restriction base="dms:DateTime"/>
      </xsd:simpleType>
    </xsd:element>
    <xsd:element name="FileTag" ma:index="26" nillable="true" ma:displayName="File Tag" ma:format="Dropdown" ma:internalName="FileTag">
      <xsd:simpleType>
        <xsd:restriction base="dms:Choice">
          <xsd:enumeration value="Core Doc"/>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8a5af9-564c-4975-8da5-5042c20369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2712ed4-2016-432c-8063-b788b7a0a6e6}" ma:internalName="TaxCatchAll" ma:showField="CatchAllData" ma:web="54b9ac78-5add-471c-9fd4-389dceb1bbd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b9ac78-5add-471c-9fd4-389dceb1bbd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699FBF-2ADE-412E-8B70-ABEE5E712132}">
  <ds:schemaRefs>
    <ds:schemaRef ds:uri="http://schemas.microsoft.com/office/2006/metadata/properties"/>
    <ds:schemaRef ds:uri="http://schemas.microsoft.com/office/infopath/2007/PartnerControls"/>
    <ds:schemaRef ds:uri="82de704f-32c6-4a01-b3ac-f897d6d90b3e"/>
    <ds:schemaRef ds:uri="fe8a5af9-564c-4975-8da5-5042c203690a"/>
  </ds:schemaRefs>
</ds:datastoreItem>
</file>

<file path=customXml/itemProps2.xml><?xml version="1.0" encoding="utf-8"?>
<ds:datastoreItem xmlns:ds="http://schemas.openxmlformats.org/officeDocument/2006/customXml" ds:itemID="{4259E148-3BCA-4B06-ABBF-9E8970184CC0}">
  <ds:schemaRefs>
    <ds:schemaRef ds:uri="http://schemas.microsoft.com/sharepoint/v3/contenttype/forms"/>
  </ds:schemaRefs>
</ds:datastoreItem>
</file>

<file path=customXml/itemProps3.xml><?xml version="1.0" encoding="utf-8"?>
<ds:datastoreItem xmlns:ds="http://schemas.openxmlformats.org/officeDocument/2006/customXml" ds:itemID="{7D6E005E-0045-074C-870E-BC8F293E1C65}">
  <ds:schemaRefs>
    <ds:schemaRef ds:uri="http://schemas.openxmlformats.org/officeDocument/2006/bibliography"/>
  </ds:schemaRefs>
</ds:datastoreItem>
</file>

<file path=customXml/itemProps4.xml><?xml version="1.0" encoding="utf-8"?>
<ds:datastoreItem xmlns:ds="http://schemas.openxmlformats.org/officeDocument/2006/customXml" ds:itemID="{8C0385B4-3D74-4AD5-A49A-4CD3273CC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de704f-32c6-4a01-b3ac-f897d6d90b3e"/>
    <ds:schemaRef ds:uri="fe8a5af9-564c-4975-8da5-5042c203690a"/>
    <ds:schemaRef ds:uri="54b9ac78-5add-471c-9fd4-389dceb1b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ECA0107</dc:title>
  <cp:revision>0</cp:revision>
</cp:coreProperties>
</file>