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4D0B" w:rsidRPr="00844FBF" w:rsidP="00844FBF">
      <w:pPr>
        <w:jc w:val="center"/>
        <w:rPr>
          <w:rFonts w:ascii="Calibri" w:hAnsi="Calibri" w:cs="Calibri"/>
          <w:b/>
        </w:rPr>
      </w:pPr>
      <w:r w:rsidRPr="00844FBF">
        <w:rPr>
          <w:rFonts w:ascii="Calibri" w:hAnsi="Calibri" w:cs="Calibri"/>
          <w:b/>
        </w:rPr>
        <w:t xml:space="preserve">Written evidence by </w:t>
      </w:r>
      <w:r w:rsidRPr="00844FBF">
        <w:rPr>
          <w:rFonts w:ascii="Calibri" w:hAnsi="Calibri" w:cs="Calibri"/>
          <w:b/>
        </w:rPr>
        <w:t>British Psychological Society</w:t>
      </w:r>
      <w:r w:rsidRPr="00844FBF">
        <w:rPr>
          <w:rFonts w:ascii="Calibri" w:hAnsi="Calibri" w:cs="Calibri"/>
          <w:b/>
        </w:rPr>
        <w:t xml:space="preserve"> (</w:t>
      </w:r>
      <w:r w:rsidRPr="00844FBF">
        <w:rPr>
          <w:rFonts w:ascii="Calibri" w:hAnsi="Calibri" w:cs="Calibri"/>
          <w:b/>
        </w:rPr>
        <w:t>ECA0100</w:t>
      </w:r>
      <w:r w:rsidRPr="00844FBF">
        <w:rPr>
          <w:rFonts w:ascii="Calibri" w:hAnsi="Calibri" w:cs="Calibri"/>
          <w:b/>
        </w:rPr>
        <w:t>)</w:t>
      </w:r>
    </w:p>
    <w:p w:rsidR="00844FBF" w:rsidRPr="00844FBF" w:rsidP="00844FBF">
      <w:pPr>
        <w:rPr>
          <w:rFonts w:ascii="Calibri" w:hAnsi="Calibri" w:cs="Calibri"/>
          <w:b/>
        </w:rPr>
      </w:pPr>
      <w:r w:rsidRPr="00844FBF">
        <w:rPr>
          <w:rFonts w:ascii="Calibri" w:hAnsi="Calibri" w:cs="Calibri"/>
          <w:b/>
        </w:rPr>
        <w:t>Education committee</w:t>
      </w:r>
    </w:p>
    <w:p w:rsidR="00844FBF" w:rsidRPr="00844FBF" w:rsidP="00844FBF">
      <w:pPr>
        <w:rPr>
          <w:rFonts w:ascii="Calibri" w:hAnsi="Calibri" w:cs="Calibri"/>
          <w:b/>
          <w:bCs/>
        </w:rPr>
      </w:pPr>
      <w:r w:rsidRPr="00844FBF">
        <w:rPr>
          <w:rFonts w:ascii="Calibri" w:eastAsia="Aptos" w:hAnsi="Calibri" w:cs="Calibri"/>
          <w:b/>
          <w:bCs/>
        </w:rPr>
        <w:t>Every Child Achieving and Thriving’ White Paper</w:t>
      </w:r>
    </w:p>
    <w:p w:rsidR="00844FBF" w:rsidRPr="00844FBF" w:rsidP="008727E8">
      <w:pPr>
        <w:rPr>
          <w:rFonts w:ascii="Calibri" w:hAnsi="Calibri" w:cs="Calibri"/>
        </w:rPr>
      </w:pPr>
    </w:p>
    <w:p w:rsidR="00664D0B" w:rsidRPr="00844FBF" w:rsidP="008727E8">
      <w:pPr>
        <w:rPr>
          <w:rFonts w:ascii="Calibri" w:hAnsi="Calibri" w:cs="Calibri"/>
        </w:rPr>
      </w:pPr>
      <w:r w:rsidRPr="00844FBF">
        <w:rPr>
          <w:rFonts w:ascii="Calibri" w:hAnsi="Calibri" w:cs="Calibri"/>
        </w:rPr>
        <w:t>This submission sets out the British Psychological Society’s (BPS) key recommendations to</w:t>
      </w:r>
      <w:r w:rsidRPr="00844FBF">
        <w:rPr>
          <w:rFonts w:ascii="Calibri" w:hAnsi="Calibri" w:cs="Calibri"/>
        </w:rPr>
        <w:t xml:space="preserve"> the </w:t>
      </w:r>
      <w:r w:rsidRPr="00844FBF">
        <w:rPr>
          <w:rFonts w:ascii="Calibri" w:hAnsi="Calibri" w:cs="Calibri"/>
        </w:rPr>
        <w:t>Education Committee</w:t>
      </w:r>
      <w:r w:rsidRPr="00844FBF">
        <w:rPr>
          <w:rFonts w:ascii="Calibri" w:hAnsi="Calibri" w:cs="Calibri"/>
        </w:rPr>
        <w:t>,</w:t>
      </w:r>
      <w:r w:rsidRPr="00844FBF">
        <w:rPr>
          <w:rFonts w:ascii="Calibri" w:hAnsi="Calibri" w:cs="Calibri"/>
        </w:rPr>
        <w:t xml:space="preserve"> </w:t>
      </w:r>
      <w:r w:rsidRPr="00844FBF">
        <w:rPr>
          <w:rFonts w:ascii="Calibri" w:hAnsi="Calibri" w:cs="Calibri"/>
        </w:rPr>
        <w:t>in response to</w:t>
      </w:r>
      <w:r w:rsidRPr="00844FBF">
        <w:rPr>
          <w:rFonts w:ascii="Calibri" w:hAnsi="Calibri" w:cs="Calibri"/>
        </w:rPr>
        <w:t xml:space="preserve"> their </w:t>
      </w:r>
      <w:r w:rsidRPr="00844FBF">
        <w:rPr>
          <w:rFonts w:ascii="Calibri" w:hAnsi="Calibri" w:cs="Calibri"/>
        </w:rPr>
        <w:t>inquiry</w:t>
      </w:r>
      <w:r w:rsidRPr="00844FBF">
        <w:rPr>
          <w:rFonts w:ascii="Calibri" w:hAnsi="Calibri" w:cs="Calibri"/>
        </w:rPr>
        <w:t xml:space="preserve"> on the </w:t>
      </w:r>
      <w:r w:rsidRPr="00844FBF">
        <w:rPr>
          <w:rFonts w:ascii="Calibri" w:hAnsi="Calibri" w:cs="Calibri"/>
        </w:rPr>
        <w:t xml:space="preserve">Government’s proposals for reform of the school system in England, as set out in the ‘Every Child Achieving and Thriving’ White Paper. </w:t>
      </w:r>
    </w:p>
    <w:p w:rsidR="00664D0B" w:rsidRPr="00844FBF" w:rsidP="008727E8">
      <w:pPr>
        <w:rPr>
          <w:rFonts w:ascii="Calibri" w:hAnsi="Calibri" w:cs="Calibri"/>
        </w:rPr>
      </w:pPr>
      <w:r w:rsidRPr="00844FBF">
        <w:rPr>
          <w:rFonts w:ascii="Calibri" w:hAnsi="Calibri" w:cs="Calibri"/>
        </w:rPr>
        <w:t xml:space="preserve">The BPS is the representative body for psychology and psychologists in the </w:t>
      </w:r>
      <w:r w:rsidRPr="00844FBF">
        <w:rPr>
          <w:rFonts w:ascii="Calibri" w:hAnsi="Calibri" w:cs="Calibri"/>
        </w:rPr>
        <w:t>UK, and</w:t>
      </w:r>
      <w:r w:rsidRPr="00844FBF">
        <w:rPr>
          <w:rFonts w:ascii="Calibri" w:hAnsi="Calibri" w:cs="Calibri"/>
        </w:rPr>
        <w:t xml:space="preserve"> is responsible for the promotion of excellence and ethical practice in the science, education, and application of the discipline.</w:t>
      </w:r>
      <w:r w:rsidRPr="00844FBF">
        <w:rPr>
          <w:rFonts w:ascii="Calibri" w:hAnsi="Calibri" w:cs="Calibri"/>
        </w:rPr>
        <w:t xml:space="preserve"> We are committed to providing and disseminating evidence-based expertise and engaging with policy and decision makers. </w:t>
      </w:r>
    </w:p>
    <w:p w:rsidR="00664D0B" w:rsidRPr="00844FBF" w:rsidP="008727E8">
      <w:pPr>
        <w:rPr>
          <w:rFonts w:ascii="Calibri" w:hAnsi="Calibri" w:cs="Calibri"/>
        </w:rPr>
      </w:pPr>
      <w:r w:rsidRPr="00844FBF">
        <w:rPr>
          <w:rFonts w:ascii="Calibri" w:hAnsi="Calibri" w:cs="Calibri"/>
        </w:rPr>
        <w:t>As a society we support and enhance the development and application of psychology for the greater public good, setting high standards for research, education, training and knowledge, and disseminating our knowledge to increase public awareness.</w:t>
      </w:r>
      <w:r w:rsidRPr="00844FBF">
        <w:rPr>
          <w:rFonts w:ascii="Calibri" w:hAnsi="Calibri" w:cs="Calibri"/>
        </w:rPr>
        <w:t xml:space="preserve"> </w:t>
      </w:r>
      <w:r w:rsidRPr="00844FBF">
        <w:rPr>
          <w:rFonts w:ascii="Calibri" w:hAnsi="Calibri" w:cs="Calibri"/>
        </w:rPr>
        <w:t>We believe psychology has a fundamental role in helping to tackle some of the most crucial policy issues we are facing in our communities.</w:t>
      </w:r>
    </w:p>
    <w:p w:rsidR="00664D0B" w:rsidRPr="00844FBF" w:rsidP="008727E8">
      <w:pPr>
        <w:rPr>
          <w:rFonts w:ascii="Calibri" w:hAnsi="Calibri" w:cs="Calibri"/>
        </w:rPr>
      </w:pPr>
    </w:p>
    <w:p w:rsidR="00664D0B" w:rsidRPr="00844FBF" w:rsidP="002D19FD">
      <w:pPr>
        <w:rPr>
          <w:rFonts w:ascii="Calibri" w:hAnsi="Calibri" w:cs="Calibri"/>
        </w:rPr>
      </w:pPr>
      <w:r w:rsidRPr="00844FBF">
        <w:rPr>
          <w:rFonts w:ascii="Calibri" w:hAnsi="Calibri" w:cs="Calibri"/>
          <w:b/>
          <w:bCs/>
          <w:u w:val="single"/>
        </w:rPr>
        <w:t xml:space="preserve">Raising attainment </w:t>
      </w:r>
    </w:p>
    <w:p w:rsidR="00664D0B" w:rsidRPr="00844FBF" w:rsidP="002D19FD">
      <w:pPr>
        <w:spacing w:line="300" w:lineRule="auto"/>
        <w:rPr>
          <w:rFonts w:ascii="Calibri" w:eastAsia="Arial" w:hAnsi="Calibri" w:cs="Calibri"/>
        </w:rPr>
      </w:pPr>
      <w:r w:rsidRPr="00844FBF">
        <w:rPr>
          <w:rFonts w:ascii="Calibri" w:eastAsia="Arial" w:hAnsi="Calibri" w:cs="Calibri"/>
        </w:rPr>
        <w:t>The British Psychological Society (BPS) welcomes the Government’s ambition to raise attainment and reduce the disadvantage gap. Psychological evidence shows that attainment is shaped by a complex interaction of factors, including socioeconomic disadvantage, mental health, and early development</w:t>
      </w:r>
      <w:r>
        <w:rPr>
          <w:rStyle w:val="EndnoteReference"/>
          <w:rFonts w:ascii="Calibri" w:eastAsia="Arial" w:hAnsi="Calibri" w:cs="Calibri"/>
        </w:rPr>
        <w:endnoteReference w:id="2"/>
      </w:r>
      <w:r w:rsidRPr="00844FBF">
        <w:rPr>
          <w:rFonts w:ascii="Calibri" w:eastAsia="Arial" w:hAnsi="Calibri" w:cs="Calibri"/>
        </w:rPr>
        <w:t>. A narrow focus on outcomes risks overlooking these drivers. To make meaningful progress, policy should prioritise early intervention, alongside improved access to educational psychologists, education mental health practitioners and school-based mental health support. Reducing the attainment gap requires a system-wide approach that recognises the cumulative nature of disadvantage.</w:t>
      </w:r>
    </w:p>
    <w:p w:rsidR="00664D0B" w:rsidRPr="00844FBF" w:rsidP="00B625B0">
      <w:pPr>
        <w:spacing w:line="300" w:lineRule="auto"/>
        <w:rPr>
          <w:rFonts w:ascii="Calibri" w:eastAsia="Arial" w:hAnsi="Calibri" w:cs="Calibri"/>
        </w:rPr>
      </w:pPr>
      <w:r w:rsidRPr="00844FBF">
        <w:rPr>
          <w:rFonts w:ascii="Calibri" w:eastAsia="Arial" w:hAnsi="Calibri" w:cs="Calibri"/>
        </w:rPr>
        <w:t>The BPS recognises the role of accountability measures such as Progress 8 and Attainment 8 in incentivising progress. However, these rely heavily on standardised assessment and do not capture the full breadth of development. They can disadvantage pupils with SEND, those experiencing adversity, or those with different developmental trajectories</w:t>
      </w:r>
      <w:r>
        <w:rPr>
          <w:rStyle w:val="EndnoteReference"/>
          <w:rFonts w:ascii="Calibri" w:eastAsia="Arial" w:hAnsi="Calibri" w:cs="Calibri"/>
        </w:rPr>
        <w:endnoteReference w:id="3"/>
      </w:r>
      <w:r w:rsidRPr="00844FBF">
        <w:rPr>
          <w:rFonts w:ascii="Calibri" w:eastAsia="Arial" w:hAnsi="Calibri" w:cs="Calibri"/>
        </w:rPr>
        <w:t>.  Accountability systems should therefore incorporate broader indicators, including wellbeing and engagement, and be used to support improvement rather than penalise schools.</w:t>
      </w:r>
    </w:p>
    <w:p w:rsidR="00664D0B" w:rsidRPr="00844FBF" w:rsidP="00B625B0">
      <w:pPr>
        <w:spacing w:line="300" w:lineRule="auto"/>
        <w:rPr>
          <w:rFonts w:ascii="Calibri" w:eastAsia="Arial" w:hAnsi="Calibri" w:cs="Calibri"/>
        </w:rPr>
      </w:pPr>
      <w:r w:rsidRPr="00844FBF">
        <w:rPr>
          <w:rFonts w:ascii="Calibri" w:eastAsia="Arial" w:hAnsi="Calibri" w:cs="Calibri"/>
        </w:rPr>
        <w:t>High-stakes accountability can also narrow the curriculum by encouraging teaching to the test and reducing time for creative and vocational subjects. However, there is value to broader systems of learning, f</w:t>
      </w:r>
      <w:r w:rsidRPr="00844FBF">
        <w:rPr>
          <w:rFonts w:ascii="Calibri" w:eastAsia="Arial" w:hAnsi="Calibri" w:cs="Calibri"/>
          <w:color w:val="000000" w:themeColor="text1"/>
        </w:rPr>
        <w:t>or example, contextualizing learning, particularly in diverse and accessible ways, can enhance motivation and relevance for learners. Furthermore, pupils naturally learn through supported play experiences and learning in nature</w:t>
      </w:r>
      <w:r>
        <w:rPr>
          <w:rStyle w:val="EndnoteReference"/>
          <w:rFonts w:ascii="Calibri" w:eastAsia="Arial" w:hAnsi="Calibri" w:cs="Calibri"/>
          <w:color w:val="000000" w:themeColor="text1"/>
        </w:rPr>
        <w:endnoteReference w:id="4"/>
      </w:r>
      <w:r w:rsidRPr="00844FBF">
        <w:rPr>
          <w:rFonts w:ascii="Calibri" w:eastAsia="Arial" w:hAnsi="Calibri" w:cs="Calibri"/>
          <w:color w:val="000000" w:themeColor="text1"/>
        </w:rPr>
        <w:t xml:space="preserve">. Having opportunities to move/ engage in physical activities, and learn through more creative subjects stimulates brain development, including </w:t>
      </w:r>
      <w:r w:rsidRPr="00844FBF">
        <w:rPr>
          <w:rFonts w:ascii="Calibri" w:eastAsia="Arial" w:hAnsi="Calibri" w:cs="Calibri"/>
          <w:color w:val="000000" w:themeColor="text1"/>
        </w:rPr>
        <w:t>social and emotional skills, concentration and executive functioning</w:t>
      </w:r>
      <w:r>
        <w:rPr>
          <w:rStyle w:val="EndnoteReference"/>
          <w:rFonts w:ascii="Calibri" w:eastAsia="Arial" w:hAnsi="Calibri" w:cs="Calibri"/>
          <w:color w:val="000000" w:themeColor="text1"/>
        </w:rPr>
        <w:endnoteReference w:id="5"/>
      </w:r>
      <w:r w:rsidRPr="00844FBF">
        <w:rPr>
          <w:rFonts w:ascii="Calibri" w:eastAsia="Arial" w:hAnsi="Calibri" w:cs="Calibri"/>
          <w:color w:val="000000" w:themeColor="text1"/>
        </w:rPr>
        <w:t>.  </w:t>
      </w:r>
      <w:r w:rsidRPr="00844FBF">
        <w:rPr>
          <w:rFonts w:ascii="Calibri" w:eastAsia="Arial" w:hAnsi="Calibri" w:cs="Calibri"/>
        </w:rPr>
        <w:t>Accountability reform should therefore incentivise curriculum breadth and recognise learning processes as well as outcomes, ensuring that intrinsic motivation is not undermined.</w:t>
      </w:r>
    </w:p>
    <w:p w:rsidR="00664D0B" w:rsidRPr="00844FBF" w:rsidP="002D19FD">
      <w:pPr>
        <w:spacing w:line="300" w:lineRule="auto"/>
        <w:rPr>
          <w:rFonts w:ascii="Calibri" w:eastAsia="Arial" w:hAnsi="Calibri" w:cs="Calibri"/>
        </w:rPr>
      </w:pPr>
      <w:r w:rsidRPr="00844FBF">
        <w:rPr>
          <w:rFonts w:ascii="Calibri" w:eastAsia="Arial" w:hAnsi="Calibri" w:cs="Calibri"/>
        </w:rPr>
        <w:t xml:space="preserve">The BPS supports school improvement structures such as RISE teams where they promote evidence-informed practice and collaboration. Their effectiveness will depend on including multidisciplinary expertise, particularly educational psychologists, and focusing on long-term capacity building rather than short-term performance gains. </w:t>
      </w:r>
    </w:p>
    <w:p w:rsidR="00664D0B" w:rsidRPr="00844FBF" w:rsidP="002D19FD">
      <w:pPr>
        <w:spacing w:line="300" w:lineRule="auto"/>
        <w:rPr>
          <w:rFonts w:ascii="Calibri" w:eastAsia="Arial" w:hAnsi="Calibri" w:cs="Calibri"/>
        </w:rPr>
      </w:pPr>
      <w:r w:rsidRPr="00844FBF">
        <w:rPr>
          <w:rFonts w:ascii="Calibri" w:eastAsia="Arial" w:hAnsi="Calibri" w:cs="Calibri"/>
        </w:rPr>
        <w:t>Finally, integrating essential skills is key to raising attainment and reducing the number of young people who are NEET. Social and emotional skills, executive functioning, and career adaptability underpin both academic success and transitions into employment</w:t>
      </w:r>
      <w:r>
        <w:rPr>
          <w:rStyle w:val="EndnoteReference"/>
          <w:rFonts w:ascii="Calibri" w:eastAsia="Arial" w:hAnsi="Calibri" w:cs="Calibri"/>
        </w:rPr>
        <w:endnoteReference w:id="6"/>
      </w:r>
      <w:r w:rsidRPr="00844FBF">
        <w:rPr>
          <w:rFonts w:ascii="Calibri" w:eastAsia="Arial" w:hAnsi="Calibri" w:cs="Calibri"/>
        </w:rPr>
        <w:t>. These should be embedded across the curriculum, supported by real-world learning and strong careers guidance.</w:t>
      </w:r>
    </w:p>
    <w:p w:rsidR="00664D0B" w:rsidRPr="00844FBF" w:rsidP="00295744">
      <w:pPr>
        <w:spacing w:line="300" w:lineRule="auto"/>
        <w:rPr>
          <w:rFonts w:ascii="Calibri" w:hAnsi="Calibri" w:cs="Calibri"/>
          <w:b/>
          <w:u w:val="single"/>
        </w:rPr>
      </w:pPr>
      <w:r w:rsidRPr="00844FBF">
        <w:rPr>
          <w:rFonts w:ascii="Calibri" w:hAnsi="Calibri" w:cs="Calibri"/>
          <w:b/>
          <w:u w:val="single"/>
        </w:rPr>
        <w:t xml:space="preserve">Improving attendance </w:t>
      </w:r>
    </w:p>
    <w:p w:rsidR="00664D0B" w:rsidRPr="00844FBF" w:rsidP="00295744">
      <w:pPr>
        <w:spacing w:line="300" w:lineRule="auto"/>
        <w:rPr>
          <w:rFonts w:ascii="Calibri" w:hAnsi="Calibri" w:cs="Calibri"/>
          <w:bCs/>
        </w:rPr>
      </w:pPr>
      <w:r w:rsidRPr="00844FBF">
        <w:rPr>
          <w:rFonts w:ascii="Calibri" w:hAnsi="Calibri" w:cs="Calibri"/>
          <w:bCs/>
        </w:rPr>
        <w:t>The British Psychological Society (BPS) welcomes the Government’s focus on improving school attendance and its target to reduce overall absence. Regular attendance is closely linked to attainment, wellbeing, and long-term outcomes</w:t>
      </w:r>
      <w:r>
        <w:rPr>
          <w:rStyle w:val="EndnoteReference"/>
          <w:rFonts w:ascii="Calibri" w:hAnsi="Calibri" w:cs="Calibri"/>
          <w:bCs/>
        </w:rPr>
        <w:endnoteReference w:id="7"/>
      </w:r>
      <w:r w:rsidRPr="00844FBF">
        <w:rPr>
          <w:rFonts w:ascii="Calibri" w:hAnsi="Calibri" w:cs="Calibri"/>
          <w:bCs/>
        </w:rPr>
        <w:t xml:space="preserve">. However, psychological evidence indicates that absence is rarely driven by a single factor. Instead, it reflects a complex </w:t>
      </w:r>
      <w:r w:rsidRPr="00844FBF">
        <w:rPr>
          <w:rFonts w:ascii="Calibri" w:hAnsi="Calibri" w:cs="Calibri"/>
          <w:bCs/>
        </w:rPr>
        <w:t>interaction of issues including socioeconomic disadvantage, mental health difficulties, unmet special educational needs, school climate, and family circumstances</w:t>
      </w:r>
      <w:r>
        <w:rPr>
          <w:rStyle w:val="EndnoteReference"/>
          <w:rFonts w:ascii="Calibri" w:hAnsi="Calibri" w:cs="Calibri"/>
          <w:bCs/>
        </w:rPr>
        <w:endnoteReference w:id="8"/>
      </w:r>
      <w:r w:rsidRPr="00844FBF">
        <w:rPr>
          <w:rFonts w:ascii="Calibri" w:hAnsi="Calibri" w:cs="Calibri"/>
          <w:bCs/>
        </w:rPr>
        <w:t xml:space="preserve">. </w:t>
      </w:r>
    </w:p>
    <w:p w:rsidR="00664D0B" w:rsidRPr="00844FBF" w:rsidP="00295744">
      <w:pPr>
        <w:spacing w:line="300" w:lineRule="auto"/>
        <w:rPr>
          <w:rFonts w:ascii="Calibri" w:hAnsi="Calibri" w:cs="Calibri"/>
          <w:bCs/>
        </w:rPr>
      </w:pPr>
      <w:r w:rsidRPr="00844FBF">
        <w:rPr>
          <w:rFonts w:ascii="Calibri" w:hAnsi="Calibri" w:cs="Calibri"/>
          <w:bCs/>
        </w:rPr>
        <w:t>While the White Paper’s proposals recognise some of these challenges, the BPS emphasises that effective responses must go further in addressing the psychological and contextual drivers of absence. Early identification and intervention are critical, alongside investment in mental health support, educational psychology services, and inclusive practices that ensure pupils feel safe, valued, and able to participate fully in school life.</w:t>
      </w:r>
    </w:p>
    <w:p w:rsidR="00664D0B" w:rsidRPr="00844FBF" w:rsidP="00295744">
      <w:pPr>
        <w:spacing w:line="300" w:lineRule="auto"/>
        <w:rPr>
          <w:rFonts w:ascii="Calibri" w:hAnsi="Calibri" w:cs="Calibri"/>
          <w:bCs/>
        </w:rPr>
      </w:pPr>
      <w:r w:rsidRPr="00844FBF">
        <w:rPr>
          <w:rFonts w:ascii="Calibri" w:hAnsi="Calibri" w:cs="Calibri"/>
          <w:bCs/>
        </w:rPr>
        <w:t>Attendance hubs have the potential to share effective strategies and build system-wide capacity, but their success will depend on embedding psychological expertise and adapting approaches to local contexts. Behaviour reforms must be carefully implemented to avoid punitive approaches that may exacerbate disengagement, particularly for vulnerable pupils</w:t>
      </w:r>
      <w:r>
        <w:rPr>
          <w:rStyle w:val="EndnoteReference"/>
          <w:rFonts w:ascii="Calibri" w:hAnsi="Calibri" w:cs="Calibri"/>
          <w:bCs/>
        </w:rPr>
        <w:endnoteReference w:id="9"/>
      </w:r>
      <w:r w:rsidRPr="00844FBF">
        <w:rPr>
          <w:rFonts w:ascii="Calibri" w:hAnsi="Calibri" w:cs="Calibri"/>
          <w:bCs/>
        </w:rPr>
        <w:t>. Reintegration support is especially important for those returning after prolonged absence, and should include tailored, trauma-informed approaches that address underlying barriers rather than focusing solely on compliance.</w:t>
      </w:r>
    </w:p>
    <w:p w:rsidR="00664D0B" w:rsidRPr="00844FBF" w:rsidP="00295744">
      <w:pPr>
        <w:spacing w:line="300" w:lineRule="auto"/>
        <w:rPr>
          <w:rFonts w:ascii="Calibri" w:hAnsi="Calibri" w:cs="Calibri"/>
          <w:bCs/>
        </w:rPr>
      </w:pPr>
      <w:r w:rsidRPr="00844FBF">
        <w:rPr>
          <w:rFonts w:ascii="Calibri" w:hAnsi="Calibri" w:cs="Calibri"/>
          <w:bCs/>
        </w:rPr>
        <w:t>Improving attendance must be a shared responsibility between schools, families, and local services. Schools play a key role in creating inclusive, supportive environments and fostering strong relationships with pupils and families. However, they cannot address the full range of factors influencing attendance in isolation. Families may require practical and emotional support, particularly where disadvantage or complex needs are present. Local services, including mental health, social care, and community orga</w:t>
      </w:r>
      <w:r w:rsidRPr="00844FBF">
        <w:rPr>
          <w:rFonts w:ascii="Calibri" w:hAnsi="Calibri" w:cs="Calibri"/>
          <w:bCs/>
        </w:rPr>
        <w:t>nisations, are essential partners in providing coordinated, multidisciplinary support.</w:t>
      </w:r>
    </w:p>
    <w:p w:rsidR="00664D0B" w:rsidRPr="00844FBF" w:rsidP="00295744">
      <w:pPr>
        <w:spacing w:line="300" w:lineRule="auto"/>
        <w:rPr>
          <w:rFonts w:ascii="Calibri" w:hAnsi="Calibri" w:cs="Calibri"/>
          <w:b/>
          <w:u w:val="single"/>
        </w:rPr>
      </w:pPr>
      <w:r w:rsidRPr="00844FBF">
        <w:rPr>
          <w:rFonts w:ascii="Calibri" w:hAnsi="Calibri" w:cs="Calibri"/>
          <w:b/>
          <w:u w:val="single"/>
        </w:rPr>
        <w:t>Enrichment, belonging and behaviour</w:t>
      </w:r>
    </w:p>
    <w:p w:rsidR="00664D0B" w:rsidRPr="00844FBF" w:rsidP="00295744">
      <w:pPr>
        <w:spacing w:line="300" w:lineRule="auto"/>
        <w:rPr>
          <w:rFonts w:ascii="Calibri" w:hAnsi="Calibri" w:cs="Calibri"/>
          <w:bCs/>
        </w:rPr>
      </w:pPr>
      <w:r w:rsidRPr="00844FBF">
        <w:rPr>
          <w:rFonts w:ascii="Calibri" w:hAnsi="Calibri" w:cs="Calibri"/>
          <w:bCs/>
        </w:rPr>
        <w:t>We recognise the important role that enrichment activities play in improving pupil outcomes and wellbeing. Psychological evidence demonstrates that participation in these activities supports cognitive development, social and emotional skills, and motivation, all of which are closely linked to attainment</w:t>
      </w:r>
      <w:r>
        <w:rPr>
          <w:rStyle w:val="EndnoteReference"/>
          <w:rFonts w:ascii="Calibri" w:hAnsi="Calibri" w:cs="Calibri"/>
          <w:bCs/>
        </w:rPr>
        <w:endnoteReference w:id="10"/>
      </w:r>
      <w:r w:rsidRPr="00844FBF">
        <w:rPr>
          <w:rFonts w:ascii="Calibri" w:hAnsi="Calibri" w:cs="Calibri"/>
          <w:bCs/>
        </w:rPr>
        <w:t xml:space="preserve">. Enrichment opportunities can also strengthen school engagement and provide protective factors for disadvantaged pupils. </w:t>
      </w:r>
    </w:p>
    <w:p w:rsidR="00664D0B" w:rsidRPr="00844FBF" w:rsidP="00295744">
      <w:pPr>
        <w:spacing w:line="300" w:lineRule="auto"/>
        <w:rPr>
          <w:rFonts w:ascii="Calibri" w:hAnsi="Calibri" w:cs="Calibri"/>
          <w:bCs/>
        </w:rPr>
      </w:pPr>
      <w:r w:rsidRPr="00844FBF">
        <w:rPr>
          <w:rFonts w:ascii="Calibri" w:hAnsi="Calibri" w:cs="Calibri"/>
          <w:bCs/>
        </w:rPr>
        <w:t>Promoting a sense of belonging and positive relationships is fundamental to pupil wellbeing and educational success</w:t>
      </w:r>
      <w:r>
        <w:rPr>
          <w:rStyle w:val="EndnoteReference"/>
          <w:rFonts w:ascii="Calibri" w:hAnsi="Calibri" w:cs="Calibri"/>
          <w:bCs/>
        </w:rPr>
        <w:endnoteReference w:id="11"/>
      </w:r>
      <w:r w:rsidRPr="00844FBF">
        <w:rPr>
          <w:rFonts w:ascii="Calibri" w:hAnsi="Calibri" w:cs="Calibri"/>
          <w:bCs/>
        </w:rPr>
        <w:t>. Schools should prioritise inclusive environments where pupils feel safe, valued, and respected. Strong relationships with peers and staff are associated with improved engagement and reduced behavioural difficulties. Addressing bullying and discrimination requires proactive, whole-school approaches grounded in psychological evidence, including fostering empathy, promoting diversity and inclusion, and implementing consistent, supportive behaviour policies. Interventions should focus not only on responding t</w:t>
      </w:r>
      <w:r w:rsidRPr="00844FBF">
        <w:rPr>
          <w:rFonts w:ascii="Calibri" w:hAnsi="Calibri" w:cs="Calibri"/>
          <w:bCs/>
        </w:rPr>
        <w:t>o incidents but also on prevention and the development of positive school cultures.</w:t>
      </w:r>
    </w:p>
    <w:p w:rsidR="00664D0B" w:rsidRPr="00844FBF" w:rsidP="00295744">
      <w:pPr>
        <w:spacing w:line="300" w:lineRule="auto"/>
        <w:rPr>
          <w:rFonts w:ascii="Calibri" w:hAnsi="Calibri" w:cs="Calibri"/>
          <w:bCs/>
        </w:rPr>
      </w:pPr>
      <w:r w:rsidRPr="00844FBF">
        <w:rPr>
          <w:rFonts w:ascii="Calibri" w:hAnsi="Calibri" w:cs="Calibri"/>
          <w:bCs/>
        </w:rPr>
        <w:t>The proposed Pupil Engagement Framework has the potential to strengthen pupils’ sense of belonging and enjoyment of school, provided it reflects a holistic understanding of engagement. Engagement should be understood as encompassing emotional, behavioural, and cognitive dimensions, and not solely attendance or compliance. Embedding pupil voice, meaningful participation, and opportunities for autonomy will be key to its effectiveness.</w:t>
      </w:r>
    </w:p>
    <w:p w:rsidR="00664D0B" w:rsidRPr="00844FBF" w:rsidP="00295744">
      <w:pPr>
        <w:spacing w:line="300" w:lineRule="auto"/>
        <w:rPr>
          <w:rFonts w:ascii="Calibri" w:hAnsi="Calibri" w:cs="Calibri"/>
          <w:bCs/>
        </w:rPr>
      </w:pPr>
      <w:r w:rsidRPr="00844FBF">
        <w:rPr>
          <w:rFonts w:ascii="Calibri" w:hAnsi="Calibri" w:cs="Calibri"/>
          <w:bCs/>
        </w:rPr>
        <w:t>Measuring enrichment and engagement within accountability frameworks presents challenges, as these areas are not easily captured through traditional metrics. The BPS recommends the inclusion of broader indicators, such as wellbeing, school belonging, and participation, alongside qualitative measures. Care must be taken to avoid reductive or burdensome approaches that undermine the value of enrichment activities.</w:t>
      </w:r>
    </w:p>
    <w:p w:rsidR="00664D0B" w:rsidRPr="00844FBF" w:rsidP="00295744">
      <w:pPr>
        <w:spacing w:line="300" w:lineRule="auto"/>
        <w:rPr>
          <w:rFonts w:ascii="Calibri" w:hAnsi="Calibri" w:cs="Calibri"/>
          <w:bCs/>
        </w:rPr>
      </w:pPr>
      <w:r w:rsidRPr="00844FBF">
        <w:rPr>
          <w:rFonts w:ascii="Calibri" w:hAnsi="Calibri" w:cs="Calibri"/>
          <w:bCs/>
        </w:rPr>
        <w:t>In relation to behaviour, the BPS emphasises that approaches to suspension and exclusion should be used cautiously and as a last resort. Psychological research shows that exclusion can exacerbate disengagement and disproportionately affect vulnerable groups</w:t>
      </w:r>
      <w:r>
        <w:rPr>
          <w:rStyle w:val="EndnoteReference"/>
          <w:rFonts w:ascii="Calibri" w:hAnsi="Calibri" w:cs="Calibri"/>
          <w:bCs/>
        </w:rPr>
        <w:endnoteReference w:id="12"/>
      </w:r>
      <w:r w:rsidRPr="00844FBF">
        <w:rPr>
          <w:rFonts w:ascii="Calibri" w:hAnsi="Calibri" w:cs="Calibri"/>
          <w:bCs/>
        </w:rPr>
        <w:t>. Schools should instead prioritise early intervention, restorative approaches, and trauma-informed practices that address underlying causes of behaviour.</w:t>
      </w:r>
    </w:p>
    <w:p w:rsidR="00664D0B" w:rsidRPr="00844FBF" w:rsidP="007F17D8">
      <w:pPr>
        <w:spacing w:line="300" w:lineRule="auto"/>
        <w:rPr>
          <w:rFonts w:ascii="Calibri" w:hAnsi="Calibri" w:cs="Calibri"/>
          <w:b/>
          <w:u w:val="single"/>
        </w:rPr>
      </w:pPr>
      <w:r w:rsidRPr="00844FBF">
        <w:rPr>
          <w:rFonts w:ascii="Calibri" w:hAnsi="Calibri" w:cs="Calibri"/>
          <w:b/>
          <w:u w:val="single"/>
        </w:rPr>
        <w:t>Reducing disadvantage gaps</w:t>
      </w:r>
    </w:p>
    <w:p w:rsidR="00664D0B" w:rsidRPr="00844FBF" w:rsidP="007F17D8">
      <w:pPr>
        <w:spacing w:line="300" w:lineRule="auto"/>
        <w:rPr>
          <w:rFonts w:ascii="Calibri" w:hAnsi="Calibri" w:cs="Calibri"/>
          <w:bCs/>
        </w:rPr>
      </w:pPr>
      <w:r w:rsidRPr="00844FBF">
        <w:rPr>
          <w:rFonts w:ascii="Calibri" w:hAnsi="Calibri" w:cs="Calibri"/>
          <w:bCs/>
        </w:rPr>
        <w:t>Psychological evidence highlights that disadvantage is multi-dimensional and cannot be fully captured through income alone. Factors such as parental education, housing instability, adverse childhood experiences, and access to community resources also play a significant role in shaping educational outcomes</w:t>
      </w:r>
      <w:r>
        <w:rPr>
          <w:rStyle w:val="EndnoteReference"/>
          <w:rFonts w:ascii="Calibri" w:hAnsi="Calibri" w:cs="Calibri"/>
          <w:bCs/>
        </w:rPr>
        <w:endnoteReference w:id="13"/>
      </w:r>
      <w:r w:rsidRPr="00844FBF">
        <w:rPr>
          <w:rFonts w:ascii="Calibri" w:hAnsi="Calibri" w:cs="Calibri"/>
          <w:bCs/>
        </w:rPr>
        <w:t>. Funding mechanisms should therefore remain sensitive to the complexity and cumulative nature of disadvantage.</w:t>
      </w:r>
    </w:p>
    <w:p w:rsidR="00664D0B" w:rsidRPr="00844FBF" w:rsidP="007F17D8">
      <w:pPr>
        <w:spacing w:line="300" w:lineRule="auto"/>
        <w:rPr>
          <w:rFonts w:ascii="Calibri" w:hAnsi="Calibri" w:cs="Calibri"/>
          <w:bCs/>
        </w:rPr>
      </w:pPr>
      <w:r w:rsidRPr="00844FBF">
        <w:rPr>
          <w:rFonts w:ascii="Calibri" w:hAnsi="Calibri" w:cs="Calibri"/>
          <w:bCs/>
        </w:rPr>
        <w:t>The BPS strongly supports the use of evidence-based interventions and external review processes, such as pupil premium strategy reviews, to improve outcomes. Psychological research underscores the importance of implementing interventions that are grounded in robust evidence and adapted to local contexts</w:t>
      </w:r>
      <w:r>
        <w:rPr>
          <w:rStyle w:val="EndnoteReference"/>
          <w:rFonts w:ascii="Calibri" w:hAnsi="Calibri" w:cs="Calibri"/>
          <w:bCs/>
        </w:rPr>
        <w:endnoteReference w:id="14"/>
      </w:r>
      <w:r w:rsidRPr="00844FBF">
        <w:rPr>
          <w:rFonts w:ascii="Calibri" w:hAnsi="Calibri" w:cs="Calibri"/>
          <w:bCs/>
        </w:rPr>
        <w:t xml:space="preserve">. External reviews can play a valuable role in supporting schools to reflect on their </w:t>
      </w:r>
      <w:r w:rsidRPr="00844FBF">
        <w:rPr>
          <w:rFonts w:ascii="Calibri" w:hAnsi="Calibri" w:cs="Calibri"/>
          <w:bCs/>
        </w:rPr>
        <w:t>practice, identify effective strategies, and build capacity for sustained improvement. However, these processes should be developmental and supportive, rather than compliance-driven, enabling schools to engage meaningfully with evidence and adapt approaches to meet the needs of their pupils.</w:t>
      </w:r>
    </w:p>
    <w:p w:rsidR="00664D0B" w:rsidRPr="00844FBF" w:rsidP="007F17D8">
      <w:pPr>
        <w:spacing w:line="300" w:lineRule="auto"/>
        <w:rPr>
          <w:rFonts w:ascii="Calibri" w:hAnsi="Calibri" w:cs="Calibri"/>
          <w:bCs/>
        </w:rPr>
      </w:pPr>
      <w:r w:rsidRPr="00844FBF">
        <w:rPr>
          <w:rFonts w:ascii="Calibri" w:hAnsi="Calibri" w:cs="Calibri"/>
          <w:bCs/>
        </w:rPr>
        <w:t>The Government’s proposed place-based approaches, including Mission North-East and Mission Coastal, are welcome in recognising that disadvantage is geographically concentrated and context-specific. Targeted efforts to improve outcomes for white working-class children and those in coastal communities reflect important patterns of inequality</w:t>
      </w:r>
      <w:r>
        <w:rPr>
          <w:rStyle w:val="EndnoteReference"/>
          <w:rFonts w:ascii="Calibri" w:hAnsi="Calibri" w:cs="Calibri"/>
          <w:bCs/>
        </w:rPr>
        <w:endnoteReference w:id="15"/>
      </w:r>
      <w:r w:rsidRPr="00844FBF">
        <w:rPr>
          <w:rFonts w:ascii="Calibri" w:hAnsi="Calibri" w:cs="Calibri"/>
          <w:bCs/>
        </w:rPr>
        <w:t>. However, the BPS emphasises that these initiatives must avoid overly narrow categorisations and instead adopt an inclusive, evidence-informed understanding of disadvantage. Effective place-based approaches should address the broader social, economic, and psychological factors affecting communities, and involve collaboration between schools, families, local authorities, and community services.</w:t>
      </w:r>
    </w:p>
    <w:sectPr>
      <w:headerReference w:type="default" r:id="rId9"/>
      <w:footerReference w:type="default" r:id="rId10"/>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64D0B" w:rsidP="008727E8">
      <w:pPr>
        <w:spacing w:after="0" w:line="240" w:lineRule="auto"/>
      </w:pPr>
      <w:r>
        <w:separator/>
      </w:r>
    </w:p>
  </w:endnote>
  <w:endnote w:type="continuationSeparator" w:id="1">
    <w:p w:rsidR="00664D0B" w:rsidP="008727E8">
      <w:pPr>
        <w:spacing w:after="0" w:line="240" w:lineRule="auto"/>
      </w:pPr>
      <w:r>
        <w:continuationSeparator/>
      </w:r>
    </w:p>
  </w:endnote>
  <w:endnote w:id="2">
    <w:p w:rsidR="00664D0B">
      <w:pPr>
        <w:pStyle w:val="EndnoteText"/>
      </w:pPr>
      <w:r>
        <w:rPr>
          <w:rStyle w:val="EndnoteReference"/>
        </w:rPr>
        <w:endnoteRef/>
      </w:r>
      <w:r>
        <w:t xml:space="preserve"> Curriculum and Assessment Review (2025) </w:t>
      </w:r>
      <w:r>
        <w:fldChar w:fldCharType="begin"/>
      </w:r>
      <w:r>
        <w:instrText xml:space="preserve"> HYPERLINK "https://assets.publishing.service.gov.uk/media/690b96bbc22e4ed8b051854d/Curriculum_and_Assessment_Review_final_report_-_Building_a_world-class_curriculum_for_all.pdf" </w:instrText>
      </w:r>
      <w:r>
        <w:fldChar w:fldCharType="separate"/>
      </w:r>
      <w:r w:rsidRPr="59D6F207">
        <w:rPr>
          <w:rStyle w:val="Hyperlink"/>
        </w:rPr>
        <w:t>Curriculum and Assessment Review final report: Building a world-class curriculum for all</w:t>
      </w:r>
      <w:r>
        <w:fldChar w:fldCharType="end"/>
      </w:r>
    </w:p>
  </w:endnote>
  <w:endnote w:id="3">
    <w:p w:rsidR="00664D0B">
      <w:pPr>
        <w:pStyle w:val="EndnoteText"/>
      </w:pPr>
      <w:r>
        <w:rPr>
          <w:rStyle w:val="EndnoteReference"/>
        </w:rPr>
        <w:endnoteRef/>
      </w:r>
      <w:r>
        <w:t xml:space="preserve"> Curriculum and Assessment Review (2025)</w:t>
      </w:r>
      <w:r>
        <w:t>.</w:t>
      </w:r>
      <w:r>
        <w:t xml:space="preserve"> </w:t>
      </w:r>
      <w:r>
        <w:fldChar w:fldCharType="begin"/>
      </w:r>
      <w:r>
        <w:instrText xml:space="preserve"> HYPERLINK "https://assets.publishing.service.gov.uk/media/690b96bbc22e4ed8b051854d/Curriculum_and_Assessment_Review_final_report_-_Building_a_world-class_curriculum_for_all.pdf" </w:instrText>
      </w:r>
      <w:r>
        <w:fldChar w:fldCharType="separate"/>
      </w:r>
      <w:r w:rsidRPr="59D6F207">
        <w:rPr>
          <w:rStyle w:val="Hyperlink"/>
        </w:rPr>
        <w:t>Curriculum and Assessment Review final report: Building a world-class curriculum for all</w:t>
      </w:r>
      <w:r>
        <w:fldChar w:fldCharType="end"/>
      </w:r>
      <w:r>
        <w:t>.</w:t>
      </w:r>
    </w:p>
  </w:endnote>
  <w:endnote w:id="4">
    <w:p w:rsidR="00664D0B">
      <w:pPr>
        <w:pStyle w:val="EndnoteText"/>
      </w:pPr>
      <w:r>
        <w:rPr>
          <w:rStyle w:val="EndnoteReference"/>
        </w:rPr>
        <w:endnoteRef/>
      </w:r>
      <w:r>
        <w:t xml:space="preserve"> Curriculum and Assessment review (2025)</w:t>
      </w:r>
      <w:r>
        <w:t xml:space="preserve">. </w:t>
      </w:r>
      <w:r>
        <w:fldChar w:fldCharType="begin"/>
      </w:r>
      <w:r>
        <w:instrText xml:space="preserve"> HYPERLINK "https://assets.publishing.service.gov.uk/media/690b96bbc22e4ed8b051854d/Curriculum_and_Assessment_Review_final_report_-_Building_a_world-class_curriculum_for_all.pdf" </w:instrText>
      </w:r>
      <w:r>
        <w:fldChar w:fldCharType="separate"/>
      </w:r>
      <w:r w:rsidRPr="59D6F207">
        <w:rPr>
          <w:rStyle w:val="Hyperlink"/>
        </w:rPr>
        <w:t>Curriculum and Assessment Review final report: Building a world-class curriculum for all</w:t>
      </w:r>
      <w:r>
        <w:fldChar w:fldCharType="end"/>
      </w:r>
      <w:r>
        <w:t>.</w:t>
      </w:r>
    </w:p>
  </w:endnote>
  <w:endnote w:id="5">
    <w:p w:rsidR="00664D0B">
      <w:pPr>
        <w:pStyle w:val="EndnoteText"/>
      </w:pPr>
      <w:r>
        <w:rPr>
          <w:rStyle w:val="EndnoteReference"/>
        </w:rPr>
        <w:endnoteRef/>
      </w:r>
      <w:r>
        <w:t xml:space="preserve"> </w:t>
      </w:r>
      <w:r w:rsidRPr="59D6F207">
        <w:rPr>
          <w:rFonts w:ascii="Calibri" w:eastAsia="Calibri" w:hAnsi="Calibri" w:cs="Calibri"/>
          <w:color w:val="000000" w:themeColor="text1"/>
        </w:rPr>
        <w:t xml:space="preserve">British Psychological Society </w:t>
      </w:r>
      <w:r>
        <w:rPr>
          <w:rFonts w:ascii="Calibri" w:eastAsia="Calibri" w:hAnsi="Calibri" w:cs="Calibri"/>
          <w:color w:val="000000" w:themeColor="text1"/>
        </w:rPr>
        <w:t>(2021</w:t>
      </w:r>
      <w:r w:rsidRPr="59D6F207">
        <w:rPr>
          <w:rFonts w:ascii="Calibri" w:eastAsia="Calibri" w:hAnsi="Calibri" w:cs="Calibri"/>
          <w:color w:val="000000" w:themeColor="text1"/>
        </w:rPr>
        <w:t xml:space="preserve">). </w:t>
      </w:r>
      <w:r>
        <w:fldChar w:fldCharType="begin"/>
      </w:r>
      <w:r>
        <w:instrText xml:space="preserve"> HYPERLINK "https://cms.bps.org.uk/sites/default/files/2022-06/PP17%20Children%27s%20right%20to%20play.pdf" </w:instrText>
      </w:r>
      <w:r>
        <w:fldChar w:fldCharType="separate"/>
      </w:r>
      <w:r w:rsidRPr="59D6F207">
        <w:rPr>
          <w:rStyle w:val="Hyperlink"/>
        </w:rPr>
        <w:t>DECP position paper: Children’s Right to Play.</w:t>
      </w:r>
      <w:r>
        <w:fldChar w:fldCharType="end"/>
      </w:r>
    </w:p>
  </w:endnote>
  <w:endnote w:id="6">
    <w:p w:rsidR="00664D0B">
      <w:pPr>
        <w:pStyle w:val="EndnoteText"/>
      </w:pPr>
      <w:r>
        <w:rPr>
          <w:rStyle w:val="EndnoteReference"/>
        </w:rPr>
        <w:endnoteRef/>
      </w:r>
      <w:r>
        <w:t xml:space="preserve"> </w:t>
      </w:r>
      <w:r w:rsidRPr="00D61B0F">
        <w:rPr>
          <w:rFonts w:eastAsiaTheme="minorEastAsia"/>
        </w:rPr>
        <w:t>Oliveira</w:t>
      </w:r>
      <w:r>
        <w:rPr>
          <w:rFonts w:eastAsiaTheme="minorEastAsia"/>
        </w:rPr>
        <w:t>,</w:t>
      </w:r>
      <w:r w:rsidRPr="00D61B0F">
        <w:rPr>
          <w:rFonts w:eastAsiaTheme="minorEastAsia"/>
        </w:rPr>
        <w:t xml:space="preserve"> Í</w:t>
      </w:r>
      <w:r>
        <w:rPr>
          <w:rFonts w:eastAsiaTheme="minorEastAsia"/>
        </w:rPr>
        <w:t>.</w:t>
      </w:r>
      <w:r w:rsidRPr="00D61B0F">
        <w:rPr>
          <w:rFonts w:eastAsiaTheme="minorEastAsia"/>
        </w:rPr>
        <w:t>M</w:t>
      </w:r>
      <w:r>
        <w:rPr>
          <w:rFonts w:eastAsiaTheme="minorEastAsia"/>
        </w:rPr>
        <w:t>., et al.</w:t>
      </w:r>
      <w:r w:rsidRPr="00D61B0F">
        <w:rPr>
          <w:rFonts w:eastAsiaTheme="minorEastAsia"/>
        </w:rPr>
        <w:t xml:space="preserve"> </w:t>
      </w:r>
      <w:r w:rsidRPr="59D6F207">
        <w:rPr>
          <w:rFonts w:eastAsiaTheme="minorEastAsia"/>
        </w:rPr>
        <w:t>(2023)</w:t>
      </w:r>
      <w:r>
        <w:rPr>
          <w:rFonts w:eastAsiaTheme="minorEastAsia"/>
        </w:rPr>
        <w:t xml:space="preserve">. </w:t>
      </w:r>
      <w:r>
        <w:fldChar w:fldCharType="begin"/>
      </w:r>
      <w:r>
        <w:instrText xml:space="preserve"> HYPERLINK "https://pmc.ncbi.nlm.nih.gov/articles/PMC10139061/" </w:instrText>
      </w:r>
      <w:r>
        <w:fldChar w:fldCharType="separate"/>
      </w:r>
      <w:r>
        <w:rPr>
          <w:rStyle w:val="Hyperlink"/>
          <w:rFonts w:eastAsiaTheme="minorEastAsia"/>
          <w:color w:val="auto"/>
        </w:rPr>
        <w:t>Social-Emotional Skills, Career Adaptability, and Agentic School Engagement of First-Year High School Students.</w:t>
      </w:r>
      <w:r>
        <w:fldChar w:fldCharType="end"/>
      </w:r>
    </w:p>
  </w:endnote>
  <w:endnote w:id="7">
    <w:p w:rsidR="00664D0B">
      <w:pPr>
        <w:pStyle w:val="EndnoteText"/>
      </w:pPr>
      <w:r>
        <w:rPr>
          <w:rStyle w:val="EndnoteReference"/>
        </w:rPr>
        <w:endnoteRef/>
      </w:r>
      <w:r>
        <w:t xml:space="preserve"> Department for Education (2026). </w:t>
      </w:r>
      <w:r>
        <w:fldChar w:fldCharType="begin"/>
      </w:r>
      <w:r>
        <w:instrText xml:space="preserve"> HYPERLINK "https://www.gov.uk/government/publications/improving-the-attendance-of-children-with-a-social-worker/attendance-why-it-matters-key-data-and-guidance" </w:instrText>
      </w:r>
      <w:r>
        <w:fldChar w:fldCharType="separate"/>
      </w:r>
      <w:r>
        <w:rPr>
          <w:rStyle w:val="Hyperlink"/>
        </w:rPr>
        <w:t>Attendance: why it matters, key data and guidance.</w:t>
      </w:r>
      <w:r>
        <w:fldChar w:fldCharType="end"/>
      </w:r>
    </w:p>
  </w:endnote>
  <w:endnote w:id="8">
    <w:p w:rsidR="00664D0B">
      <w:pPr>
        <w:pStyle w:val="EndnoteText"/>
      </w:pPr>
      <w:r>
        <w:rPr>
          <w:rStyle w:val="EndnoteReference"/>
        </w:rPr>
        <w:endnoteRef/>
      </w:r>
      <w:r>
        <w:t xml:space="preserve"> </w:t>
      </w:r>
      <w:r w:rsidRPr="0090467E">
        <w:t>Poortvliet</w:t>
      </w:r>
      <w:r>
        <w:t>, M.</w:t>
      </w:r>
      <w:r w:rsidRPr="0090467E">
        <w:t xml:space="preserve"> </w:t>
      </w:r>
      <w:r>
        <w:t>(2026)</w:t>
      </w:r>
      <w:r>
        <w:t>.</w:t>
      </w:r>
      <w:r>
        <w:t xml:space="preserve"> </w:t>
      </w:r>
      <w:r>
        <w:fldChar w:fldCharType="begin"/>
      </w:r>
      <w:r>
        <w:instrText xml:space="preserve"> HYPERLINK "https://www.sciencedirect.com/science/article/pii/S0190740925005171" </w:instrText>
      </w:r>
      <w:r>
        <w:fldChar w:fldCharType="separate"/>
      </w:r>
      <w:r>
        <w:rPr>
          <w:rStyle w:val="Hyperlink"/>
        </w:rPr>
        <w:t>The contested causes of school absence: Longitudinal findings from the UK.</w:t>
      </w:r>
      <w:r>
        <w:fldChar w:fldCharType="end"/>
      </w:r>
    </w:p>
  </w:endnote>
  <w:endnote w:id="9">
    <w:p w:rsidR="00664D0B">
      <w:pPr>
        <w:pStyle w:val="EndnoteText"/>
      </w:pPr>
      <w:r>
        <w:rPr>
          <w:rStyle w:val="EndnoteReference"/>
        </w:rPr>
        <w:endnoteRef/>
      </w:r>
      <w:r>
        <w:t xml:space="preserve"> Children and Young People’s Mental Health Coalition (2023). </w:t>
      </w:r>
      <w:r>
        <w:fldChar w:fldCharType="begin"/>
      </w:r>
      <w:r>
        <w:instrText xml:space="preserve"> HYPERLINK "https://cypmhc.org.uk/punitive-school-behaviour-policies-are-harming-childrens-mental-health-says-new-report/" </w:instrText>
      </w:r>
      <w:r>
        <w:fldChar w:fldCharType="separate"/>
      </w:r>
      <w:r>
        <w:rPr>
          <w:rStyle w:val="Hyperlink"/>
        </w:rPr>
        <w:t>Punitive school behaviour policies are harming children’s mental health says new report.</w:t>
      </w:r>
      <w:r>
        <w:fldChar w:fldCharType="end"/>
      </w:r>
    </w:p>
  </w:endnote>
  <w:endnote w:id="10">
    <w:p w:rsidR="00664D0B">
      <w:pPr>
        <w:pStyle w:val="EndnoteText"/>
      </w:pPr>
      <w:r>
        <w:rPr>
          <w:rStyle w:val="EndnoteReference"/>
        </w:rPr>
        <w:endnoteRef/>
      </w:r>
      <w:r>
        <w:t xml:space="preserve"> </w:t>
      </w:r>
      <w:r w:rsidRPr="59D6F207">
        <w:rPr>
          <w:rFonts w:ascii="Calibri" w:eastAsia="Calibri" w:hAnsi="Calibri" w:cs="Calibri"/>
          <w:color w:val="000000" w:themeColor="text1"/>
        </w:rPr>
        <w:t xml:space="preserve">British Psychological Society </w:t>
      </w:r>
      <w:r>
        <w:rPr>
          <w:rFonts w:ascii="Calibri" w:eastAsia="Calibri" w:hAnsi="Calibri" w:cs="Calibri"/>
          <w:color w:val="000000" w:themeColor="text1"/>
        </w:rPr>
        <w:t>(2021</w:t>
      </w:r>
      <w:r w:rsidRPr="59D6F207">
        <w:rPr>
          <w:rFonts w:ascii="Calibri" w:eastAsia="Calibri" w:hAnsi="Calibri" w:cs="Calibri"/>
          <w:color w:val="000000" w:themeColor="text1"/>
        </w:rPr>
        <w:t xml:space="preserve">). </w:t>
      </w:r>
      <w:r>
        <w:fldChar w:fldCharType="begin"/>
      </w:r>
      <w:r>
        <w:instrText xml:space="preserve"> HYPERLINK "https://cms.bps.org.uk/sites/default/files/2022-06/PP17%20Children%27s%20right%20to%20play.pdf" </w:instrText>
      </w:r>
      <w:r>
        <w:fldChar w:fldCharType="separate"/>
      </w:r>
      <w:r w:rsidRPr="59D6F207">
        <w:rPr>
          <w:rStyle w:val="Hyperlink"/>
        </w:rPr>
        <w:t>DECP position paper: Children’s Right to Play.</w:t>
      </w:r>
      <w:r>
        <w:fldChar w:fldCharType="end"/>
      </w:r>
    </w:p>
  </w:endnote>
  <w:endnote w:id="11">
    <w:p w:rsidR="00664D0B" w:rsidP="00B66761">
      <w:pPr>
        <w:pStyle w:val="FootnoteText"/>
      </w:pPr>
      <w:r>
        <w:rPr>
          <w:rStyle w:val="EndnoteReference"/>
        </w:rPr>
        <w:endnoteRef/>
      </w:r>
      <w:r>
        <w:t xml:space="preserve"> Belonging Matters (2024). </w:t>
      </w:r>
      <w:r>
        <w:fldChar w:fldCharType="begin"/>
      </w:r>
      <w:r>
        <w:instrText xml:space="preserve"> HYPERLINK "https://www.ncb.org.uk/sites/default/files/uploads/files/Belonging%20Matters%20Final%20Summary%20Report.pdf" </w:instrText>
      </w:r>
      <w:r>
        <w:fldChar w:fldCharType="separate"/>
      </w:r>
      <w:r w:rsidRPr="59D6F207">
        <w:rPr>
          <w:rStyle w:val="Hyperlink"/>
        </w:rPr>
        <w:t>Belonging Matters: Building schools where every child thrives</w:t>
      </w:r>
      <w:r>
        <w:fldChar w:fldCharType="end"/>
      </w:r>
    </w:p>
  </w:endnote>
  <w:endnote w:id="12">
    <w:p w:rsidR="00664D0B" w:rsidP="00774520">
      <w:pPr>
        <w:pStyle w:val="FootnoteText"/>
      </w:pPr>
      <w:r>
        <w:rPr>
          <w:rStyle w:val="EndnoteReference"/>
        </w:rPr>
        <w:endnoteRef/>
      </w:r>
      <w:r>
        <w:t xml:space="preserve"> Catch 22 (</w:t>
      </w:r>
      <w:r>
        <w:t xml:space="preserve">2024). </w:t>
      </w:r>
      <w:r>
        <w:fldChar w:fldCharType="begin"/>
      </w:r>
      <w:r>
        <w:instrText xml:space="preserve"> HYPERLINK "https://d1mdc3nx9zxju4.cloudfront.net/prod/uploads/2024/06/The-prevalence-of-school-exclusions-in-the-UK-Literature-Review-2024.pdf" </w:instrText>
      </w:r>
      <w:r>
        <w:fldChar w:fldCharType="separate"/>
      </w:r>
      <w:r w:rsidRPr="000273E3">
        <w:rPr>
          <w:rStyle w:val="Hyperlink"/>
        </w:rPr>
        <w:t>The prevalence of school exclusions in the UK, their root causes, and the importance of preventative offerings over reactive interventions</w:t>
      </w:r>
      <w:r w:rsidRPr="000273E3">
        <w:rPr>
          <w:rStyle w:val="Hyperlink"/>
        </w:rPr>
        <w:t>.</w:t>
      </w:r>
      <w:r>
        <w:fldChar w:fldCharType="end"/>
      </w:r>
      <w:r>
        <w:t xml:space="preserve"> </w:t>
      </w:r>
    </w:p>
  </w:endnote>
  <w:endnote w:id="13">
    <w:p w:rsidR="00664D0B">
      <w:pPr>
        <w:pStyle w:val="EndnoteText"/>
      </w:pPr>
      <w:r>
        <w:rPr>
          <w:rStyle w:val="EndnoteReference"/>
        </w:rPr>
        <w:endnoteRef/>
      </w:r>
      <w:r>
        <w:t xml:space="preserve"> </w:t>
      </w:r>
      <w:r w:rsidRPr="00C040C1">
        <w:t>Camacho</w:t>
      </w:r>
      <w:r>
        <w:t>,</w:t>
      </w:r>
      <w:r w:rsidRPr="00C040C1">
        <w:t xml:space="preserve"> S</w:t>
      </w:r>
      <w:r>
        <w:t>.</w:t>
      </w:r>
      <w:r w:rsidRPr="00C040C1">
        <w:t xml:space="preserve"> </w:t>
      </w:r>
      <w:r>
        <w:t xml:space="preserve">and </w:t>
      </w:r>
      <w:r w:rsidRPr="00C040C1">
        <w:t>Henderson</w:t>
      </w:r>
      <w:r>
        <w:t>,</w:t>
      </w:r>
      <w:r w:rsidRPr="00C040C1">
        <w:t xml:space="preserve"> S</w:t>
      </w:r>
      <w:r>
        <w:t>.</w:t>
      </w:r>
      <w:r w:rsidRPr="00C040C1">
        <w:t>C.</w:t>
      </w:r>
      <w:r>
        <w:t xml:space="preserve"> (2022). </w:t>
      </w:r>
      <w:r>
        <w:fldChar w:fldCharType="begin"/>
      </w:r>
      <w:r>
        <w:instrText xml:space="preserve"> HYPERLINK "https://pmc.ncbi.nlm.nih.gov/articles/PMC9518506/" </w:instrText>
      </w:r>
      <w:r>
        <w:fldChar w:fldCharType="separate"/>
      </w:r>
      <w:r w:rsidRPr="00161949">
        <w:rPr>
          <w:rStyle w:val="Hyperlink"/>
        </w:rPr>
        <w:t>The Social Determinants of Adverse Childhood Experiences: An Intersectional Analysis of Place, Access to Resources, and Compounding Effects.</w:t>
      </w:r>
      <w:r>
        <w:fldChar w:fldCharType="end"/>
      </w:r>
      <w:r>
        <w:t xml:space="preserve"> </w:t>
      </w:r>
    </w:p>
  </w:endnote>
  <w:endnote w:id="14">
    <w:p w:rsidR="00664D0B">
      <w:pPr>
        <w:pStyle w:val="EndnoteText"/>
      </w:pPr>
      <w:r>
        <w:rPr>
          <w:rStyle w:val="EndnoteReference"/>
        </w:rPr>
        <w:endnoteRef/>
      </w:r>
      <w:r>
        <w:t xml:space="preserve"> </w:t>
      </w:r>
      <w:r w:rsidRPr="0099750C">
        <w:t xml:space="preserve">National Academies of Sciences, Engineering, and Medicine; Division of Behavioral and Social Sciences and Education; Board on Children, Youth, and Families; Committee on Fostering Healthy Mental, Emotional, and Behavioral Development Among Children and Youth. </w:t>
      </w:r>
      <w:r>
        <w:t xml:space="preserve">(2019). </w:t>
      </w:r>
      <w:r>
        <w:fldChar w:fldCharType="begin"/>
      </w:r>
      <w:r>
        <w:instrText xml:space="preserve"> HYPERLINK "https://www.ncbi.nlm.nih.gov/books/NBK551850/" </w:instrText>
      </w:r>
      <w:r>
        <w:fldChar w:fldCharType="separate"/>
      </w:r>
      <w:r w:rsidRPr="00184208">
        <w:rPr>
          <w:rStyle w:val="Hyperlink"/>
        </w:rPr>
        <w:t xml:space="preserve">Fostering Healthy Mental, Emotional, and </w:t>
      </w:r>
      <w:r w:rsidRPr="00184208">
        <w:rPr>
          <w:rStyle w:val="Hyperlink"/>
        </w:rPr>
        <w:t>Behavioral</w:t>
      </w:r>
      <w:r w:rsidRPr="00184208">
        <w:rPr>
          <w:rStyle w:val="Hyperlink"/>
        </w:rPr>
        <w:t xml:space="preserve"> Development in Children and Youth: A National Agenda. </w:t>
      </w:r>
      <w:r>
        <w:fldChar w:fldCharType="end"/>
      </w:r>
      <w:r>
        <w:t xml:space="preserve"> </w:t>
      </w:r>
    </w:p>
  </w:endnote>
  <w:endnote w:id="15">
    <w:p w:rsidR="00664D0B" w:rsidP="00AE5005">
      <w:pPr>
        <w:pStyle w:val="EndnoteText"/>
      </w:pPr>
      <w:r>
        <w:rPr>
          <w:rStyle w:val="EndnoteReference"/>
        </w:rPr>
        <w:endnoteRef/>
      </w:r>
      <w:r>
        <w:t xml:space="preserve"> </w:t>
      </w:r>
      <w:r>
        <w:t>Plymouth Marjon University &amp; University of Plymouth</w:t>
      </w:r>
      <w:r w:rsidRPr="00404060">
        <w:t xml:space="preserve"> (2019)</w:t>
      </w:r>
      <w:r>
        <w:t xml:space="preserve">. </w:t>
      </w:r>
      <w:r>
        <w:fldChar w:fldCharType="begin"/>
      </w:r>
      <w:r>
        <w:instrText xml:space="preserve"> HYPERLINK "https://www.plymouth.ac.uk/rails/active_storage/blobs/proxy/BAh7BkkiC19yYWlscwY6BkVUewdJIglkYXRhBjsAVGkCSXlJIghwdXIGOwBUSSIMYmxvYl9pZAY7AEY=--8d5fa898d0ac7d1d072973e0d180311211e71ceb/Education_Isolation_Report.pdf" </w:instrText>
      </w:r>
      <w:r>
        <w:fldChar w:fldCharType="separate"/>
      </w:r>
      <w:r w:rsidRPr="00AE5005">
        <w:rPr>
          <w:rStyle w:val="Hyperlink"/>
        </w:rPr>
        <w:t xml:space="preserve">Educational Isolation: </w:t>
      </w:r>
      <w:r w:rsidRPr="00AE5005">
        <w:rPr>
          <w:rStyle w:val="Hyperlink"/>
        </w:rPr>
        <w:t>A challenge for schools in England.</w:t>
      </w:r>
      <w:r>
        <w:fldChar w:fldCharType="end"/>
      </w:r>
    </w:p>
    <w:p w:rsidR="00844FBF" w:rsidP="00AE5005">
      <w:pPr>
        <w:pStyle w:val="EndnoteText"/>
      </w:pPr>
    </w:p>
    <w:p w:rsidR="00844FBF" w:rsidP="00AE5005">
      <w:pPr>
        <w:pStyle w:val="EndnoteText"/>
      </w:pPr>
    </w:p>
    <w:p w:rsidR="00844FBF" w:rsidRPr="00844FBF" w:rsidP="00AE5005">
      <w:pPr>
        <w:pStyle w:val="EndnoteText"/>
        <w:rPr>
          <w:i/>
          <w:iCs/>
        </w:rPr>
      </w:pPr>
      <w:r w:rsidRPr="00844FBF">
        <w:rPr>
          <w:i/>
          <w:iCs/>
        </w:rPr>
        <w:t>September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750C37C7">
      <w:tblPrEx>
        <w:tblW w:w="0" w:type="auto"/>
        <w:tblLayout w:type="fixed"/>
        <w:tblLook w:val="06A0"/>
      </w:tblPrEx>
      <w:trPr>
        <w:trHeight w:val="300"/>
      </w:trPr>
      <w:tc>
        <w:tcPr>
          <w:tcW w:w="3005" w:type="dxa"/>
        </w:tcPr>
        <w:p w:rsidR="00664D0B" w:rsidP="750C37C7">
          <w:pPr>
            <w:pStyle w:val="Header"/>
            <w:ind w:left="-115"/>
          </w:pPr>
        </w:p>
      </w:tc>
      <w:tc>
        <w:tcPr>
          <w:tcW w:w="3005" w:type="dxa"/>
        </w:tcPr>
        <w:p w:rsidR="00664D0B" w:rsidP="750C37C7">
          <w:pPr>
            <w:pStyle w:val="Header"/>
            <w:jc w:val="center"/>
          </w:pPr>
        </w:p>
      </w:tc>
      <w:tc>
        <w:tcPr>
          <w:tcW w:w="3005" w:type="dxa"/>
        </w:tcPr>
        <w:p w:rsidR="00664D0B" w:rsidP="750C37C7">
          <w:pPr>
            <w:pStyle w:val="Header"/>
            <w:ind w:right="-115"/>
            <w:jc w:val="right"/>
          </w:pPr>
        </w:p>
      </w:tc>
    </w:tr>
  </w:tbl>
  <w:p w:rsidR="00664D0B" w:rsidP="750C37C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D0B" w:rsidP="001D43BA">
    <w:pPr>
      <w:pStyle w:val="Header"/>
      <w:tabs>
        <w:tab w:val="clear" w:pos="4513"/>
        <w:tab w:val="left" w:pos="6975"/>
        <w:tab w:val="clear" w:pos="902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AA3AB4"/>
    <w:multiLevelType w:val="hybridMultilevel"/>
    <w:tmpl w:val="A1944CD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42AE4807"/>
    <w:multiLevelType w:val="hybridMultilevel"/>
    <w:tmpl w:val="E428737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73960C5"/>
    <w:multiLevelType w:val="hybridMultilevel"/>
    <w:tmpl w:val="6ADC02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5D3502B1"/>
    <w:multiLevelType w:val="hybridMultilevel"/>
    <w:tmpl w:val="D78EE80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60C5270F"/>
    <w:multiLevelType w:val="hybridMultilevel"/>
    <w:tmpl w:val="3B685B9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7CB5014D"/>
    <w:multiLevelType w:val="hybridMultilevel"/>
    <w:tmpl w:val="F730A59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227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27E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727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7E8"/>
  </w:style>
  <w:style w:type="paragraph" w:styleId="Footer">
    <w:name w:val="footer"/>
    <w:basedOn w:val="Normal"/>
    <w:link w:val="FooterChar"/>
    <w:uiPriority w:val="99"/>
    <w:unhideWhenUsed/>
    <w:rsid w:val="008727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7E8"/>
  </w:style>
  <w:style w:type="paragraph" w:styleId="ListParagraph">
    <w:name w:val="List Paragraph"/>
    <w:basedOn w:val="Normal"/>
    <w:uiPriority w:val="34"/>
    <w:qFormat/>
    <w:rsid w:val="008727E8"/>
    <w:pPr>
      <w:ind w:left="720"/>
      <w:contextualSpacing/>
    </w:pPr>
  </w:style>
  <w:style w:type="paragraph" w:customStyle="1" w:styleId="paragraph">
    <w:name w:val="paragraph"/>
    <w:basedOn w:val="Normal"/>
    <w:rsid w:val="003B29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B297B"/>
  </w:style>
  <w:style w:type="character" w:customStyle="1" w:styleId="eop">
    <w:name w:val="eop"/>
    <w:basedOn w:val="DefaultParagraphFont"/>
    <w:rsid w:val="003B297B"/>
  </w:style>
  <w:style w:type="character" w:styleId="CommentReference">
    <w:name w:val="annotation reference"/>
    <w:basedOn w:val="DefaultParagraphFont"/>
    <w:uiPriority w:val="99"/>
    <w:semiHidden/>
    <w:unhideWhenUsed/>
    <w:rsid w:val="00D86165"/>
    <w:rPr>
      <w:sz w:val="16"/>
      <w:szCs w:val="16"/>
    </w:rPr>
  </w:style>
  <w:style w:type="paragraph" w:styleId="CommentText">
    <w:name w:val="annotation text"/>
    <w:basedOn w:val="Normal"/>
    <w:link w:val="CommentTextChar"/>
    <w:uiPriority w:val="99"/>
    <w:semiHidden/>
    <w:unhideWhenUsed/>
    <w:rsid w:val="00D86165"/>
    <w:pPr>
      <w:spacing w:line="240" w:lineRule="auto"/>
    </w:pPr>
    <w:rPr>
      <w:sz w:val="20"/>
      <w:szCs w:val="20"/>
    </w:rPr>
  </w:style>
  <w:style w:type="character" w:customStyle="1" w:styleId="CommentTextChar">
    <w:name w:val="Comment Text Char"/>
    <w:basedOn w:val="DefaultParagraphFont"/>
    <w:link w:val="CommentText"/>
    <w:uiPriority w:val="99"/>
    <w:semiHidden/>
    <w:rsid w:val="00D86165"/>
    <w:rPr>
      <w:sz w:val="20"/>
      <w:szCs w:val="20"/>
    </w:rPr>
  </w:style>
  <w:style w:type="paragraph" w:styleId="CommentSubject">
    <w:name w:val="annotation subject"/>
    <w:basedOn w:val="CommentText"/>
    <w:next w:val="CommentText"/>
    <w:link w:val="CommentSubjectChar"/>
    <w:uiPriority w:val="99"/>
    <w:semiHidden/>
    <w:unhideWhenUsed/>
    <w:rsid w:val="00D86165"/>
    <w:rPr>
      <w:b/>
      <w:bCs/>
    </w:rPr>
  </w:style>
  <w:style w:type="character" w:customStyle="1" w:styleId="CommentSubjectChar">
    <w:name w:val="Comment Subject Char"/>
    <w:basedOn w:val="CommentTextChar"/>
    <w:link w:val="CommentSubject"/>
    <w:uiPriority w:val="99"/>
    <w:semiHidden/>
    <w:rsid w:val="00D86165"/>
    <w:rPr>
      <w:b/>
      <w:bCs/>
      <w:sz w:val="20"/>
      <w:szCs w:val="20"/>
    </w:rPr>
  </w:style>
  <w:style w:type="paragraph" w:styleId="BalloonText">
    <w:name w:val="Balloon Text"/>
    <w:basedOn w:val="Normal"/>
    <w:link w:val="BalloonTextChar"/>
    <w:uiPriority w:val="99"/>
    <w:semiHidden/>
    <w:unhideWhenUsed/>
    <w:rsid w:val="00D86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165"/>
    <w:rPr>
      <w:rFonts w:ascii="Segoe UI" w:hAnsi="Segoe UI" w:cs="Segoe UI"/>
      <w:sz w:val="18"/>
      <w:szCs w:val="18"/>
    </w:rPr>
  </w:style>
  <w:style w:type="paragraph" w:styleId="FootnoteText">
    <w:name w:val="footnote text"/>
    <w:basedOn w:val="Normal"/>
    <w:link w:val="FootnoteTextChar"/>
    <w:uiPriority w:val="99"/>
    <w:unhideWhenUsed/>
    <w:rsid w:val="003E3F62"/>
    <w:pPr>
      <w:spacing w:after="0" w:line="240" w:lineRule="auto"/>
    </w:pPr>
    <w:rPr>
      <w:sz w:val="20"/>
      <w:szCs w:val="20"/>
    </w:rPr>
  </w:style>
  <w:style w:type="character" w:customStyle="1" w:styleId="FootnoteTextChar">
    <w:name w:val="Footnote Text Char"/>
    <w:basedOn w:val="DefaultParagraphFont"/>
    <w:link w:val="FootnoteText"/>
    <w:uiPriority w:val="99"/>
    <w:rsid w:val="003E3F62"/>
    <w:rPr>
      <w:sz w:val="20"/>
      <w:szCs w:val="20"/>
    </w:rPr>
  </w:style>
  <w:style w:type="character" w:styleId="FootnoteReference">
    <w:name w:val="footnote reference"/>
    <w:basedOn w:val="DefaultParagraphFont"/>
    <w:uiPriority w:val="99"/>
    <w:semiHidden/>
    <w:unhideWhenUsed/>
    <w:rsid w:val="003E3F62"/>
    <w:rPr>
      <w:vertAlign w:val="superscript"/>
    </w:rPr>
  </w:style>
  <w:style w:type="character" w:styleId="Hyperlink">
    <w:name w:val="Hyperlink"/>
    <w:basedOn w:val="DefaultParagraphFont"/>
    <w:uiPriority w:val="99"/>
    <w:unhideWhenUsed/>
    <w:rsid w:val="003E3F62"/>
    <w:rPr>
      <w:color w:val="0000FF"/>
      <w:u w:val="single"/>
    </w:rPr>
  </w:style>
  <w:style w:type="character" w:styleId="FollowedHyperlink">
    <w:name w:val="FollowedHyperlink"/>
    <w:basedOn w:val="DefaultParagraphFont"/>
    <w:uiPriority w:val="99"/>
    <w:semiHidden/>
    <w:unhideWhenUsed/>
    <w:rsid w:val="00A0044F"/>
    <w:rPr>
      <w:color w:val="954F72" w:themeColor="followedHyperlink"/>
      <w:u w:val="single"/>
    </w:rPr>
  </w:style>
  <w:style w:type="character" w:styleId="Emphasis">
    <w:name w:val="Emphasis"/>
    <w:basedOn w:val="DefaultParagraphFont"/>
    <w:uiPriority w:val="20"/>
    <w:qFormat/>
    <w:rsid w:val="003C630F"/>
    <w:rPr>
      <w:i/>
      <w:iCs/>
    </w:rPr>
  </w:style>
  <w:style w:type="paragraph" w:styleId="EndnoteText">
    <w:name w:val="endnote text"/>
    <w:basedOn w:val="Normal"/>
    <w:link w:val="EndnoteTextChar"/>
    <w:uiPriority w:val="99"/>
    <w:unhideWhenUsed/>
    <w:rsid w:val="00F8375C"/>
    <w:pPr>
      <w:spacing w:after="0" w:line="240" w:lineRule="auto"/>
    </w:pPr>
    <w:rPr>
      <w:sz w:val="20"/>
      <w:szCs w:val="20"/>
    </w:rPr>
  </w:style>
  <w:style w:type="character" w:customStyle="1" w:styleId="EndnoteTextChar">
    <w:name w:val="Endnote Text Char"/>
    <w:basedOn w:val="DefaultParagraphFont"/>
    <w:link w:val="EndnoteText"/>
    <w:uiPriority w:val="99"/>
    <w:rsid w:val="00F8375C"/>
    <w:rPr>
      <w:sz w:val="20"/>
      <w:szCs w:val="20"/>
    </w:rPr>
  </w:style>
  <w:style w:type="character" w:styleId="EndnoteReference">
    <w:name w:val="endnote reference"/>
    <w:basedOn w:val="DefaultParagraphFont"/>
    <w:uiPriority w:val="99"/>
    <w:semiHidden/>
    <w:unhideWhenUsed/>
    <w:rsid w:val="00F8375C"/>
    <w:rPr>
      <w:vertAlign w:val="superscript"/>
    </w:rPr>
  </w:style>
  <w:style w:type="paragraph" w:styleId="NoSpacing">
    <w:name w:val="No Spacing"/>
    <w:uiPriority w:val="1"/>
    <w:qFormat/>
    <w:rsid w:val="004545F0"/>
    <w:pPr>
      <w:spacing w:after="0" w:line="240" w:lineRule="auto"/>
    </w:pPr>
    <w:rPr>
      <w:kern w:val="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42273F"/>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422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30e95e1-3ce6-4788-b4e4-a20338da6a6e" xsi:nil="true"/>
    <lcf76f155ced4ddcb4097134ff3c332f xmlns="ee4a8439-2da1-4e31-bcc4-007faa05cc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5B60BCCF7B0941B6ECD64FD8A6F40C" ma:contentTypeVersion="15" ma:contentTypeDescription="Create a new document." ma:contentTypeScope="" ma:versionID="bf08203ccbd27c1987284fe236eb04c8">
  <xsd:schema xmlns:xsd="http://www.w3.org/2001/XMLSchema" xmlns:xs="http://www.w3.org/2001/XMLSchema" xmlns:p="http://schemas.microsoft.com/office/2006/metadata/properties" xmlns:ns2="ee4a8439-2da1-4e31-bcc4-007faa05ccd2" xmlns:ns3="10c9d708-a900-4ac5-9592-56a802dd1812" xmlns:ns4="730e95e1-3ce6-4788-b4e4-a20338da6a6e" targetNamespace="http://schemas.microsoft.com/office/2006/metadata/properties" ma:root="true" ma:fieldsID="99c4489df259ba8c0edfdbeadd034c83" ns2:_="" ns3:_="" ns4:_="">
    <xsd:import namespace="ee4a8439-2da1-4e31-bcc4-007faa05ccd2"/>
    <xsd:import namespace="10c9d708-a900-4ac5-9592-56a802dd1812"/>
    <xsd:import namespace="730e95e1-3ce6-4788-b4e4-a20338da6a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8439-2da1-4e31-bcc4-007faa05c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a71380-def9-46da-baaf-278dce84a20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c9d708-a900-4ac5-9592-56a802dd18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e95e1-3ce6-4788-b4e4-a20338da6a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634de9b-b16b-404c-8154-7f05ca809b8c}" ma:internalName="TaxCatchAll" ma:showField="CatchAllData" ma:web="10c9d708-a900-4ac5-9592-56a802dd18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99CD0F-FB7D-45FD-945A-616E9DB7C66E}">
  <ds:schemaRefs>
    <ds:schemaRef ds:uri="http://schemas.microsoft.com/sharepoint/v3/contenttype/forms"/>
  </ds:schemaRefs>
</ds:datastoreItem>
</file>

<file path=customXml/itemProps2.xml><?xml version="1.0" encoding="utf-8"?>
<ds:datastoreItem xmlns:ds="http://schemas.openxmlformats.org/officeDocument/2006/customXml" ds:itemID="{BC5EC1BA-F4E2-42E8-A2FE-01771C660A37}">
  <ds:schemaRefs>
    <ds:schemaRef ds:uri="http://schemas.openxmlformats.org/officeDocument/2006/bibliography"/>
  </ds:schemaRefs>
</ds:datastoreItem>
</file>

<file path=customXml/itemProps3.xml><?xml version="1.0" encoding="utf-8"?>
<ds:datastoreItem xmlns:ds="http://schemas.openxmlformats.org/officeDocument/2006/customXml" ds:itemID="{BA8A8293-597E-4AA7-8500-55648E58E52A}">
  <ds:schemaRefs>
    <ds:schemaRef ds:uri="http://schemas.microsoft.com/office/2006/metadata/properties"/>
    <ds:schemaRef ds:uri="http://schemas.microsoft.com/office/infopath/2007/PartnerControls"/>
    <ds:schemaRef ds:uri="730e95e1-3ce6-4788-b4e4-a20338da6a6e"/>
    <ds:schemaRef ds:uri="ee4a8439-2da1-4e31-bcc4-007faa05ccd2"/>
  </ds:schemaRefs>
</ds:datastoreItem>
</file>

<file path=customXml/itemProps4.xml><?xml version="1.0" encoding="utf-8"?>
<ds:datastoreItem xmlns:ds="http://schemas.openxmlformats.org/officeDocument/2006/customXml" ds:itemID="{FFFD9129-95B7-427D-970E-60B992E00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8439-2da1-4e31-bcc4-007faa05ccd2"/>
    <ds:schemaRef ds:uri="10c9d708-a900-4ac5-9592-56a802dd1812"/>
    <ds:schemaRef ds:uri="730e95e1-3ce6-4788-b4e4-a20338da6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f24fd18a-19b8-45b2-889c-2ab942dec795}" enabled="0" method="" siteId="{f24fd18a-19b8-45b2-889c-2ab942dec795}"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ECA0100</dc:title>
  <cp:revision>0</cp:revision>
</cp:coreProperties>
</file>