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E0E4B" w:rsidRPr="002E0E4B" w:rsidP="002E0E4B">
      <w:pPr>
        <w:spacing w:after="120"/>
        <w:jc w:val="center"/>
        <w:rPr>
          <w:rFonts w:ascii="Calibri" w:hAnsi="Calibri" w:cs="Calibri"/>
          <w:b/>
          <w:bCs/>
        </w:rPr>
      </w:pPr>
      <w:r w:rsidRPr="002E0E4B">
        <w:rPr>
          <w:rFonts w:ascii="Calibri" w:hAnsi="Calibri" w:cs="Calibri"/>
          <w:b/>
          <w:bCs/>
        </w:rPr>
        <w:t xml:space="preserve">Written evidence by </w:t>
      </w:r>
      <w:r w:rsidRPr="002E0E4B">
        <w:rPr>
          <w:rFonts w:ascii="Calibri" w:hAnsi="Calibri" w:cs="Calibri"/>
          <w:b/>
          <w:bCs/>
        </w:rPr>
        <w:t>Speech and Language UK</w:t>
      </w:r>
      <w:r w:rsidRPr="002E0E4B">
        <w:rPr>
          <w:rFonts w:ascii="Calibri" w:hAnsi="Calibri" w:cs="Calibri"/>
          <w:b/>
          <w:bCs/>
        </w:rPr>
        <w:t xml:space="preserve"> (</w:t>
      </w:r>
      <w:r w:rsidRPr="002E0E4B">
        <w:rPr>
          <w:rFonts w:ascii="Calibri" w:hAnsi="Calibri" w:cs="Calibri"/>
          <w:b/>
          <w:bCs/>
        </w:rPr>
        <w:t>ECA0098</w:t>
      </w:r>
      <w:r w:rsidRPr="002E0E4B">
        <w:rPr>
          <w:rFonts w:ascii="Calibri" w:hAnsi="Calibri" w:cs="Calibri"/>
          <w:b/>
          <w:bCs/>
        </w:rPr>
        <w:t>)</w:t>
      </w:r>
    </w:p>
    <w:p w:rsidR="002E0E4B" w:rsidRPr="002E0E4B" w:rsidP="002E0E4B">
      <w:pPr>
        <w:spacing w:after="120"/>
        <w:jc w:val="center"/>
        <w:rPr>
          <w:rFonts w:ascii="Calibri" w:hAnsi="Calibri" w:cs="Calibri"/>
          <w:b/>
          <w:bCs/>
        </w:rPr>
      </w:pPr>
    </w:p>
    <w:p w:rsidR="002E0E4B" w:rsidRPr="002E0E4B" w:rsidP="002E0E4B">
      <w:pPr>
        <w:spacing w:after="120"/>
        <w:rPr>
          <w:rFonts w:ascii="Calibri" w:hAnsi="Calibri" w:cs="Calibri"/>
          <w:b/>
          <w:bCs/>
        </w:rPr>
      </w:pPr>
      <w:r w:rsidRPr="002E0E4B">
        <w:rPr>
          <w:rFonts w:ascii="Calibri" w:hAnsi="Calibri" w:cs="Calibri"/>
          <w:b/>
          <w:bCs/>
        </w:rPr>
        <w:t>Education Committee</w:t>
      </w:r>
    </w:p>
    <w:p w:rsidR="002E0E4B" w:rsidRPr="002E0E4B" w:rsidP="002E0E4B">
      <w:pPr>
        <w:spacing w:after="120"/>
        <w:rPr>
          <w:rFonts w:ascii="Calibri" w:hAnsi="Calibri" w:cs="Calibri"/>
          <w:b/>
          <w:bCs/>
        </w:rPr>
      </w:pPr>
      <w:r w:rsidRPr="002E0E4B">
        <w:rPr>
          <w:rFonts w:ascii="Calibri" w:hAnsi="Calibri" w:cs="Calibri"/>
          <w:b/>
          <w:bCs/>
        </w:rPr>
        <w:t>Every Child Achieving and Thriving’ White Paper</w:t>
      </w:r>
    </w:p>
    <w:p w:rsidR="00384BCA" w:rsidRPr="002E0E4B" w:rsidP="002E0E4B">
      <w:pPr>
        <w:spacing w:after="120"/>
        <w:jc w:val="center"/>
        <w:rPr>
          <w:rFonts w:ascii="Calibri" w:hAnsi="Calibri" w:cs="Calibri"/>
        </w:rPr>
      </w:pPr>
      <w:r w:rsidRPr="002E0E4B">
        <w:rPr>
          <w:rFonts w:ascii="Calibri" w:hAnsi="Calibri" w:cs="Calibri"/>
        </w:rPr>
        <w:t xml:space="preserve">At Speech and Language UK, we are working to make sure every child has the skills they need to </w:t>
      </w:r>
      <w:r w:rsidRPr="002E0E4B">
        <w:rPr>
          <w:rFonts w:ascii="Calibri" w:eastAsia="Century Gothic" w:hAnsi="Calibri" w:cs="Calibri"/>
        </w:rPr>
        <w:t xml:space="preserve">shape ideas, express themselves, understand others, connect and succeed. </w:t>
      </w:r>
      <w:r w:rsidRPr="002E0E4B">
        <w:rPr>
          <w:rFonts w:ascii="Calibri" w:hAnsi="Calibri" w:cs="Calibri"/>
        </w:rPr>
        <w:t>Currently</w:t>
      </w:r>
      <w:r w:rsidRPr="002E0E4B">
        <w:rPr>
          <w:rFonts w:ascii="Calibri" w:hAnsi="Calibri" w:cs="Calibri"/>
        </w:rPr>
        <w:t>,</w:t>
      </w:r>
      <w:r w:rsidRPr="002E0E4B">
        <w:rPr>
          <w:rFonts w:ascii="Calibri" w:hAnsi="Calibri" w:cs="Calibri"/>
        </w:rPr>
        <w:t xml:space="preserve"> 2 million children and young people in the UK face challenges in talking and understanding words. These children currently wait months or years for specialist support from the NHS and make up 45% of CYPMH referrals. They are also up to 11 times more likely to be behind in core subjects at school. Getting more children the right speech and language support is critical to creating a more equal society.</w:t>
      </w:r>
    </w:p>
    <w:p w:rsidR="00384BCA" w:rsidRPr="002E0E4B" w:rsidP="00117FBA">
      <w:pPr>
        <w:spacing w:after="120"/>
        <w:rPr>
          <w:rFonts w:ascii="Calibri" w:hAnsi="Calibri" w:cs="Calibri"/>
        </w:rPr>
      </w:pPr>
      <w:r w:rsidRPr="002E0E4B">
        <w:rPr>
          <w:rFonts w:ascii="Calibri" w:hAnsi="Calibri" w:cs="Calibri"/>
        </w:rPr>
        <w:t>Last year, we directly supported 267,000 children and families by designing tools and training for nurseries and schools, running our own two schools to generate new practices and giving advice and guidance to families.</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 xml:space="preserve">We welcome the Education Committee's inquiry into the 'Every Child Achieving and Thriving' White Paper. </w:t>
      </w:r>
      <w:r w:rsidRPr="002E0E4B">
        <w:rPr>
          <w:rFonts w:ascii="Calibri" w:eastAsia="Google Sans" w:hAnsi="Calibri" w:cs="Calibri"/>
          <w:color w:val="1F1F1F"/>
        </w:rPr>
        <w:t>A</w:t>
      </w:r>
      <w:r w:rsidRPr="002E0E4B">
        <w:rPr>
          <w:rFonts w:ascii="Calibri" w:eastAsia="Google Sans" w:hAnsi="Calibri" w:cs="Calibri"/>
          <w:color w:val="1F1F1F"/>
        </w:rPr>
        <w:t>ddressing the foundational speech and language needs of</w:t>
      </w:r>
      <w:r w:rsidRPr="002E0E4B">
        <w:rPr>
          <w:rFonts w:ascii="Calibri" w:eastAsia="Google Sans" w:hAnsi="Calibri" w:cs="Calibri"/>
          <w:color w:val="1F1F1F"/>
        </w:rPr>
        <w:t xml:space="preserve"> children and young people</w:t>
      </w:r>
      <w:r w:rsidRPr="002E0E4B">
        <w:rPr>
          <w:rFonts w:ascii="Calibri" w:eastAsia="Google Sans" w:hAnsi="Calibri" w:cs="Calibri"/>
          <w:color w:val="1F1F1F"/>
        </w:rPr>
        <w:t xml:space="preserve"> is essential to the success of the broad, mainstream structural reforms proposed in this White Paper. Without a deliberate focus on </w:t>
      </w:r>
      <w:r w:rsidRPr="002E0E4B">
        <w:rPr>
          <w:rFonts w:ascii="Calibri" w:eastAsia="Google Sans" w:hAnsi="Calibri" w:cs="Calibri"/>
          <w:color w:val="1F1F1F"/>
        </w:rPr>
        <w:t xml:space="preserve">speech, language and </w:t>
      </w:r>
      <w:r w:rsidRPr="002E0E4B">
        <w:rPr>
          <w:rFonts w:ascii="Calibri" w:eastAsia="Google Sans" w:hAnsi="Calibri" w:cs="Calibri"/>
          <w:color w:val="1F1F1F"/>
        </w:rPr>
        <w:t>communication skills, the Government</w:t>
      </w:r>
      <w:r w:rsidRPr="002E0E4B">
        <w:rPr>
          <w:rFonts w:ascii="Calibri" w:eastAsia="Google Sans" w:hAnsi="Calibri" w:cs="Calibri"/>
          <w:color w:val="1F1F1F"/>
        </w:rPr>
        <w:t xml:space="preserve"> will fail to deliver on its</w:t>
      </w:r>
      <w:r w:rsidRPr="002E0E4B">
        <w:rPr>
          <w:rFonts w:ascii="Calibri" w:eastAsia="Google Sans" w:hAnsi="Calibri" w:cs="Calibri"/>
          <w:color w:val="1F1F1F"/>
        </w:rPr>
        <w:t xml:space="preserve"> ambitions </w:t>
      </w:r>
      <w:r w:rsidRPr="002E0E4B">
        <w:rPr>
          <w:rFonts w:ascii="Calibri" w:eastAsia="Google Sans" w:hAnsi="Calibri" w:cs="Calibri"/>
          <w:color w:val="1F1F1F"/>
        </w:rPr>
        <w:t>to</w:t>
      </w:r>
      <w:r w:rsidRPr="002E0E4B">
        <w:rPr>
          <w:rFonts w:ascii="Calibri" w:eastAsia="Google Sans" w:hAnsi="Calibri" w:cs="Calibri"/>
          <w:color w:val="1F1F1F"/>
        </w:rPr>
        <w:t xml:space="preserve"> rais</w:t>
      </w:r>
      <w:r w:rsidRPr="002E0E4B">
        <w:rPr>
          <w:rFonts w:ascii="Calibri" w:eastAsia="Google Sans" w:hAnsi="Calibri" w:cs="Calibri"/>
          <w:color w:val="1F1F1F"/>
        </w:rPr>
        <w:t>e</w:t>
      </w:r>
      <w:r w:rsidRPr="002E0E4B">
        <w:rPr>
          <w:rFonts w:ascii="Calibri" w:eastAsia="Google Sans" w:hAnsi="Calibri" w:cs="Calibri"/>
          <w:color w:val="1F1F1F"/>
        </w:rPr>
        <w:t xml:space="preserve"> attainment, reform behaviour policies, and </w:t>
      </w:r>
      <w:r w:rsidRPr="002E0E4B">
        <w:rPr>
          <w:rFonts w:ascii="Calibri" w:eastAsia="Google Sans" w:hAnsi="Calibri" w:cs="Calibri"/>
          <w:color w:val="1F1F1F"/>
        </w:rPr>
        <w:t>empower</w:t>
      </w:r>
      <w:r w:rsidRPr="002E0E4B">
        <w:rPr>
          <w:rFonts w:ascii="Calibri" w:eastAsia="Google Sans" w:hAnsi="Calibri" w:cs="Calibri"/>
          <w:color w:val="1F1F1F"/>
        </w:rPr>
        <w:t xml:space="preserve"> the teaching workforce.</w:t>
      </w:r>
    </w:p>
    <w:p w:rsidR="00384BCA" w:rsidRPr="002E0E4B" w:rsidP="00117FBA">
      <w:pPr>
        <w:pBdr>
          <w:top w:val="nil"/>
          <w:left w:val="nil"/>
          <w:bottom w:val="nil"/>
          <w:right w:val="nil"/>
          <w:between w:val="nil"/>
        </w:pBdr>
        <w:spacing w:after="120" w:line="275" w:lineRule="auto"/>
        <w:rPr>
          <w:rFonts w:ascii="Calibri" w:eastAsia="Google Sans" w:hAnsi="Calibri" w:cs="Calibri"/>
          <w:b/>
          <w:bCs/>
          <w:color w:val="1F1F1F"/>
        </w:rPr>
      </w:pPr>
      <w:r w:rsidRPr="002E0E4B">
        <w:rPr>
          <w:rFonts w:ascii="Calibri" w:eastAsia="Google Sans" w:hAnsi="Calibri" w:cs="Calibri"/>
          <w:b/>
          <w:bCs/>
          <w:color w:val="1F1F1F"/>
        </w:rPr>
        <w:t>Raising attainment</w:t>
      </w:r>
    </w:p>
    <w:p w:rsidR="00384BCA" w:rsidRPr="002E0E4B" w:rsidP="00117FBA">
      <w:pPr>
        <w:pBdr>
          <w:top w:val="nil"/>
          <w:left w:val="nil"/>
          <w:bottom w:val="nil"/>
          <w:right w:val="nil"/>
          <w:between w:val="nil"/>
        </w:pBdr>
        <w:spacing w:after="120" w:line="275" w:lineRule="auto"/>
        <w:rPr>
          <w:rFonts w:ascii="Calibri" w:eastAsia="Google Sans" w:hAnsi="Calibri" w:cs="Calibri"/>
          <w:i/>
          <w:iCs/>
          <w:color w:val="1F1F1F"/>
        </w:rPr>
      </w:pPr>
      <w:r w:rsidRPr="002E0E4B">
        <w:rPr>
          <w:rFonts w:ascii="Calibri" w:eastAsia="Google Sans" w:hAnsi="Calibri" w:cs="Calibri"/>
          <w:i/>
          <w:iCs/>
          <w:color w:val="1F1F1F"/>
        </w:rPr>
        <w:t>The Government’s ambition to raise attainment, including reducing the disadvantage gap.</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 xml:space="preserve">The White Paper's ambition to raise attainment cannot be realised without addressing the core </w:t>
      </w:r>
      <w:r w:rsidRPr="002E0E4B">
        <w:rPr>
          <w:rFonts w:ascii="Calibri" w:eastAsia="Google Sans" w:hAnsi="Calibri" w:cs="Calibri"/>
          <w:color w:val="1F1F1F"/>
        </w:rPr>
        <w:t>skill for</w:t>
      </w:r>
      <w:r w:rsidRPr="002E0E4B">
        <w:rPr>
          <w:rFonts w:ascii="Calibri" w:eastAsia="Google Sans" w:hAnsi="Calibri" w:cs="Calibri"/>
          <w:color w:val="1F1F1F"/>
        </w:rPr>
        <w:t xml:space="preserve"> learning: </w:t>
      </w:r>
      <w:r w:rsidRPr="002E0E4B">
        <w:rPr>
          <w:rFonts w:ascii="Calibri" w:eastAsia="Google Sans" w:hAnsi="Calibri" w:cs="Calibri"/>
          <w:color w:val="1F1F1F"/>
        </w:rPr>
        <w:t xml:space="preserve">speech and </w:t>
      </w:r>
      <w:r w:rsidRPr="002E0E4B">
        <w:rPr>
          <w:rFonts w:ascii="Calibri" w:eastAsia="Google Sans" w:hAnsi="Calibri" w:cs="Calibri"/>
          <w:color w:val="1F1F1F"/>
        </w:rPr>
        <w:t>language</w:t>
      </w:r>
      <w:r w:rsidRPr="002E0E4B">
        <w:rPr>
          <w:rFonts w:ascii="Calibri" w:eastAsia="Google Sans" w:hAnsi="Calibri" w:cs="Calibri"/>
          <w:color w:val="1F1F1F"/>
        </w:rPr>
        <w:t>.</w:t>
      </w:r>
      <w:r w:rsidRPr="002E0E4B">
        <w:rPr>
          <w:rFonts w:ascii="Calibri" w:eastAsia="Google Sans" w:hAnsi="Calibri" w:cs="Calibri"/>
          <w:color w:val="1F1F1F"/>
        </w:rPr>
        <w:t xml:space="preserve"> Children who struggle to talk and understand words are six times more likely to fall behind in English at age 11, and eleven times more likely to fall behind in mathematics</w:t>
      </w:r>
      <w:r w:rsidRPr="002E0E4B">
        <w:rPr>
          <w:rFonts w:ascii="Calibri" w:eastAsia="Google Sans" w:hAnsi="Calibri" w:cs="Calibri"/>
          <w:color w:val="444746"/>
          <w:vertAlign w:val="superscript"/>
        </w:rPr>
        <w:t>2</w:t>
      </w:r>
      <w:r w:rsidRPr="002E0E4B">
        <w:rPr>
          <w:rFonts w:ascii="Calibri" w:eastAsia="Google Sans" w:hAnsi="Calibri" w:cs="Calibri"/>
          <w:color w:val="1F1F1F"/>
        </w:rPr>
        <w:t>. Consequently, only 15% of this group ultimately achieve a grade 9-5 pass in GCSE English and Mathematics</w:t>
      </w:r>
      <w:r w:rsidRPr="002E0E4B">
        <w:rPr>
          <w:rFonts w:ascii="Calibri" w:eastAsia="Google Sans" w:hAnsi="Calibri" w:cs="Calibri"/>
          <w:color w:val="444746"/>
          <w:vertAlign w:val="superscript"/>
        </w:rPr>
        <w:t>2</w:t>
      </w:r>
      <w:r w:rsidRPr="002E0E4B">
        <w:rPr>
          <w:rFonts w:ascii="Calibri" w:eastAsia="Google Sans" w:hAnsi="Calibri" w:cs="Calibri"/>
          <w:color w:val="1F1F1F"/>
        </w:rPr>
        <w:t>.</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To genuinely raise attainment and reduce the disadvantage gap, the Department for Education must introduce a statutory tracking tool for talking and understanding words at Key Stages 1</w:t>
      </w:r>
      <w:r w:rsidRPr="002E0E4B">
        <w:rPr>
          <w:rFonts w:ascii="Calibri" w:eastAsia="Google Sans" w:hAnsi="Calibri" w:cs="Calibri"/>
          <w:color w:val="1F1F1F"/>
        </w:rPr>
        <w:t>,</w:t>
      </w:r>
      <w:r w:rsidRPr="002E0E4B">
        <w:rPr>
          <w:rFonts w:ascii="Calibri" w:eastAsia="Google Sans" w:hAnsi="Calibri" w:cs="Calibri"/>
          <w:color w:val="1F1F1F"/>
        </w:rPr>
        <w:t>2,</w:t>
      </w:r>
      <w:r w:rsidRPr="002E0E4B">
        <w:rPr>
          <w:rFonts w:ascii="Calibri" w:eastAsia="Google Sans" w:hAnsi="Calibri" w:cs="Calibri"/>
          <w:color w:val="1F1F1F"/>
        </w:rPr>
        <w:t xml:space="preserve"> and 3,</w:t>
      </w:r>
      <w:r w:rsidRPr="002E0E4B">
        <w:rPr>
          <w:rFonts w:ascii="Calibri" w:eastAsia="Google Sans" w:hAnsi="Calibri" w:cs="Calibri"/>
          <w:color w:val="1F1F1F"/>
        </w:rPr>
        <w:t xml:space="preserve"> matching the rigour currently applied to tracking literacy and numeracy</w:t>
      </w:r>
      <w:r w:rsidRPr="002E0E4B">
        <w:rPr>
          <w:rFonts w:ascii="Calibri" w:eastAsia="Google Sans" w:hAnsi="Calibri" w:cs="Calibri"/>
          <w:color w:val="444746"/>
          <w:vertAlign w:val="superscript"/>
        </w:rPr>
        <w:t>2</w:t>
      </w:r>
      <w:r w:rsidRPr="002E0E4B">
        <w:rPr>
          <w:rFonts w:ascii="Calibri" w:eastAsia="Google Sans" w:hAnsi="Calibri" w:cs="Calibri"/>
          <w:color w:val="1F1F1F"/>
        </w:rPr>
        <w:t xml:space="preserve">. Without systematically identifying these foundational gaps early in a child's academic journey, efforts to broaden the curriculum and improve secondary attainment will remain inaccessible to the </w:t>
      </w:r>
      <w:r w:rsidRPr="002E0E4B">
        <w:rPr>
          <w:rFonts w:ascii="Calibri" w:eastAsia="Google Sans" w:hAnsi="Calibri" w:cs="Calibri"/>
          <w:color w:val="1F1F1F"/>
        </w:rPr>
        <w:t>2</w:t>
      </w:r>
      <w:r w:rsidRPr="002E0E4B">
        <w:rPr>
          <w:rFonts w:ascii="Calibri" w:eastAsia="Google Sans" w:hAnsi="Calibri" w:cs="Calibri"/>
          <w:color w:val="1F1F1F"/>
        </w:rPr>
        <w:t xml:space="preserve"> million children currently struggling</w:t>
      </w:r>
      <w:r w:rsidRPr="002E0E4B">
        <w:rPr>
          <w:rFonts w:ascii="Calibri" w:eastAsia="Google Sans" w:hAnsi="Calibri" w:cs="Calibri"/>
          <w:color w:val="444746"/>
          <w:vertAlign w:val="superscript"/>
        </w:rPr>
        <w:t>2</w:t>
      </w:r>
      <w:r w:rsidRPr="002E0E4B">
        <w:rPr>
          <w:rFonts w:ascii="Calibri" w:eastAsia="Google Sans" w:hAnsi="Calibri" w:cs="Calibri"/>
          <w:color w:val="1F1F1F"/>
        </w:rPr>
        <w:t>.</w:t>
      </w:r>
    </w:p>
    <w:p w:rsidR="00384BCA" w:rsidRPr="002E0E4B" w:rsidP="00117FBA">
      <w:pPr>
        <w:pBdr>
          <w:top w:val="nil"/>
          <w:left w:val="nil"/>
          <w:bottom w:val="nil"/>
          <w:right w:val="nil"/>
          <w:between w:val="nil"/>
        </w:pBdr>
        <w:spacing w:after="120" w:line="275" w:lineRule="auto"/>
        <w:rPr>
          <w:rFonts w:ascii="Calibri" w:eastAsia="Google Sans" w:hAnsi="Calibri" w:cs="Calibri"/>
          <w:b/>
          <w:bCs/>
          <w:color w:val="1F1F1F"/>
        </w:rPr>
      </w:pPr>
      <w:r w:rsidRPr="002E0E4B">
        <w:rPr>
          <w:rFonts w:ascii="Calibri" w:eastAsia="Google Sans" w:hAnsi="Calibri" w:cs="Calibri"/>
          <w:b/>
          <w:bCs/>
          <w:color w:val="1F1F1F"/>
        </w:rPr>
        <w:t>Enrichment, belonging and behaviour</w:t>
      </w:r>
    </w:p>
    <w:p w:rsidR="00384BCA" w:rsidRPr="002E0E4B" w:rsidP="00117FBA">
      <w:pPr>
        <w:pBdr>
          <w:top w:val="nil"/>
          <w:left w:val="nil"/>
          <w:bottom w:val="nil"/>
          <w:right w:val="nil"/>
          <w:between w:val="nil"/>
        </w:pBdr>
        <w:spacing w:after="120" w:line="275" w:lineRule="auto"/>
        <w:rPr>
          <w:rFonts w:ascii="Calibri" w:eastAsia="Google Sans" w:hAnsi="Calibri" w:cs="Calibri"/>
          <w:i/>
          <w:iCs/>
          <w:color w:val="1F1F1F"/>
        </w:rPr>
      </w:pPr>
      <w:r w:rsidRPr="002E0E4B">
        <w:rPr>
          <w:rFonts w:ascii="Calibri" w:eastAsia="Google Sans" w:hAnsi="Calibri" w:cs="Calibri"/>
          <w:i/>
          <w:iCs/>
          <w:color w:val="1F1F1F"/>
        </w:rPr>
        <w:t>Measures to improve pupil behaviour, including schools' approaches to suspension and exclusion.</w:t>
      </w:r>
      <w:r w:rsidRPr="002E0E4B">
        <w:rPr>
          <w:rFonts w:ascii="Calibri" w:eastAsia="Google Sans" w:hAnsi="Calibri" w:cs="Calibri"/>
          <w:i/>
          <w:iCs/>
          <w:color w:val="1F1F1F"/>
        </w:rPr>
        <w:t xml:space="preserve"> </w:t>
      </w:r>
      <w:r w:rsidRPr="002E0E4B">
        <w:rPr>
          <w:rFonts w:ascii="Calibri" w:eastAsia="Google Sans" w:hAnsi="Calibri" w:cs="Calibri"/>
          <w:i/>
          <w:iCs/>
          <w:color w:val="1F1F1F"/>
        </w:rPr>
        <w:t>How schools can promote belonging and positive relationships.</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 xml:space="preserve">The White Paper rightly emphasises the need for safe, calm, and supportive classrooms where children feel they belong. However, current behaviour management frameworks frequently </w:t>
      </w:r>
      <w:r w:rsidRPr="002E0E4B">
        <w:rPr>
          <w:rFonts w:ascii="Calibri" w:eastAsia="Google Sans" w:hAnsi="Calibri" w:cs="Calibri"/>
          <w:color w:val="1F1F1F"/>
        </w:rPr>
        <w:t>unfairly penalise</w:t>
      </w:r>
      <w:r w:rsidRPr="002E0E4B">
        <w:rPr>
          <w:rFonts w:ascii="Calibri" w:eastAsia="Google Sans" w:hAnsi="Calibri" w:cs="Calibri"/>
          <w:color w:val="1F1F1F"/>
        </w:rPr>
        <w:t xml:space="preserve"> children with speech and language challenges. </w:t>
      </w:r>
      <w:r w:rsidRPr="002E0E4B">
        <w:rPr>
          <w:rFonts w:ascii="Calibri" w:eastAsia="Google Sans" w:hAnsi="Calibri" w:cs="Calibri"/>
          <w:color w:val="1F1F1F"/>
        </w:rPr>
        <w:t>In</w:t>
      </w:r>
      <w:r w:rsidRPr="002E0E4B">
        <w:rPr>
          <w:rFonts w:ascii="Calibri" w:eastAsia="Google Sans" w:hAnsi="Calibri" w:cs="Calibri"/>
          <w:color w:val="1F1F1F"/>
        </w:rPr>
        <w:t xml:space="preserve"> our</w:t>
      </w:r>
      <w:r w:rsidRPr="002E0E4B">
        <w:rPr>
          <w:rFonts w:ascii="Calibri" w:eastAsia="Google Sans" w:hAnsi="Calibri" w:cs="Calibri"/>
          <w:color w:val="1F1F1F"/>
        </w:rPr>
        <w:t xml:space="preserve"> </w:t>
      </w:r>
      <w:r w:rsidRPr="002E0E4B">
        <w:rPr>
          <w:rFonts w:ascii="Calibri" w:eastAsia="Google Sans" w:hAnsi="Calibri" w:cs="Calibri"/>
          <w:color w:val="1F1F1F"/>
        </w:rPr>
        <w:t>'Support not Sanctions' re</w:t>
      </w:r>
      <w:r w:rsidRPr="002E0E4B">
        <w:rPr>
          <w:rFonts w:ascii="Calibri" w:eastAsia="Google Sans" w:hAnsi="Calibri" w:cs="Calibri"/>
          <w:color w:val="1F1F1F"/>
        </w:rPr>
        <w:t>port</w:t>
      </w:r>
      <w:r w:rsidRPr="002E0E4B">
        <w:rPr>
          <w:rFonts w:ascii="Calibri" w:eastAsia="Google Sans" w:hAnsi="Calibri" w:cs="Calibri"/>
          <w:color w:val="1F1F1F"/>
        </w:rPr>
        <w:t xml:space="preserve">, we found that 78% of teachers believe children are being </w:t>
      </w:r>
      <w:r w:rsidRPr="002E0E4B">
        <w:rPr>
          <w:rFonts w:ascii="Calibri" w:eastAsia="Google Sans" w:hAnsi="Calibri" w:cs="Calibri"/>
          <w:color w:val="1F1F1F"/>
        </w:rPr>
        <w:t xml:space="preserve">sanctioned </w:t>
      </w:r>
      <w:r w:rsidRPr="002E0E4B">
        <w:rPr>
          <w:rFonts w:ascii="Calibri" w:eastAsia="Google Sans" w:hAnsi="Calibri" w:cs="Calibri"/>
          <w:color w:val="1F1F1F"/>
        </w:rPr>
        <w:t xml:space="preserve">because </w:t>
      </w:r>
      <w:r w:rsidRPr="002E0E4B">
        <w:rPr>
          <w:rFonts w:ascii="Calibri" w:eastAsia="Google Sans" w:hAnsi="Calibri" w:cs="Calibri"/>
          <w:color w:val="1F1F1F"/>
        </w:rPr>
        <w:t xml:space="preserve">of their speech and </w:t>
      </w:r>
      <w:r w:rsidRPr="002E0E4B">
        <w:rPr>
          <w:rFonts w:ascii="Calibri" w:eastAsia="Google Sans" w:hAnsi="Calibri" w:cs="Calibri"/>
          <w:color w:val="1F1F1F"/>
        </w:rPr>
        <w:t xml:space="preserve">language challenges.  </w:t>
      </w:r>
      <w:r w:rsidRPr="002E0E4B">
        <w:rPr>
          <w:rFonts w:ascii="Calibri" w:eastAsia="Google Sans" w:hAnsi="Calibri" w:cs="Calibri"/>
          <w:color w:val="1F1F1F"/>
        </w:rPr>
        <w:t xml:space="preserve"> </w:t>
      </w:r>
      <w:r w:rsidRPr="002E0E4B">
        <w:rPr>
          <w:rFonts w:ascii="Calibri" w:eastAsia="Google Sans" w:hAnsi="Calibri" w:cs="Calibri"/>
          <w:color w:val="1F1F1F"/>
        </w:rPr>
        <w:t>T</w:t>
      </w:r>
      <w:r w:rsidRPr="002E0E4B">
        <w:rPr>
          <w:rFonts w:ascii="Calibri" w:eastAsia="Google Sans" w:hAnsi="Calibri" w:cs="Calibri"/>
          <w:color w:val="1F1F1F"/>
        </w:rPr>
        <w:t>he</w:t>
      </w:r>
      <w:r w:rsidRPr="002E0E4B">
        <w:rPr>
          <w:rFonts w:ascii="Calibri" w:eastAsia="Google Sans" w:hAnsi="Calibri" w:cs="Calibri"/>
          <w:color w:val="1F1F1F"/>
        </w:rPr>
        <w:t xml:space="preserve">y are </w:t>
      </w:r>
      <w:r w:rsidRPr="002E0E4B">
        <w:rPr>
          <w:rFonts w:ascii="Calibri" w:eastAsia="Google Sans" w:hAnsi="Calibri" w:cs="Calibri"/>
          <w:color w:val="1F1F1F"/>
        </w:rPr>
        <w:t>in danger of being</w:t>
      </w:r>
      <w:r w:rsidRPr="002E0E4B">
        <w:rPr>
          <w:rFonts w:ascii="Calibri" w:eastAsia="Google Sans" w:hAnsi="Calibri" w:cs="Calibri"/>
          <w:color w:val="1F1F1F"/>
        </w:rPr>
        <w:t xml:space="preserve"> </w:t>
      </w:r>
      <w:r w:rsidRPr="002E0E4B">
        <w:rPr>
          <w:rFonts w:ascii="Calibri" w:eastAsia="Google Sans" w:hAnsi="Calibri" w:cs="Calibri"/>
          <w:color w:val="1F1F1F"/>
        </w:rPr>
        <w:t>misidentified as defian</w:t>
      </w:r>
      <w:r w:rsidRPr="002E0E4B">
        <w:rPr>
          <w:rFonts w:ascii="Calibri" w:eastAsia="Google Sans" w:hAnsi="Calibri" w:cs="Calibri"/>
          <w:color w:val="1F1F1F"/>
        </w:rPr>
        <w:t>t</w:t>
      </w:r>
      <w:r w:rsidRPr="002E0E4B">
        <w:rPr>
          <w:rFonts w:ascii="Calibri" w:eastAsia="Google Sans" w:hAnsi="Calibri" w:cs="Calibri"/>
          <w:color w:val="1F1F1F"/>
        </w:rPr>
        <w:t>, laz</w:t>
      </w:r>
      <w:r w:rsidRPr="002E0E4B">
        <w:rPr>
          <w:rFonts w:ascii="Calibri" w:eastAsia="Google Sans" w:hAnsi="Calibri" w:cs="Calibri"/>
          <w:color w:val="1F1F1F"/>
        </w:rPr>
        <w:t>y</w:t>
      </w:r>
      <w:r w:rsidRPr="002E0E4B">
        <w:rPr>
          <w:rFonts w:ascii="Calibri" w:eastAsia="Google Sans" w:hAnsi="Calibri" w:cs="Calibri"/>
          <w:color w:val="1F1F1F"/>
        </w:rPr>
        <w:t>, or poor</w:t>
      </w:r>
      <w:r w:rsidRPr="002E0E4B">
        <w:rPr>
          <w:rFonts w:ascii="Calibri" w:eastAsia="Google Sans" w:hAnsi="Calibri" w:cs="Calibri"/>
          <w:color w:val="1F1F1F"/>
        </w:rPr>
        <w:t xml:space="preserve">ly </w:t>
      </w:r>
      <w:r w:rsidRPr="002E0E4B">
        <w:rPr>
          <w:rFonts w:ascii="Calibri" w:eastAsia="Google Sans" w:hAnsi="Calibri" w:cs="Calibri"/>
          <w:color w:val="1F1F1F"/>
        </w:rPr>
        <w:t>behav</w:t>
      </w:r>
      <w:r w:rsidRPr="002E0E4B">
        <w:rPr>
          <w:rFonts w:ascii="Calibri" w:eastAsia="Google Sans" w:hAnsi="Calibri" w:cs="Calibri"/>
          <w:color w:val="1F1F1F"/>
        </w:rPr>
        <w:t>ed</w:t>
      </w:r>
      <w:r w:rsidRPr="002E0E4B">
        <w:rPr>
          <w:rFonts w:ascii="Calibri" w:eastAsia="Google Sans" w:hAnsi="Calibri" w:cs="Calibri"/>
          <w:color w:val="444746"/>
          <w:vertAlign w:val="superscript"/>
        </w:rPr>
        <w:t>3</w:t>
      </w:r>
      <w:r w:rsidRPr="002E0E4B">
        <w:rPr>
          <w:rFonts w:ascii="Calibri" w:eastAsia="Google Sans" w:hAnsi="Calibri" w:cs="Calibri"/>
          <w:color w:val="1F1F1F"/>
        </w:rPr>
        <w:t>.</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When children struggle to process multi-step instructions or articulate their frustrations, they often retreat into silence, become angry, or refuse to attend school altogether</w:t>
      </w:r>
      <w:r w:rsidRPr="002E0E4B">
        <w:rPr>
          <w:rFonts w:ascii="Calibri" w:eastAsia="Google Sans" w:hAnsi="Calibri" w:cs="Calibri"/>
          <w:color w:val="444746"/>
          <w:vertAlign w:val="superscript"/>
        </w:rPr>
        <w:t>3</w:t>
      </w:r>
      <w:r w:rsidRPr="002E0E4B">
        <w:rPr>
          <w:rFonts w:ascii="Calibri" w:eastAsia="Google Sans" w:hAnsi="Calibri" w:cs="Calibri"/>
          <w:color w:val="1F1F1F"/>
        </w:rPr>
        <w:t>. Alarmingly, 46% of educators state that their school's current behaviour policy fails to adequately prioritise speech and language needs</w:t>
      </w:r>
      <w:r w:rsidRPr="002E0E4B">
        <w:rPr>
          <w:rFonts w:ascii="Calibri" w:eastAsia="Google Sans" w:hAnsi="Calibri" w:cs="Calibri"/>
          <w:color w:val="444746"/>
          <w:vertAlign w:val="superscript"/>
        </w:rPr>
        <w:t>3</w:t>
      </w:r>
      <w:r w:rsidRPr="002E0E4B">
        <w:rPr>
          <w:rFonts w:ascii="Calibri" w:eastAsia="Google Sans" w:hAnsi="Calibri" w:cs="Calibri"/>
          <w:color w:val="1F1F1F"/>
        </w:rPr>
        <w:t>. We urge the Committee to recommend that the Government’s refreshed statutory behaviour guidance mandates schools to implement reasonable adjustments and communication-supportive environments before any punitive sanctions are applied</w:t>
      </w:r>
      <w:r w:rsidRPr="002E0E4B">
        <w:rPr>
          <w:rFonts w:ascii="Calibri" w:eastAsia="Google Sans" w:hAnsi="Calibri" w:cs="Calibri"/>
          <w:color w:val="444746"/>
          <w:vertAlign w:val="superscript"/>
        </w:rPr>
        <w:t>3</w:t>
      </w:r>
      <w:r w:rsidRPr="002E0E4B">
        <w:rPr>
          <w:rFonts w:ascii="Calibri" w:eastAsia="Google Sans" w:hAnsi="Calibri" w:cs="Calibri"/>
          <w:color w:val="1F1F1F"/>
        </w:rPr>
        <w:t>.</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Furthermore, unaddressed speech and language challenges are profoundly isolating, directly undermining the White Paper's goals for pupil belonging. Over half (56%) of children with these challenges struggle to make and keep friends, and 35% report being actively bullied or excluded by their peers</w:t>
      </w:r>
      <w:r w:rsidRPr="002E0E4B">
        <w:rPr>
          <w:rFonts w:ascii="Calibri" w:eastAsia="Google Sans" w:hAnsi="Calibri" w:cs="Calibri"/>
          <w:color w:val="444746"/>
          <w:vertAlign w:val="superscript"/>
        </w:rPr>
        <w:t>1</w:t>
      </w:r>
      <w:r w:rsidRPr="002E0E4B">
        <w:rPr>
          <w:rFonts w:ascii="Calibri" w:eastAsia="Google Sans" w:hAnsi="Calibri" w:cs="Calibri"/>
          <w:color w:val="1F1F1F"/>
        </w:rPr>
        <w:t xml:space="preserve">. Fostering a true sense of belonging requires a school culture that explicitly understands and accommodates </w:t>
      </w:r>
      <w:r w:rsidRPr="002E0E4B">
        <w:rPr>
          <w:rFonts w:ascii="Calibri" w:eastAsia="Google Sans" w:hAnsi="Calibri" w:cs="Calibri"/>
          <w:color w:val="1F1F1F"/>
        </w:rPr>
        <w:t>children and young people who communicate differently</w:t>
      </w:r>
      <w:r w:rsidRPr="002E0E4B">
        <w:rPr>
          <w:rFonts w:ascii="Calibri" w:eastAsia="Google Sans" w:hAnsi="Calibri" w:cs="Calibri"/>
          <w:color w:val="1F1F1F"/>
        </w:rPr>
        <w:t>.</w:t>
      </w:r>
      <w:r w:rsidRPr="002E0E4B">
        <w:rPr>
          <w:rFonts w:ascii="Calibri" w:eastAsia="Google Sans" w:hAnsi="Calibri" w:cs="Calibri"/>
          <w:color w:val="1F1F1F"/>
        </w:rPr>
        <w:t xml:space="preserve"> </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 xml:space="preserve">Children and young people struggling with </w:t>
      </w:r>
      <w:r w:rsidRPr="002E0E4B">
        <w:rPr>
          <w:rFonts w:ascii="Calibri" w:eastAsia="Google Sans" w:hAnsi="Calibri" w:cs="Calibri"/>
          <w:color w:val="1F1F1F"/>
        </w:rPr>
        <w:t>talking and understanding words</w:t>
      </w:r>
      <w:r w:rsidRPr="002E0E4B">
        <w:rPr>
          <w:rFonts w:ascii="Calibri" w:eastAsia="Google Sans" w:hAnsi="Calibri" w:cs="Calibri"/>
          <w:color w:val="1F1F1F"/>
        </w:rPr>
        <w:t xml:space="preserve"> are more likely </w:t>
      </w:r>
      <w:r w:rsidRPr="002E0E4B">
        <w:rPr>
          <w:rFonts w:ascii="Calibri" w:eastAsia="Google Sans" w:hAnsi="Calibri" w:cs="Calibri"/>
          <w:color w:val="1F1F1F"/>
        </w:rPr>
        <w:t xml:space="preserve">to </w:t>
      </w:r>
      <w:r w:rsidRPr="002E0E4B">
        <w:rPr>
          <w:rFonts w:ascii="Calibri" w:eastAsia="Google Sans" w:hAnsi="Calibri" w:cs="Calibri"/>
          <w:color w:val="1F1F1F"/>
        </w:rPr>
        <w:t xml:space="preserve">experience </w:t>
      </w:r>
      <w:r w:rsidRPr="002E0E4B">
        <w:rPr>
          <w:rFonts w:ascii="Calibri" w:eastAsia="Google Sans" w:hAnsi="Calibri" w:cs="Calibri"/>
          <w:color w:val="1F1F1F"/>
        </w:rPr>
        <w:t xml:space="preserve">mental health challenges, with one study finding that as many as 45% </w:t>
      </w:r>
      <w:r w:rsidRPr="002E0E4B">
        <w:rPr>
          <w:rFonts w:ascii="Calibri" w:eastAsia="Google Sans" w:hAnsi="Calibri" w:cs="Calibri"/>
          <w:color w:val="1F1F1F"/>
        </w:rPr>
        <w:t xml:space="preserve">of referrals to </w:t>
      </w:r>
      <w:r w:rsidRPr="002E0E4B">
        <w:rPr>
          <w:rFonts w:ascii="Calibri" w:eastAsia="Google Sans" w:hAnsi="Calibri" w:cs="Calibri"/>
          <w:color w:val="1F1F1F"/>
        </w:rPr>
        <w:t xml:space="preserve">CYPMH </w:t>
      </w:r>
      <w:r w:rsidRPr="002E0E4B">
        <w:rPr>
          <w:rFonts w:ascii="Calibri" w:eastAsia="Google Sans" w:hAnsi="Calibri" w:cs="Calibri"/>
          <w:color w:val="1F1F1F"/>
        </w:rPr>
        <w:t xml:space="preserve"> have</w:t>
      </w:r>
      <w:r w:rsidRPr="002E0E4B">
        <w:rPr>
          <w:rFonts w:ascii="Calibri" w:eastAsia="Google Sans" w:hAnsi="Calibri" w:cs="Calibri"/>
          <w:color w:val="1F1F1F"/>
        </w:rPr>
        <w:t xml:space="preserve"> some difficulty with language. </w:t>
      </w:r>
      <w:r w:rsidRPr="002E0E4B">
        <w:rPr>
          <w:rFonts w:ascii="Calibri" w:eastAsia="Google Sans" w:hAnsi="Calibri" w:cs="Calibri"/>
          <w:color w:val="1F1F1F"/>
        </w:rPr>
        <w:t xml:space="preserve">To that end, Mental Health Support Teams in schools need to </w:t>
      </w:r>
      <w:r w:rsidRPr="002E0E4B">
        <w:rPr>
          <w:rFonts w:ascii="Calibri" w:eastAsia="Google Sans" w:hAnsi="Calibri" w:cs="Calibri"/>
          <w:color w:val="1F1F1F"/>
        </w:rPr>
        <w:t>have training in how to adapt the available resources so they work for children with speech and language challenges.</w:t>
      </w:r>
    </w:p>
    <w:p w:rsidR="00384BCA" w:rsidRPr="002E0E4B" w:rsidP="00117FBA">
      <w:pPr>
        <w:pBdr>
          <w:top w:val="nil"/>
          <w:left w:val="nil"/>
          <w:bottom w:val="nil"/>
          <w:right w:val="nil"/>
          <w:between w:val="nil"/>
        </w:pBdr>
        <w:spacing w:after="120" w:line="275" w:lineRule="auto"/>
        <w:rPr>
          <w:rFonts w:ascii="Calibri" w:eastAsia="Google Sans" w:hAnsi="Calibri" w:cs="Calibri"/>
          <w:b/>
          <w:bCs/>
          <w:color w:val="1F1F1F"/>
        </w:rPr>
      </w:pPr>
      <w:r w:rsidRPr="002E0E4B">
        <w:rPr>
          <w:rFonts w:ascii="Calibri" w:eastAsia="Google Sans" w:hAnsi="Calibri" w:cs="Calibri"/>
          <w:b/>
          <w:bCs/>
          <w:color w:val="1F1F1F"/>
        </w:rPr>
        <w:t>Workforce reforms</w:t>
      </w:r>
    </w:p>
    <w:p w:rsidR="00384BCA" w:rsidRPr="002E0E4B" w:rsidP="00117FBA">
      <w:pPr>
        <w:pBdr>
          <w:top w:val="nil"/>
          <w:left w:val="nil"/>
          <w:bottom w:val="nil"/>
          <w:right w:val="nil"/>
          <w:between w:val="nil"/>
        </w:pBdr>
        <w:spacing w:after="120" w:line="275" w:lineRule="auto"/>
        <w:rPr>
          <w:rFonts w:ascii="Calibri" w:eastAsia="Google Sans" w:hAnsi="Calibri" w:cs="Calibri"/>
          <w:i/>
          <w:iCs/>
          <w:color w:val="1F1F1F"/>
        </w:rPr>
      </w:pPr>
      <w:r w:rsidRPr="002E0E4B">
        <w:rPr>
          <w:rFonts w:ascii="Calibri" w:eastAsia="Google Sans" w:hAnsi="Calibri" w:cs="Calibri"/>
          <w:i/>
          <w:iCs/>
          <w:color w:val="1F1F1F"/>
        </w:rPr>
        <w:t>The availability and quality of continuous professional development, mentoring, and leadership support.</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 xml:space="preserve">The Government's target to recruit 6,500 additional teachers is a welcome commitment, but raw recruitment numbers will not solve the attainment or behaviour crises if the workforce is not equipped to support </w:t>
      </w:r>
      <w:r w:rsidRPr="002E0E4B">
        <w:rPr>
          <w:rFonts w:ascii="Calibri" w:eastAsia="Google Sans" w:hAnsi="Calibri" w:cs="Calibri"/>
          <w:color w:val="1F1F1F"/>
        </w:rPr>
        <w:t>pupils'</w:t>
      </w:r>
      <w:r w:rsidRPr="002E0E4B">
        <w:rPr>
          <w:rFonts w:ascii="Calibri" w:eastAsia="Google Sans" w:hAnsi="Calibri" w:cs="Calibri"/>
          <w:color w:val="1F1F1F"/>
        </w:rPr>
        <w:t xml:space="preserve"> speech and language </w:t>
      </w:r>
      <w:r w:rsidRPr="002E0E4B">
        <w:rPr>
          <w:rFonts w:ascii="Calibri" w:eastAsia="Google Sans" w:hAnsi="Calibri" w:cs="Calibri"/>
          <w:color w:val="1F1F1F"/>
        </w:rPr>
        <w:t>development</w:t>
      </w:r>
      <w:r w:rsidRPr="002E0E4B">
        <w:rPr>
          <w:rFonts w:ascii="Calibri" w:eastAsia="Google Sans" w:hAnsi="Calibri" w:cs="Calibri"/>
          <w:color w:val="1F1F1F"/>
        </w:rPr>
        <w:t xml:space="preserve">. Currently, 49% of teachers report they have not had enough training to </w:t>
      </w:r>
      <w:r w:rsidRPr="002E0E4B">
        <w:rPr>
          <w:rFonts w:ascii="Calibri" w:eastAsia="Google Sans" w:hAnsi="Calibri" w:cs="Calibri"/>
          <w:color w:val="1F1F1F"/>
        </w:rPr>
        <w:t>do this</w:t>
      </w:r>
      <w:r w:rsidRPr="002E0E4B">
        <w:rPr>
          <w:rFonts w:ascii="Calibri" w:eastAsia="Google Sans" w:hAnsi="Calibri" w:cs="Calibri"/>
          <w:color w:val="444746"/>
          <w:vertAlign w:val="superscript"/>
        </w:rPr>
        <w:t>3</w:t>
      </w:r>
      <w:r w:rsidRPr="002E0E4B">
        <w:rPr>
          <w:rFonts w:ascii="Calibri" w:eastAsia="Google Sans" w:hAnsi="Calibri" w:cs="Calibri"/>
          <w:color w:val="1F1F1F"/>
        </w:rPr>
        <w:t>.</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 xml:space="preserve">During Initial Teacher Training (ITT), educators may receive as little as two hours of instruction on </w:t>
      </w:r>
      <w:r w:rsidRPr="002E0E4B">
        <w:rPr>
          <w:rFonts w:ascii="Calibri" w:eastAsia="Google Sans" w:hAnsi="Calibri" w:cs="Calibri"/>
          <w:color w:val="1F1F1F"/>
        </w:rPr>
        <w:t>SEND</w:t>
      </w:r>
      <w:r w:rsidRPr="002E0E4B">
        <w:rPr>
          <w:rFonts w:ascii="Calibri" w:eastAsia="Google Sans" w:hAnsi="Calibri" w:cs="Calibri"/>
          <w:color w:val="1F1F1F"/>
        </w:rPr>
        <w:t>, and maybe nothing specifically on speech and language development</w:t>
      </w:r>
      <w:r w:rsidRPr="002E0E4B">
        <w:rPr>
          <w:rFonts w:ascii="Calibri" w:eastAsia="Google Sans" w:hAnsi="Calibri" w:cs="Calibri"/>
          <w:color w:val="1F1F1F"/>
        </w:rPr>
        <w:t xml:space="preserve">, leaving them unequipped to </w:t>
      </w:r>
      <w:r w:rsidRPr="002E0E4B">
        <w:rPr>
          <w:rFonts w:ascii="Calibri" w:eastAsia="Google Sans" w:hAnsi="Calibri" w:cs="Calibri"/>
          <w:color w:val="1F1F1F"/>
        </w:rPr>
        <w:t>identify when a child is struggling</w:t>
      </w:r>
      <w:r w:rsidRPr="002E0E4B">
        <w:rPr>
          <w:rFonts w:ascii="Calibri" w:eastAsia="Google Sans" w:hAnsi="Calibri" w:cs="Calibri"/>
          <w:color w:val="1F1F1F"/>
        </w:rPr>
        <w:t xml:space="preserve"> and what to do to help them</w:t>
      </w:r>
      <w:r w:rsidRPr="002E0E4B">
        <w:rPr>
          <w:rFonts w:ascii="Calibri" w:eastAsia="Google Sans" w:hAnsi="Calibri" w:cs="Calibri"/>
          <w:color w:val="1F1F1F"/>
        </w:rPr>
        <w:t>. We strongly recommend that ITT cover typical speech and language development and practical classroom support strategies.</w:t>
      </w:r>
      <w:r w:rsidRPr="002E0E4B">
        <w:rPr>
          <w:rFonts w:ascii="Calibri" w:eastAsia="Google Sans" w:hAnsi="Calibri" w:cs="Calibri"/>
          <w:color w:val="1F1F1F"/>
        </w:rPr>
        <w:t xml:space="preserve"> We think it will be extremely difficult for </w:t>
      </w:r>
      <w:r w:rsidRPr="002E0E4B">
        <w:rPr>
          <w:rFonts w:ascii="Calibri" w:eastAsia="Google Sans" w:hAnsi="Calibri" w:cs="Calibri"/>
          <w:color w:val="1F1F1F"/>
        </w:rPr>
        <w:t xml:space="preserve">the government to deliver on </w:t>
      </w:r>
      <w:r w:rsidRPr="002E0E4B">
        <w:rPr>
          <w:rFonts w:ascii="Calibri" w:eastAsia="Google Sans" w:hAnsi="Calibri" w:cs="Calibri"/>
          <w:color w:val="1F1F1F"/>
        </w:rPr>
        <w:t>its</w:t>
      </w:r>
      <w:r w:rsidRPr="002E0E4B">
        <w:rPr>
          <w:rFonts w:ascii="Calibri" w:eastAsia="Google Sans" w:hAnsi="Calibri" w:cs="Calibri"/>
          <w:color w:val="1F1F1F"/>
        </w:rPr>
        <w:t xml:space="preserve"> ambition for </w:t>
      </w:r>
      <w:r w:rsidRPr="002E0E4B">
        <w:rPr>
          <w:rFonts w:ascii="Calibri" w:eastAsia="Google Sans" w:hAnsi="Calibri" w:cs="Calibri"/>
          <w:color w:val="1F1F1F"/>
        </w:rPr>
        <w:t xml:space="preserve">more inclusion if teachers aren’t trained from the word go </w:t>
      </w:r>
      <w:r w:rsidRPr="002E0E4B">
        <w:rPr>
          <w:rFonts w:ascii="Calibri" w:eastAsia="Google Sans" w:hAnsi="Calibri" w:cs="Calibri"/>
          <w:color w:val="1F1F1F"/>
        </w:rPr>
        <w:t>how to support children and young people’s speech and language development and spot those who are struggling.</w:t>
      </w:r>
    </w:p>
    <w:p w:rsidR="00384BCA" w:rsidRPr="002E0E4B" w:rsidP="00117FBA">
      <w:pPr>
        <w:pBdr>
          <w:top w:val="nil"/>
          <w:left w:val="nil"/>
          <w:bottom w:val="nil"/>
          <w:right w:val="nil"/>
          <w:between w:val="nil"/>
        </w:pBdr>
        <w:spacing w:after="120" w:line="275" w:lineRule="auto"/>
        <w:rPr>
          <w:rFonts w:ascii="Calibri" w:eastAsia="Google Sans" w:hAnsi="Calibri" w:cs="Calibri"/>
          <w:color w:val="1F1F1F"/>
        </w:rPr>
      </w:pPr>
      <w:r w:rsidRPr="002E0E4B">
        <w:rPr>
          <w:rFonts w:ascii="Calibri" w:eastAsia="Google Sans" w:hAnsi="Calibri" w:cs="Calibri"/>
          <w:color w:val="1F1F1F"/>
        </w:rPr>
        <w:t>Additionally, the Government must commit to rolling out evidence-based continuous professional development (CPD) for existing staff, alongside clear guidance on what programmatic interventions work best</w:t>
      </w:r>
      <w:r w:rsidRPr="002E0E4B">
        <w:rPr>
          <w:rFonts w:ascii="Calibri" w:eastAsia="Google Sans" w:hAnsi="Calibri" w:cs="Calibri"/>
          <w:color w:val="444746"/>
          <w:vertAlign w:val="superscript"/>
        </w:rPr>
        <w:t>2</w:t>
      </w:r>
      <w:r w:rsidRPr="002E0E4B">
        <w:rPr>
          <w:rFonts w:ascii="Calibri" w:eastAsia="Google Sans" w:hAnsi="Calibri" w:cs="Calibri"/>
          <w:color w:val="1F1F1F"/>
        </w:rPr>
        <w:t xml:space="preserve">. </w:t>
      </w:r>
      <w:r w:rsidRPr="002E0E4B">
        <w:rPr>
          <w:rFonts w:ascii="Calibri" w:eastAsia="Google Sans" w:hAnsi="Calibri" w:cs="Calibri"/>
          <w:color w:val="1F1F1F"/>
        </w:rPr>
        <w:t xml:space="preserve">We have seen </w:t>
      </w:r>
      <w:r w:rsidRPr="002E0E4B">
        <w:rPr>
          <w:rFonts w:ascii="Calibri" w:eastAsia="Google Sans" w:hAnsi="Calibri" w:cs="Calibri"/>
          <w:color w:val="1F1F1F"/>
        </w:rPr>
        <w:t>better understanding of this need in the Early Years, with</w:t>
      </w:r>
      <w:r w:rsidRPr="002E0E4B">
        <w:rPr>
          <w:rFonts w:ascii="Calibri" w:eastAsia="Google Sans" w:hAnsi="Calibri" w:cs="Calibri"/>
          <w:color w:val="1F1F1F"/>
        </w:rPr>
        <w:t xml:space="preserve"> the Early Years Professional Development Programme (EYPDP)</w:t>
      </w:r>
      <w:r w:rsidRPr="002E0E4B">
        <w:rPr>
          <w:rFonts w:ascii="Calibri" w:eastAsia="Google Sans" w:hAnsi="Calibri" w:cs="Calibri"/>
          <w:color w:val="1F1F1F"/>
        </w:rPr>
        <w:t xml:space="preserve"> and now the Government’s new Language Leads in Family Hubs. However</w:t>
      </w:r>
      <w:r w:rsidRPr="002E0E4B">
        <w:rPr>
          <w:rFonts w:ascii="Calibri" w:eastAsia="Google Sans" w:hAnsi="Calibri" w:cs="Calibri"/>
          <w:color w:val="1F1F1F"/>
        </w:rPr>
        <w:t xml:space="preserve">, sustained upskilling must be embedded across both the primary and secondary phases </w:t>
      </w:r>
      <w:r w:rsidRPr="002E0E4B">
        <w:rPr>
          <w:rFonts w:ascii="Calibri" w:eastAsia="Google Sans" w:hAnsi="Calibri" w:cs="Calibri"/>
          <w:color w:val="1F1F1F"/>
        </w:rPr>
        <w:t xml:space="preserve">as well, </w:t>
      </w:r>
      <w:r w:rsidRPr="002E0E4B">
        <w:rPr>
          <w:rFonts w:ascii="Calibri" w:eastAsia="Google Sans" w:hAnsi="Calibri" w:cs="Calibri"/>
          <w:color w:val="1F1F1F"/>
        </w:rPr>
        <w:t xml:space="preserve">so that every teacher can confidently spot and support children </w:t>
      </w:r>
      <w:r w:rsidRPr="002E0E4B">
        <w:rPr>
          <w:rFonts w:ascii="Calibri" w:eastAsia="Google Sans" w:hAnsi="Calibri" w:cs="Calibri"/>
          <w:color w:val="1F1F1F"/>
        </w:rPr>
        <w:t>with speech and language challenges</w:t>
      </w:r>
      <w:r w:rsidRPr="002E0E4B">
        <w:rPr>
          <w:rFonts w:ascii="Calibri" w:eastAsia="Google Sans" w:hAnsi="Calibri" w:cs="Calibri"/>
          <w:color w:val="1F1F1F"/>
        </w:rPr>
        <w:t>.</w:t>
      </w:r>
    </w:p>
    <w:p w:rsidR="00384BCA" w:rsidRPr="002E0E4B" w:rsidP="00117FBA">
      <w:pPr>
        <w:spacing w:after="120"/>
        <w:rPr>
          <w:rFonts w:ascii="Calibri" w:eastAsia="Google Sans" w:hAnsi="Calibri" w:cs="Calibri"/>
          <w:b/>
          <w:bCs/>
          <w:color w:val="1F1F1F"/>
        </w:rPr>
      </w:pPr>
      <w:r w:rsidRPr="002E0E4B">
        <w:rPr>
          <w:rFonts w:ascii="Calibri" w:eastAsia="Google Sans" w:hAnsi="Calibri" w:cs="Calibri"/>
          <w:b/>
          <w:bCs/>
          <w:color w:val="1F1F1F"/>
        </w:rPr>
        <w:br w:type="page"/>
      </w:r>
      <w:r w:rsidRPr="002E0E4B">
        <w:rPr>
          <w:rFonts w:ascii="Calibri" w:eastAsia="Google Sans" w:hAnsi="Calibri" w:cs="Calibri"/>
          <w:b/>
          <w:bCs/>
          <w:color w:val="1F1F1F"/>
        </w:rPr>
        <w:t>Key Recommendations</w:t>
      </w:r>
    </w:p>
    <w:p w:rsidR="00384BCA" w:rsidRPr="002E0E4B" w:rsidP="00452398">
      <w:pPr>
        <w:pStyle w:val="ListParagraph"/>
        <w:numPr>
          <w:ilvl w:val="0"/>
          <w:numId w:val="3"/>
        </w:numPr>
        <w:pBdr>
          <w:top w:val="nil"/>
          <w:left w:val="nil"/>
          <w:bottom w:val="nil"/>
          <w:right w:val="nil"/>
          <w:between w:val="nil"/>
        </w:pBdr>
        <w:spacing w:after="120" w:line="276" w:lineRule="auto"/>
        <w:ind w:left="714" w:hanging="357"/>
        <w:rPr>
          <w:rFonts w:ascii="Calibri" w:eastAsia="Google Sans" w:hAnsi="Calibri" w:cs="Calibri"/>
          <w:color w:val="1F1F1F"/>
        </w:rPr>
      </w:pPr>
      <w:r w:rsidRPr="002E0E4B">
        <w:rPr>
          <w:rFonts w:ascii="Calibri" w:eastAsia="Google Sans" w:hAnsi="Calibri" w:cs="Calibri"/>
          <w:color w:val="1F1F1F"/>
        </w:rPr>
        <w:t>Statutory tracking tool for talking and understanding words at Key Stages 1</w:t>
      </w:r>
      <w:r w:rsidRPr="002E0E4B">
        <w:rPr>
          <w:rFonts w:ascii="Calibri" w:eastAsia="Google Sans" w:hAnsi="Calibri" w:cs="Calibri"/>
          <w:color w:val="1F1F1F"/>
        </w:rPr>
        <w:t xml:space="preserve">, </w:t>
      </w:r>
      <w:r w:rsidRPr="002E0E4B">
        <w:rPr>
          <w:rFonts w:ascii="Calibri" w:eastAsia="Google Sans" w:hAnsi="Calibri" w:cs="Calibri"/>
          <w:color w:val="1F1F1F"/>
        </w:rPr>
        <w:t>2</w:t>
      </w:r>
      <w:r w:rsidRPr="002E0E4B">
        <w:rPr>
          <w:rFonts w:ascii="Calibri" w:eastAsia="Google Sans" w:hAnsi="Calibri" w:cs="Calibri"/>
          <w:color w:val="1F1F1F"/>
        </w:rPr>
        <w:t xml:space="preserve"> and 3</w:t>
      </w:r>
    </w:p>
    <w:p w:rsidR="00384BCA" w:rsidRPr="002E0E4B" w:rsidP="00452398">
      <w:pPr>
        <w:pStyle w:val="ListParagraph"/>
        <w:numPr>
          <w:ilvl w:val="0"/>
          <w:numId w:val="3"/>
        </w:numPr>
        <w:pBdr>
          <w:top w:val="nil"/>
          <w:left w:val="nil"/>
          <w:bottom w:val="nil"/>
          <w:right w:val="nil"/>
          <w:between w:val="nil"/>
        </w:pBdr>
        <w:spacing w:after="120" w:line="276" w:lineRule="auto"/>
        <w:ind w:left="714" w:hanging="357"/>
        <w:rPr>
          <w:rFonts w:ascii="Calibri" w:eastAsia="Google Sans" w:hAnsi="Calibri" w:cs="Calibri"/>
          <w:color w:val="1F1F1F"/>
        </w:rPr>
      </w:pPr>
      <w:r w:rsidRPr="002E0E4B">
        <w:rPr>
          <w:rFonts w:ascii="Calibri" w:eastAsia="Google Sans" w:hAnsi="Calibri" w:cs="Calibri"/>
          <w:color w:val="1F1F1F"/>
        </w:rPr>
        <w:t>The Government’s refreshed statutory behaviour guidance mandates schools to implement reasonable adjustments and communication-supportive environments before any punitive sanctions are applied</w:t>
      </w:r>
    </w:p>
    <w:p w:rsidR="00384BCA" w:rsidRPr="002E0E4B" w:rsidP="00452398">
      <w:pPr>
        <w:pStyle w:val="ListParagraph"/>
        <w:numPr>
          <w:ilvl w:val="0"/>
          <w:numId w:val="3"/>
        </w:numPr>
        <w:pBdr>
          <w:top w:val="nil"/>
          <w:left w:val="nil"/>
          <w:bottom w:val="nil"/>
          <w:right w:val="nil"/>
          <w:between w:val="nil"/>
        </w:pBdr>
        <w:spacing w:after="120" w:line="276" w:lineRule="auto"/>
        <w:ind w:left="714" w:hanging="357"/>
        <w:rPr>
          <w:rFonts w:ascii="Calibri" w:eastAsia="Google Sans" w:hAnsi="Calibri" w:cs="Calibri"/>
          <w:color w:val="1F1F1F"/>
        </w:rPr>
      </w:pPr>
      <w:r w:rsidRPr="002E0E4B">
        <w:rPr>
          <w:rFonts w:ascii="Calibri" w:eastAsia="Google Sans" w:hAnsi="Calibri" w:cs="Calibri"/>
          <w:color w:val="1F1F1F"/>
        </w:rPr>
        <w:t>Mental Health Support Teams in schools need to have training in how to adapt the available resources so they work for children with speech and language challenges.</w:t>
      </w:r>
    </w:p>
    <w:p w:rsidR="00384BCA" w:rsidRPr="002E0E4B" w:rsidP="00452398">
      <w:pPr>
        <w:pStyle w:val="ListParagraph"/>
        <w:numPr>
          <w:ilvl w:val="0"/>
          <w:numId w:val="3"/>
        </w:numPr>
        <w:pBdr>
          <w:top w:val="nil"/>
          <w:left w:val="nil"/>
          <w:bottom w:val="nil"/>
          <w:right w:val="nil"/>
          <w:between w:val="nil"/>
        </w:pBdr>
        <w:spacing w:after="120" w:line="276" w:lineRule="auto"/>
        <w:ind w:left="714" w:hanging="357"/>
        <w:rPr>
          <w:rFonts w:ascii="Calibri" w:eastAsia="Google Sans" w:hAnsi="Calibri" w:cs="Calibri"/>
          <w:color w:val="1F1F1F"/>
        </w:rPr>
      </w:pPr>
      <w:r w:rsidRPr="002E0E4B">
        <w:rPr>
          <w:rFonts w:ascii="Calibri" w:eastAsia="Google Sans" w:hAnsi="Calibri" w:cs="Calibri"/>
          <w:color w:val="1F1F1F"/>
        </w:rPr>
        <w:t>ITT cover</w:t>
      </w:r>
      <w:r w:rsidRPr="002E0E4B">
        <w:rPr>
          <w:rFonts w:ascii="Calibri" w:eastAsia="Google Sans" w:hAnsi="Calibri" w:cs="Calibri"/>
          <w:color w:val="1F1F1F"/>
        </w:rPr>
        <w:t>s</w:t>
      </w:r>
      <w:r w:rsidRPr="002E0E4B">
        <w:rPr>
          <w:rFonts w:ascii="Calibri" w:eastAsia="Google Sans" w:hAnsi="Calibri" w:cs="Calibri"/>
          <w:color w:val="1F1F1F"/>
        </w:rPr>
        <w:t xml:space="preserve"> typical speech and language development and practical classroom support strategies.</w:t>
      </w:r>
    </w:p>
    <w:p w:rsidR="00384BCA" w:rsidRPr="002E0E4B" w:rsidP="00452398">
      <w:pPr>
        <w:pStyle w:val="ListParagraph"/>
        <w:numPr>
          <w:ilvl w:val="0"/>
          <w:numId w:val="3"/>
        </w:numPr>
        <w:pBdr>
          <w:top w:val="nil"/>
          <w:left w:val="nil"/>
          <w:bottom w:val="nil"/>
          <w:right w:val="nil"/>
          <w:between w:val="nil"/>
        </w:pBdr>
        <w:spacing w:after="120" w:line="276" w:lineRule="auto"/>
        <w:ind w:left="714" w:hanging="357"/>
        <w:rPr>
          <w:rFonts w:ascii="Calibri" w:eastAsia="Google Sans" w:hAnsi="Calibri" w:cs="Calibri"/>
          <w:color w:val="1F1F1F"/>
        </w:rPr>
      </w:pPr>
      <w:r w:rsidRPr="002E0E4B">
        <w:rPr>
          <w:rFonts w:ascii="Calibri" w:eastAsia="Google Sans" w:hAnsi="Calibri" w:cs="Calibri"/>
          <w:color w:val="1F1F1F"/>
        </w:rPr>
        <w:t>Sustained upskilling must be embedded across both the primary and secondary phases so that every teacher can confidently spot and support children with speech and language challenges.</w:t>
      </w:r>
    </w:p>
    <w:p w:rsidR="00384BCA" w:rsidRPr="002E0E4B" w:rsidP="00117FBA">
      <w:pPr>
        <w:pBdr>
          <w:top w:val="nil"/>
          <w:left w:val="nil"/>
          <w:bottom w:val="nil"/>
          <w:right w:val="nil"/>
          <w:between w:val="nil"/>
        </w:pBdr>
        <w:spacing w:after="120" w:line="275" w:lineRule="auto"/>
        <w:rPr>
          <w:rFonts w:ascii="Calibri" w:eastAsia="Google Sans" w:hAnsi="Calibri" w:cs="Calibri"/>
          <w:b/>
          <w:bCs/>
          <w:color w:val="1F1F1F"/>
        </w:rPr>
      </w:pPr>
    </w:p>
    <w:p w:rsidR="00384BCA" w:rsidRPr="002E0E4B" w:rsidP="00117FBA">
      <w:pPr>
        <w:pBdr>
          <w:top w:val="nil"/>
          <w:left w:val="nil"/>
          <w:bottom w:val="nil"/>
          <w:right w:val="nil"/>
          <w:between w:val="nil"/>
        </w:pBdr>
        <w:spacing w:after="120" w:line="275" w:lineRule="auto"/>
        <w:rPr>
          <w:rFonts w:ascii="Calibri" w:eastAsia="Google Sans" w:hAnsi="Calibri" w:cs="Calibri"/>
          <w:b/>
          <w:bCs/>
          <w:color w:val="1F1F1F"/>
        </w:rPr>
      </w:pPr>
    </w:p>
    <w:p w:rsidR="00384BCA" w:rsidRPr="002E0E4B" w:rsidP="00117FBA">
      <w:pPr>
        <w:spacing w:after="120"/>
        <w:rPr>
          <w:rFonts w:ascii="Calibri" w:eastAsia="Google Sans" w:hAnsi="Calibri" w:cs="Calibri"/>
          <w:b/>
          <w:bCs/>
        </w:rPr>
      </w:pPr>
      <w:r w:rsidRPr="002E0E4B">
        <w:rPr>
          <w:rFonts w:ascii="Calibri" w:eastAsia="Google Sans" w:hAnsi="Calibri" w:cs="Calibri"/>
        </w:rPr>
        <w:t>Works cited</w:t>
      </w:r>
    </w:p>
    <w:p w:rsidR="00384BCA" w:rsidRPr="002E0E4B" w:rsidP="00117FBA">
      <w:pPr>
        <w:numPr>
          <w:ilvl w:val="0"/>
          <w:numId w:val="2"/>
        </w:numPr>
        <w:pBdr>
          <w:top w:val="nil"/>
          <w:left w:val="nil"/>
          <w:bottom w:val="nil"/>
          <w:right w:val="nil"/>
          <w:between w:val="nil"/>
        </w:pBdr>
        <w:spacing w:after="120"/>
        <w:rPr>
          <w:rFonts w:ascii="Calibri" w:hAnsi="Calibri" w:cs="Calibri"/>
        </w:rPr>
      </w:pPr>
      <w:r w:rsidRPr="002E0E4B">
        <w:rPr>
          <w:rFonts w:ascii="Calibri" w:eastAsia="Google Sans" w:hAnsi="Calibri" w:cs="Calibri"/>
        </w:rPr>
        <w:t xml:space="preserve">Mental health and speech and language challenges, </w:t>
      </w:r>
      <w:r>
        <w:fldChar w:fldCharType="begin"/>
      </w:r>
      <w:r>
        <w:instrText xml:space="preserve"> HYPERLINK "https://speechandlanguage.org.uk/wp-content/uploads/2025/06/230625_MHReport_DigitalPDF_V7.pdf" </w:instrText>
      </w:r>
      <w:r>
        <w:fldChar w:fldCharType="separate"/>
      </w:r>
      <w:r w:rsidRPr="002E0E4B">
        <w:rPr>
          <w:rFonts w:ascii="Calibri" w:eastAsia="Google Sans" w:hAnsi="Calibri" w:cs="Calibri"/>
          <w:color w:val="0000EE"/>
          <w:u w:val="single"/>
        </w:rPr>
        <w:t>https://speechandlanguage.org.uk/wp-content/uploads/2025/06/230625_MHReport_DigitalPDF_V7.pdf</w:t>
      </w:r>
      <w:r>
        <w:fldChar w:fldCharType="end"/>
      </w:r>
    </w:p>
    <w:p w:rsidR="00384BCA" w:rsidRPr="002E0E4B" w:rsidP="00117FBA">
      <w:pPr>
        <w:numPr>
          <w:ilvl w:val="0"/>
          <w:numId w:val="2"/>
        </w:numPr>
        <w:pBdr>
          <w:top w:val="nil"/>
          <w:left w:val="nil"/>
          <w:bottom w:val="nil"/>
          <w:right w:val="nil"/>
          <w:between w:val="nil"/>
        </w:pBdr>
        <w:spacing w:after="120"/>
        <w:rPr>
          <w:rFonts w:ascii="Calibri" w:hAnsi="Calibri" w:cs="Calibri"/>
        </w:rPr>
      </w:pPr>
      <w:r w:rsidRPr="002E0E4B">
        <w:rPr>
          <w:rFonts w:ascii="Calibri" w:eastAsia="Google Sans" w:hAnsi="Calibri" w:cs="Calibri"/>
        </w:rPr>
        <w:t xml:space="preserve">Listening to unheard children - Speech and Language UK, </w:t>
      </w:r>
      <w:r>
        <w:fldChar w:fldCharType="begin"/>
      </w:r>
      <w:r>
        <w:instrText xml:space="preserve"> HYPERLINK "https://speechandlanguage.org.uk/wp-content/uploads/2024/03/Listening-to-unheard-children-report-FINAL.pdf" </w:instrText>
      </w:r>
      <w:r>
        <w:fldChar w:fldCharType="separate"/>
      </w:r>
      <w:r w:rsidRPr="002E0E4B">
        <w:rPr>
          <w:rFonts w:ascii="Calibri" w:eastAsia="Google Sans" w:hAnsi="Calibri" w:cs="Calibri"/>
          <w:color w:val="0000EE"/>
          <w:u w:val="single"/>
        </w:rPr>
        <w:t>https://speechandlanguage.org.uk/wp-content/uploads/2024/03/Listening-to-unheard-children-report-FINAL.pdf</w:t>
      </w:r>
      <w:r>
        <w:fldChar w:fldCharType="end"/>
      </w:r>
    </w:p>
    <w:p w:rsidR="00384BCA" w:rsidRPr="002E0E4B" w:rsidP="00117FBA">
      <w:pPr>
        <w:numPr>
          <w:ilvl w:val="0"/>
          <w:numId w:val="2"/>
        </w:numPr>
        <w:pBdr>
          <w:top w:val="nil"/>
          <w:left w:val="nil"/>
          <w:bottom w:val="nil"/>
          <w:right w:val="nil"/>
          <w:between w:val="nil"/>
        </w:pBdr>
        <w:spacing w:after="120"/>
        <w:rPr>
          <w:rFonts w:ascii="Calibri" w:hAnsi="Calibri" w:cs="Calibri"/>
        </w:rPr>
      </w:pPr>
      <w:r w:rsidRPr="002E0E4B">
        <w:rPr>
          <w:rFonts w:ascii="Calibri" w:eastAsia="Google Sans" w:hAnsi="Calibri" w:cs="Calibri"/>
        </w:rPr>
        <w:t xml:space="preserve">Support not sanctions Making school fair for 2 million children - Speech and Language UK, </w:t>
      </w:r>
      <w:r>
        <w:fldChar w:fldCharType="begin"/>
      </w:r>
      <w:r>
        <w:instrText xml:space="preserve"> HYPERLINK "https://speechandlanguage.org.uk/wp-content/uploads/2025/04/Support-not-sanctions-Making-school-fair-for-2-million-children-FINAL.pdf" </w:instrText>
      </w:r>
      <w:r>
        <w:fldChar w:fldCharType="separate"/>
      </w:r>
      <w:r w:rsidRPr="002E0E4B">
        <w:rPr>
          <w:rFonts w:ascii="Calibri" w:eastAsia="Google Sans" w:hAnsi="Calibri" w:cs="Calibri"/>
          <w:color w:val="0000EE"/>
          <w:u w:val="single"/>
        </w:rPr>
        <w:t>https://speechandlanguage.org.uk/wp-content/uploads/2025/04/Support-not-sanctions-Making-school-fair-for-2-million-children-FINAL.pdf</w:t>
      </w:r>
      <w:r>
        <w:fldChar w:fldCharType="end"/>
      </w:r>
    </w:p>
    <w:p w:rsidR="002E0E4B" w:rsidRPr="002E0E4B" w:rsidP="002E0E4B">
      <w:pPr>
        <w:pBdr>
          <w:top w:val="nil"/>
          <w:left w:val="nil"/>
          <w:bottom w:val="nil"/>
          <w:right w:val="nil"/>
          <w:between w:val="nil"/>
        </w:pBdr>
        <w:spacing w:after="120"/>
        <w:rPr>
          <w:rFonts w:ascii="Calibri" w:hAnsi="Calibri" w:cs="Calibri"/>
        </w:rPr>
      </w:pPr>
    </w:p>
    <w:p w:rsidR="002E0E4B" w:rsidRPr="002E0E4B" w:rsidP="002E0E4B">
      <w:pPr>
        <w:pBdr>
          <w:top w:val="nil"/>
          <w:left w:val="nil"/>
          <w:bottom w:val="nil"/>
          <w:right w:val="nil"/>
          <w:between w:val="nil"/>
        </w:pBdr>
        <w:spacing w:after="120"/>
        <w:rPr>
          <w:rFonts w:ascii="Calibri" w:hAnsi="Calibri" w:cs="Calibri"/>
          <w:i/>
          <w:iCs/>
        </w:rPr>
      </w:pPr>
      <w:r w:rsidRPr="002E0E4B">
        <w:rPr>
          <w:rFonts w:ascii="Calibri" w:hAnsi="Calibri" w:cs="Calibri"/>
          <w:i/>
          <w:iCs/>
        </w:rPr>
        <w:t>September 2026</w:t>
      </w:r>
    </w:p>
    <w:sectPr>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BD1FCDB-B5A8-4AE4-A14E-CF89F12FD8AE}"/>
  </w:font>
  <w:font w:name="Calibri">
    <w:panose1 w:val="020F0502020204030204"/>
    <w:charset w:val="00"/>
    <w:family w:val="swiss"/>
    <w:pitch w:val="variable"/>
    <w:sig w:usb0="E4002EFF" w:usb1="C200247B" w:usb2="00000009" w:usb3="00000000" w:csb0="000001FF" w:csb1="00000000"/>
    <w:embedRegular r:id="rId2" w:fontKey="{3E7BF96F-3253-442F-84FC-624C1DA968D3}"/>
    <w:embedBold r:id="rId3" w:fontKey="{F023D9FF-9F23-4A6D-99D8-06AD1192BF13}"/>
    <w:embedItalic r:id="rId4" w:fontKey="{4C4AE9CF-92C3-4C12-B073-D8ECCBC05D5B}"/>
  </w:font>
  <w:font w:name="Century Gothic">
    <w:panose1 w:val="020B0502020202020204"/>
    <w:charset w:val="00"/>
    <w:family w:val="swiss"/>
    <w:pitch w:val="variable"/>
    <w:sig w:usb0="00000287" w:usb1="00000000" w:usb2="00000000" w:usb3="00000000" w:csb0="0000009F" w:csb1="00000000"/>
    <w:embedRegular r:id="rId5" w:fontKey="{16F84B5C-3DE9-4EFE-91D3-983BA75088C3}"/>
  </w:font>
  <w:font w:name="Google Sans">
    <w:charset w:val="00"/>
    <w:family w:val="auto"/>
    <w:pitch w:val="default"/>
    <w:embedRegular r:id="rId6" w:fontKey="{8D60D3BD-DDD9-4056-B8E4-A5E6531742B2}"/>
    <w:embedBold r:id="rId7" w:fontKey="{5EB0BA77-058A-4B33-8034-58E936FF1FE4}"/>
    <w:embedItalic r:id="rId8" w:fontKey="{17466887-8A69-4792-8031-EDC206D5F9F8}"/>
  </w:font>
  <w:font w:name="Cambria">
    <w:panose1 w:val="02040503050406030204"/>
    <w:charset w:val="00"/>
    <w:family w:val="roman"/>
    <w:pitch w:val="variable"/>
    <w:sig w:usb0="E00006FF" w:usb1="420024FF" w:usb2="02000000" w:usb3="00000000" w:csb0="0000019F" w:csb1="00000000"/>
    <w:embedRegular r:id="rId9" w:fontKey="{0FE2CE55-9BA7-4C85-89CA-B6A855F1623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E564AE"/>
    <w:multiLevelType w:val="hybridMultilevel"/>
    <w:tmpl w:val="5D62D9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D904FAE"/>
    <w:multiLevelType w:val="multilevel"/>
    <w:tmpl w:val="1740706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nsid w:val="54FC16E4"/>
    <w:multiLevelType w:val="multilevel"/>
    <w:tmpl w:val="658C46A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117FBA"/>
    <w:pPr>
      <w:ind w:left="720"/>
      <w:contextualSpacing/>
    </w:pPr>
  </w:style>
  <w:style w:type="paragraph" w:styleId="Revision">
    <w:name w:val="Revision"/>
    <w:hidden/>
    <w:uiPriority w:val="99"/>
    <w:semiHidden/>
    <w:rsid w:val="00334A47"/>
    <w:pPr>
      <w:widowControl/>
    </w:pPr>
  </w:style>
  <w:style w:type="character" w:styleId="CommentReference">
    <w:name w:val="annotation reference"/>
    <w:basedOn w:val="DefaultParagraphFont"/>
    <w:uiPriority w:val="99"/>
    <w:semiHidden/>
    <w:unhideWhenUsed/>
    <w:rsid w:val="00334A47"/>
    <w:rPr>
      <w:sz w:val="16"/>
      <w:szCs w:val="16"/>
    </w:rPr>
  </w:style>
  <w:style w:type="paragraph" w:styleId="CommentText">
    <w:name w:val="annotation text"/>
    <w:basedOn w:val="Normal"/>
    <w:link w:val="CommentTextChar"/>
    <w:uiPriority w:val="99"/>
    <w:unhideWhenUsed/>
    <w:rsid w:val="00334A47"/>
    <w:rPr>
      <w:sz w:val="20"/>
      <w:szCs w:val="20"/>
    </w:rPr>
  </w:style>
  <w:style w:type="character" w:customStyle="1" w:styleId="CommentTextChar">
    <w:name w:val="Comment Text Char"/>
    <w:basedOn w:val="DefaultParagraphFont"/>
    <w:link w:val="CommentText"/>
    <w:uiPriority w:val="99"/>
    <w:rsid w:val="00334A47"/>
    <w:rPr>
      <w:sz w:val="20"/>
      <w:szCs w:val="20"/>
    </w:rPr>
  </w:style>
  <w:style w:type="paragraph" w:styleId="CommentSubject">
    <w:name w:val="annotation subject"/>
    <w:basedOn w:val="CommentText"/>
    <w:next w:val="CommentText"/>
    <w:link w:val="CommentSubjectChar"/>
    <w:uiPriority w:val="99"/>
    <w:semiHidden/>
    <w:unhideWhenUsed/>
    <w:rsid w:val="00334A47"/>
    <w:rPr>
      <w:b/>
      <w:bCs/>
    </w:rPr>
  </w:style>
  <w:style w:type="character" w:customStyle="1" w:styleId="CommentSubjectChar">
    <w:name w:val="Comment Subject Char"/>
    <w:basedOn w:val="CommentTextChar"/>
    <w:link w:val="CommentSubject"/>
    <w:uiPriority w:val="99"/>
    <w:semiHidden/>
    <w:rsid w:val="00334A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6AC4297E8F241A74BAC0E7433524A" ma:contentTypeVersion="18" ma:contentTypeDescription="Create a new document." ma:contentTypeScope="" ma:versionID="0d12c41175f204c4f47ab60ee57d1d28">
  <xsd:schema xmlns:xsd="http://www.w3.org/2001/XMLSchema" xmlns:xs="http://www.w3.org/2001/XMLSchema" xmlns:p="http://schemas.microsoft.com/office/2006/metadata/properties" xmlns:ns2="5646eb6c-ed67-4e81-88eb-5ec4d2682e02" xmlns:ns3="d95fcc36-13ac-4047-acd3-9fc06e4af52f" targetNamespace="http://schemas.microsoft.com/office/2006/metadata/properties" ma:root="true" ma:fieldsID="6d33953d1ff9cbff02f18ce78a6407e0" ns2:_="" ns3:_="">
    <xsd:import namespace="5646eb6c-ed67-4e81-88eb-5ec4d2682e02"/>
    <xsd:import namespace="d95fcc36-13ac-4047-acd3-9fc06e4af5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6eb6c-ed67-4e81-88eb-5ec4d2682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120e711-364d-4e63-9c4e-7f10d138a8a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5fcc36-13ac-4047-acd3-9fc06e4af5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5c6c81f-9b21-43b1-b566-c050d34e7d43}" ma:internalName="TaxCatchAll" ma:showField="CatchAllData" ma:web="d95fcc36-13ac-4047-acd3-9fc06e4af5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46eb6c-ed67-4e81-88eb-5ec4d2682e02">
      <Terms xmlns="http://schemas.microsoft.com/office/infopath/2007/PartnerControls"/>
    </lcf76f155ced4ddcb4097134ff3c332f>
    <TaxCatchAll xmlns="d95fcc36-13ac-4047-acd3-9fc06e4af52f" xsi:nil="true"/>
  </documentManagement>
</p:properties>
</file>

<file path=customXml/itemProps1.xml><?xml version="1.0" encoding="utf-8"?>
<ds:datastoreItem xmlns:ds="http://schemas.openxmlformats.org/officeDocument/2006/customXml" ds:itemID="{5F72A870-AA50-4D28-A751-6DDE5325CFC2}">
  <ds:schemaRefs>
    <ds:schemaRef ds:uri="http://schemas.microsoft.com/sharepoint/v3/contenttype/forms"/>
  </ds:schemaRefs>
</ds:datastoreItem>
</file>

<file path=customXml/itemProps2.xml><?xml version="1.0" encoding="utf-8"?>
<ds:datastoreItem xmlns:ds="http://schemas.openxmlformats.org/officeDocument/2006/customXml" ds:itemID="{2EAFA280-26F6-4F41-A27C-AB20D5F09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6eb6c-ed67-4e81-88eb-5ec4d2682e02"/>
    <ds:schemaRef ds:uri="d95fcc36-13ac-4047-acd3-9fc06e4af5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A45DFC-0D26-4942-8411-9493FDC680B4}">
  <ds:schemaRefs>
    <ds:schemaRef ds:uri="http://schemas.microsoft.com/office/2006/metadata/properties"/>
    <ds:schemaRef ds:uri="http://schemas.microsoft.com/office/infopath/2007/PartnerControls"/>
    <ds:schemaRef ds:uri="5646eb6c-ed67-4e81-88eb-5ec4d2682e02"/>
    <ds:schemaRef ds:uri="d95fcc36-13ac-4047-acd3-9fc06e4af52f"/>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ECA0098</dc:title>
  <cp:revision>0</cp:revision>
</cp:coreProperties>
</file>