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F00653" w:rsidP="00F00653">
      <w:pPr>
        <w:jc w:val="center"/>
        <w:rPr>
          <w:rFonts w:ascii="Calibri" w:hAnsi="Calibri" w:cs="Calibri"/>
          <w:b/>
          <w:bCs/>
        </w:rPr>
      </w:pPr>
      <w:r w:rsidRPr="00F00653">
        <w:rPr>
          <w:rFonts w:ascii="Calibri" w:hAnsi="Calibri" w:cs="Calibri"/>
          <w:b/>
          <w:bCs/>
        </w:rPr>
        <w:t xml:space="preserve">Written evidence by </w:t>
      </w:r>
      <w:r w:rsidRPr="00F00653">
        <w:rPr>
          <w:rFonts w:ascii="Calibri" w:hAnsi="Calibri" w:cs="Calibri"/>
          <w:b/>
          <w:bCs/>
        </w:rPr>
        <w:t>Independent Society of Musicians</w:t>
      </w:r>
      <w:r>
        <w:rPr>
          <w:rFonts w:ascii="Calibri" w:hAnsi="Calibri" w:cs="Calibri"/>
          <w:b/>
          <w:bCs/>
        </w:rPr>
        <w:t xml:space="preserve"> (</w:t>
      </w:r>
      <w:r w:rsidRPr="00F00653">
        <w:rPr>
          <w:rFonts w:ascii="Calibri" w:hAnsi="Calibri" w:cs="Calibri"/>
          <w:b/>
          <w:bCs/>
        </w:rPr>
        <w:t>ECA0097</w:t>
      </w:r>
      <w:r>
        <w:rPr>
          <w:rFonts w:ascii="Calibri" w:hAnsi="Calibri" w:cs="Calibri"/>
          <w:b/>
          <w:bCs/>
        </w:rPr>
        <w:t>)</w:t>
      </w:r>
    </w:p>
    <w:p w:rsidR="00F00653" w:rsidP="00F00653">
      <w:pPr>
        <w:rPr>
          <w:rFonts w:ascii="Calibri" w:hAnsi="Calibri" w:cs="Calibri"/>
          <w:b/>
          <w:bCs/>
        </w:rPr>
      </w:pPr>
      <w:r>
        <w:rPr>
          <w:rFonts w:ascii="Calibri" w:hAnsi="Calibri" w:cs="Calibri"/>
          <w:b/>
          <w:bCs/>
        </w:rPr>
        <w:t>Education Committee</w:t>
      </w:r>
    </w:p>
    <w:p w:rsidR="00F00653" w:rsidRPr="00F00653" w:rsidP="00F00653">
      <w:pPr>
        <w:rPr>
          <w:rFonts w:ascii="Calibri" w:hAnsi="Calibri" w:cs="Calibri"/>
          <w:b/>
          <w:bCs/>
        </w:rPr>
      </w:pPr>
      <w:r w:rsidRPr="00F00653">
        <w:rPr>
          <w:rFonts w:ascii="Aptos" w:eastAsia="Aptos" w:hAnsi="Aptos" w:cs="Times New Roman"/>
          <w:b/>
          <w:bCs/>
        </w:rPr>
        <w:t>Every Child Achieving and Thriving’ White Paper</w:t>
      </w:r>
    </w:p>
    <w:p w:rsidR="00000000" w:rsidRPr="00323D00">
      <w:r w:rsidRPr="071C159B">
        <w:rPr>
          <w:rFonts w:ascii="Arial" w:hAnsi="Arial" w:cs="Arial"/>
        </w:rPr>
        <w:t xml:space="preserve">The Independent Society of Musicians (ISM) is the UK’s oldest representative body for professional musicians, set up in 1882 to promote the art of music and to protect the interests of all those working in the music sector. We represent over 11,000 members across the UK and Ireland, many of whom are music teachers. We are a financially independent, not-for-profit organisation with no political </w:t>
      </w:r>
      <w:r w:rsidRPr="071C159B">
        <w:rPr>
          <w:rFonts w:ascii="Arial" w:hAnsi="Arial" w:cs="Arial"/>
        </w:rPr>
        <w:t xml:space="preserve">affiliation, and we campaign in support of musicians’ rights, music education and the </w:t>
      </w:r>
      <w:r w:rsidRPr="071C159B">
        <w:rPr>
          <w:rFonts w:ascii="Arial" w:hAnsi="Arial" w:cs="Arial"/>
        </w:rPr>
        <w:t>profession as a whole</w:t>
      </w:r>
      <w:r w:rsidRPr="071C159B">
        <w:rPr>
          <w:rFonts w:ascii="Arial" w:hAnsi="Arial" w:cs="Arial"/>
        </w:rPr>
        <w:t xml:space="preserve">. </w:t>
      </w:r>
    </w:p>
    <w:p w:rsidR="00000000" w:rsidRPr="00323D00">
      <w:pPr>
        <w:rPr>
          <w:rFonts w:ascii="Arial" w:hAnsi="Arial" w:cs="Arial"/>
        </w:rPr>
      </w:pPr>
      <w:r w:rsidRPr="071C159B">
        <w:rPr>
          <w:rFonts w:ascii="Arial" w:hAnsi="Arial" w:cs="Arial"/>
        </w:rPr>
        <w:t>The ISM is a nationally recognised subject association for music and provides the secretariat for the All-Party Parliamentary Group for Music Education.</w:t>
      </w:r>
    </w:p>
    <w:p w:rsidR="00000000" w:rsidRPr="009C0F21">
      <w:pPr>
        <w:rPr>
          <w:rFonts w:ascii="Arial" w:hAnsi="Arial" w:cs="Arial"/>
          <w:b/>
          <w:bCs/>
        </w:rPr>
      </w:pPr>
      <w:r w:rsidRPr="009C0F21">
        <w:rPr>
          <w:rFonts w:ascii="Arial" w:hAnsi="Arial" w:cs="Arial"/>
          <w:b/>
          <w:bCs/>
        </w:rPr>
        <w:t>Raising attainment</w:t>
      </w:r>
    </w:p>
    <w:p w:rsidR="00000000" w:rsidRPr="009D2015" w:rsidP="009D2015">
      <w:pPr>
        <w:rPr>
          <w:rFonts w:ascii="Arial" w:hAnsi="Arial" w:cs="Arial"/>
        </w:rPr>
      </w:pPr>
      <w:r>
        <w:rPr>
          <w:rFonts w:ascii="Arial" w:hAnsi="Arial" w:cs="Arial"/>
        </w:rPr>
        <w:t>Changes to Progress 8</w:t>
      </w:r>
      <w:r w:rsidRPr="009D2015">
        <w:rPr>
          <w:rFonts w:ascii="Arial" w:hAnsi="Arial" w:cs="Arial"/>
        </w:rPr>
        <w:t xml:space="preserve"> could be a step in the right direction. Placing arts subjects on an equal footing with humanities and languages in the breadth bucket sends an important signal to schools that music and the arts should receive the same weighting in the curriculum as humanities and languages. This could help a music teacher to advocate for more curriculum time or funding and may make it easier for a student to take more than one arts subject at GCSE.</w:t>
      </w:r>
    </w:p>
    <w:p w:rsidR="00000000" w:rsidRPr="009D2015" w:rsidP="009D2015">
      <w:pPr>
        <w:rPr>
          <w:rFonts w:ascii="Arial" w:hAnsi="Arial" w:cs="Arial"/>
        </w:rPr>
      </w:pPr>
      <w:r w:rsidRPr="009D2015">
        <w:rPr>
          <w:rFonts w:ascii="Arial" w:hAnsi="Arial" w:cs="Arial"/>
        </w:rPr>
        <w:t xml:space="preserve">However, </w:t>
      </w:r>
      <w:r>
        <w:rPr>
          <w:rFonts w:ascii="Arial" w:hAnsi="Arial" w:cs="Arial"/>
        </w:rPr>
        <w:t>o</w:t>
      </w:r>
      <w:r w:rsidRPr="009D2015">
        <w:rPr>
          <w:rFonts w:ascii="Arial" w:hAnsi="Arial" w:cs="Arial"/>
        </w:rPr>
        <w:t xml:space="preserve">n their own, these changes are unlikely to provide a significant boost to music and other arts subjects in the curriculum because it is possible to fulfil the reformed Progress 8 without making any changes to a school’s arts offering. Providing three subject blocks for the breadth slots 5 and 6 means that students can choose to study a humanities subject and a language, ignoring the creative block. A school that has focused on prioritising the former EBacc subjects (which include humanities and languages) would not therefore need to make any changes </w:t>
      </w:r>
      <w:r w:rsidRPr="009D2015">
        <w:rPr>
          <w:rFonts w:ascii="Arial" w:hAnsi="Arial" w:cs="Arial"/>
        </w:rPr>
        <w:t>in order to</w:t>
      </w:r>
      <w:r w:rsidRPr="009D2015">
        <w:rPr>
          <w:rFonts w:ascii="Arial" w:hAnsi="Arial" w:cs="Arial"/>
        </w:rPr>
        <w:t xml:space="preserve"> satisfy the requirements of the proposed new model.</w:t>
      </w:r>
    </w:p>
    <w:p w:rsidR="00000000" w:rsidRPr="00323D00">
      <w:pPr>
        <w:rPr>
          <w:rFonts w:ascii="Arial" w:hAnsi="Arial" w:cs="Arial"/>
        </w:rPr>
      </w:pPr>
      <w:r w:rsidRPr="00323D00">
        <w:rPr>
          <w:rFonts w:ascii="Arial" w:hAnsi="Arial" w:cs="Arial"/>
        </w:rPr>
        <w:t>Including science as a fourth category in slots 5 and 6 would undo any positive benefit for arts subjects from the proposed new model of Progress 8. Science already has a dominant position over the arts in many schools. This proposal would reinforce that imbalance and mean that arts subjects have to compete much harder for inclusion in slots 5 and 6. Science is already boosted in the proposed reforms by having a dedicated bucket (slots 3 and 4) and there is space for a third science in slots 7 or 8. The government must abandon this proposal, which wholly undermines its objective of broadening the curriculum.</w:t>
      </w:r>
    </w:p>
    <w:p w:rsidR="00000000" w:rsidRPr="00323D00">
      <w:r w:rsidRPr="7E9DBF49">
        <w:rPr>
          <w:rFonts w:ascii="Arial" w:hAnsi="Arial" w:cs="Arial"/>
        </w:rPr>
        <w:t>T</w:t>
      </w:r>
      <w:r w:rsidRPr="7E9DBF49">
        <w:rPr>
          <w:rFonts w:ascii="Arial" w:hAnsi="Arial" w:cs="Arial"/>
        </w:rPr>
        <w:t>echnical awards should be allowed in the breadth and choice slots. Both GCSE music and Level 2 music technical awards should count in the creative bucket of the breadth slot as well as in the choice slot. It is important to ensure parity between academic and technical routes, as they support access for a wider range of students and have clear progression pathways into Level 3 music and creative courses. Currently, up to three technical awards count in school performance tables and this option should remain.</w:t>
      </w:r>
      <w:r w:rsidRPr="7E9DBF49">
        <w:rPr>
          <w:rFonts w:ascii="Arial" w:hAnsi="Arial" w:cs="Arial"/>
        </w:rPr>
        <w:t> </w:t>
      </w:r>
    </w:p>
    <w:p w:rsidR="00000000">
      <w:r w:rsidRPr="7E9DBF49">
        <w:rPr>
          <w:rFonts w:ascii="Arial" w:hAnsi="Arial" w:cs="Arial"/>
          <w:b/>
          <w:bCs/>
        </w:rPr>
        <w:t>Enrichment, belonging and behaviour</w:t>
      </w:r>
    </w:p>
    <w:p w:rsidR="00000000" w:rsidP="7E9DBF49">
      <w:pPr>
        <w:spacing w:line="257" w:lineRule="auto"/>
      </w:pPr>
      <w:r w:rsidRPr="249B8EA2">
        <w:rPr>
          <w:rFonts w:ascii="Arial" w:eastAsia="Arial" w:hAnsi="Arial" w:cs="Arial"/>
        </w:rPr>
        <w:t>The skills that music develop including discipline, collaboration, problem-solving, creativity, resilience and the ability to communicate are consistently identified by employers as being in short supply</w:t>
      </w:r>
      <w:r w:rsidRPr="249B8EA2">
        <w:rPr>
          <w:rFonts w:ascii="Arial" w:eastAsia="Arial" w:hAnsi="Arial" w:cs="Arial"/>
        </w:rPr>
        <w:t>. Recent evidence reviews</w:t>
      </w:r>
      <w:r w:rsidRPr="249B8EA2">
        <w:rPr>
          <w:rFonts w:ascii="Arial" w:eastAsia="Arial" w:hAnsi="Arial" w:cs="Arial"/>
        </w:rPr>
        <w:t xml:space="preserve">, for example by the Cultural Learning Alliance, also suggest that music education supports wider learning skills such as memory, attention and </w:t>
      </w:r>
      <w:r w:rsidRPr="249B8EA2">
        <w:rPr>
          <w:rFonts w:ascii="Arial" w:eastAsia="Arial" w:hAnsi="Arial" w:cs="Arial"/>
        </w:rPr>
        <w:t>concentration, alongside improvements in motivation, engagement, wellbeing and wider social development.</w:t>
      </w:r>
    </w:p>
    <w:p w:rsidR="00000000" w:rsidP="7E9DBF49">
      <w:pPr>
        <w:spacing w:line="257" w:lineRule="auto"/>
        <w:rPr>
          <w:rFonts w:ascii="Arial" w:eastAsia="Arial" w:hAnsi="Arial" w:cs="Arial"/>
        </w:rPr>
      </w:pPr>
      <w:r w:rsidRPr="7E9DBF49">
        <w:rPr>
          <w:rFonts w:ascii="Arial" w:eastAsia="Arial" w:hAnsi="Arial" w:cs="Arial"/>
        </w:rPr>
        <w:t xml:space="preserve">The benefits are clear to see, but the ISM’s concern is that without significant additional funding the burden of increasing enrichment activities will fall on music teachers who are </w:t>
      </w:r>
      <w:r w:rsidRPr="7E9DBF49">
        <w:rPr>
          <w:rFonts w:ascii="Arial" w:eastAsia="Arial" w:hAnsi="Arial" w:cs="Arial"/>
        </w:rPr>
        <w:t xml:space="preserve">often already </w:t>
      </w:r>
      <w:r w:rsidRPr="7E9DBF49">
        <w:rPr>
          <w:rFonts w:ascii="Arial" w:eastAsia="Arial" w:hAnsi="Arial" w:cs="Arial"/>
        </w:rPr>
        <w:t xml:space="preserve">giving </w:t>
      </w:r>
      <w:r w:rsidRPr="7E9DBF49">
        <w:rPr>
          <w:rFonts w:ascii="Arial" w:eastAsia="Arial" w:hAnsi="Arial" w:cs="Arial"/>
        </w:rPr>
        <w:t>significant unpaid time to deliver them</w:t>
      </w:r>
      <w:r w:rsidRPr="7E9DBF49">
        <w:rPr>
          <w:rFonts w:ascii="Arial" w:eastAsia="Arial" w:hAnsi="Arial" w:cs="Arial"/>
        </w:rPr>
        <w:t>, and further risk teacher retention.</w:t>
      </w:r>
    </w:p>
    <w:p w:rsidR="00000000" w:rsidRPr="009C0F21">
      <w:pPr>
        <w:rPr>
          <w:rFonts w:ascii="Arial" w:hAnsi="Arial" w:cs="Arial"/>
          <w:b/>
          <w:bCs/>
        </w:rPr>
      </w:pPr>
      <w:r w:rsidRPr="009C0F21">
        <w:rPr>
          <w:rFonts w:ascii="Arial" w:hAnsi="Arial" w:cs="Arial"/>
          <w:b/>
          <w:bCs/>
        </w:rPr>
        <w:t>Workforce</w:t>
      </w:r>
    </w:p>
    <w:p w:rsidR="00000000" w:rsidRPr="009D2015" w:rsidP="009D2015">
      <w:pPr>
        <w:rPr>
          <w:rFonts w:ascii="Arial" w:hAnsi="Arial" w:cs="Arial"/>
        </w:rPr>
      </w:pPr>
      <w:r w:rsidRPr="009D2015">
        <w:rPr>
          <w:rFonts w:ascii="Arial" w:hAnsi="Arial" w:cs="Arial"/>
        </w:rPr>
        <w:t>Secondary music teacher recruitment has been in crisis for many years, largely due to education policies that have devalued music as a subject since 2010. The DfE has missed its own recruitment targets for secondary music teachers in 12 out of the last 13 years and the number of music teacher trainees has fallen by 51.3% between 2010/11 and 2024/25.</w:t>
      </w:r>
    </w:p>
    <w:p w:rsidR="00000000" w:rsidRPr="009D2015" w:rsidP="009D2015">
      <w:pPr>
        <w:rPr>
          <w:rFonts w:ascii="Arial" w:hAnsi="Arial" w:cs="Arial"/>
        </w:rPr>
      </w:pPr>
      <w:r w:rsidRPr="009D2015">
        <w:rPr>
          <w:rFonts w:ascii="Arial" w:hAnsi="Arial" w:cs="Arial"/>
        </w:rPr>
        <w:t xml:space="preserve">The government has frequently spoken of its ambition to revitalise music in schools, with </w:t>
      </w:r>
      <w:r>
        <w:rPr>
          <w:rFonts w:ascii="Arial" w:hAnsi="Arial" w:cs="Arial"/>
        </w:rPr>
        <w:t>the Minister of State</w:t>
      </w:r>
      <w:r w:rsidRPr="009D2015">
        <w:rPr>
          <w:rFonts w:ascii="Arial" w:hAnsi="Arial" w:cs="Arial"/>
        </w:rPr>
        <w:t xml:space="preserve"> affirming that it is ‘critical’ to the DfE’s agenda. It is not possible to achieve this without more specialist music teachers, yet the music ITT target has been severely cut over the last two years, from 820 in 2024/25 to just 260 in 2026/27. This is despite the government’s ITT census showing that only 40% of the target for music trainees was met in 2024/25 and only 65% of the reduced target was met in 2025/26.</w:t>
      </w:r>
    </w:p>
    <w:p w:rsidR="00000000" w:rsidRPr="009D2015" w:rsidP="009D2015">
      <w:pPr>
        <w:rPr>
          <w:rFonts w:ascii="Arial" w:hAnsi="Arial" w:cs="Arial"/>
        </w:rPr>
      </w:pPr>
      <w:r w:rsidRPr="009D2015">
        <w:rPr>
          <w:rFonts w:ascii="Arial" w:hAnsi="Arial" w:cs="Arial"/>
        </w:rPr>
        <w:t>The methodology for the DfE’s recruitment targets focuses on replacing current teacher numbers. This approach at best maintains the status quo, which is already failing to meet existing demand. With the Children’s Wellbeing and Schools Bill due to make music a compulsory subject in all schools until the end of Key Stage 3, demand will increase significantly. Yet schools are struggling to recruit specialist music teachers, and the pool of applicants for even the most desirable music teacher positions has shrunk. In addition, the decision to axe the £10,000 music ITT bursary for the academic year 2026/27, already significantly below the offer of £29,000 for other subjects, will have a further negative impact on recruitment, reversing the limited progress made since the bursary was reinstated in 2023.</w:t>
      </w:r>
    </w:p>
    <w:p w:rsidR="00000000" w:rsidRPr="009D2015" w:rsidP="009D2015">
      <w:pPr>
        <w:rPr>
          <w:rFonts w:ascii="Arial" w:hAnsi="Arial" w:cs="Arial"/>
        </w:rPr>
      </w:pPr>
      <w:r w:rsidRPr="009D2015">
        <w:rPr>
          <w:rFonts w:ascii="Arial" w:hAnsi="Arial" w:cs="Arial"/>
        </w:rPr>
        <w:t xml:space="preserve">We urgently need more music teachers to deliver the government’s ambitions for music education. While the new enrichment benchmarks strengthen the message of music’s value, it will require increased teacher workload to provide enrichment activities, and the success of the investment made to introduce the new National Centre for Music and the Arts is reliant on there being a sufficient pool of teachers to upskill. </w:t>
      </w:r>
    </w:p>
    <w:p w:rsidR="00000000" w:rsidP="009D2015">
      <w:pPr>
        <w:rPr>
          <w:rFonts w:ascii="Arial" w:hAnsi="Arial" w:cs="Arial"/>
        </w:rPr>
      </w:pPr>
    </w:p>
    <w:p w:rsidR="00F00653" w:rsidRPr="00F00653" w:rsidP="009D2015">
      <w:pPr>
        <w:rPr>
          <w:rFonts w:ascii="Arial" w:hAnsi="Arial" w:cs="Arial"/>
          <w:i/>
          <w:iCs/>
        </w:rPr>
      </w:pPr>
      <w:r w:rsidRPr="00F00653">
        <w:rPr>
          <w:rFonts w:ascii="Arial" w:hAnsi="Arial" w:cs="Arial"/>
          <w:i/>
          <w:iCs/>
        </w:rPr>
        <w:t>September 2026</w:t>
      </w:r>
    </w:p>
    <w:sectPr>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CDB57F1"/>
    <w:multiLevelType w:val="multilevel"/>
    <w:tmpl w:val="E3F257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4D0095A"/>
    <w:multiLevelType w:val="multilevel"/>
    <w:tmpl w:val="DB06F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basedOn w:val="Normal"/>
    <w:next w:val="Normal"/>
    <w:link w:val="Heading1Char"/>
    <w:uiPriority w:val="9"/>
    <w:qFormat/>
    <w:rsid w:val="009D201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D201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D201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D201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D201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D201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D201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D201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D201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201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D201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D201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D201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D201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D201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D201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D201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D2015"/>
    <w:rPr>
      <w:rFonts w:eastAsiaTheme="majorEastAsia" w:cstheme="majorBidi"/>
      <w:color w:val="272727" w:themeColor="text1" w:themeTint="D8"/>
    </w:rPr>
  </w:style>
  <w:style w:type="paragraph" w:styleId="Title">
    <w:name w:val="Title"/>
    <w:basedOn w:val="Normal"/>
    <w:next w:val="Normal"/>
    <w:link w:val="TitleChar"/>
    <w:uiPriority w:val="10"/>
    <w:qFormat/>
    <w:rsid w:val="009D201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D201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D201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D201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D2015"/>
    <w:pPr>
      <w:spacing w:before="160"/>
      <w:jc w:val="center"/>
    </w:pPr>
    <w:rPr>
      <w:i/>
      <w:iCs/>
      <w:color w:val="404040" w:themeColor="text1" w:themeTint="BF"/>
    </w:rPr>
  </w:style>
  <w:style w:type="character" w:customStyle="1" w:styleId="QuoteChar">
    <w:name w:val="Quote Char"/>
    <w:basedOn w:val="DefaultParagraphFont"/>
    <w:link w:val="Quote"/>
    <w:uiPriority w:val="29"/>
    <w:rsid w:val="009D2015"/>
    <w:rPr>
      <w:i/>
      <w:iCs/>
      <w:color w:val="404040" w:themeColor="text1" w:themeTint="BF"/>
    </w:rPr>
  </w:style>
  <w:style w:type="paragraph" w:styleId="ListParagraph">
    <w:name w:val="List Paragraph"/>
    <w:basedOn w:val="Normal"/>
    <w:uiPriority w:val="34"/>
    <w:qFormat/>
    <w:rsid w:val="009D2015"/>
    <w:pPr>
      <w:ind w:left="720"/>
      <w:contextualSpacing/>
    </w:pPr>
  </w:style>
  <w:style w:type="character" w:styleId="IntenseEmphasis">
    <w:name w:val="Intense Emphasis"/>
    <w:basedOn w:val="DefaultParagraphFont"/>
    <w:uiPriority w:val="21"/>
    <w:qFormat/>
    <w:rsid w:val="009D2015"/>
    <w:rPr>
      <w:i/>
      <w:iCs/>
      <w:color w:val="2F5496" w:themeColor="accent1" w:themeShade="BF"/>
    </w:rPr>
  </w:style>
  <w:style w:type="paragraph" w:styleId="IntenseQuote">
    <w:name w:val="Intense Quote"/>
    <w:basedOn w:val="Normal"/>
    <w:next w:val="Normal"/>
    <w:link w:val="IntenseQuoteChar"/>
    <w:uiPriority w:val="30"/>
    <w:qFormat/>
    <w:rsid w:val="009D201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D2015"/>
    <w:rPr>
      <w:i/>
      <w:iCs/>
      <w:color w:val="2F5496" w:themeColor="accent1" w:themeShade="BF"/>
    </w:rPr>
  </w:style>
  <w:style w:type="character" w:styleId="IntenseReference">
    <w:name w:val="Intense Reference"/>
    <w:basedOn w:val="DefaultParagraphFont"/>
    <w:uiPriority w:val="32"/>
    <w:qFormat/>
    <w:rsid w:val="009D2015"/>
    <w:rPr>
      <w:b/>
      <w:bCs/>
      <w:smallCaps/>
      <w:color w:val="2F5496" w:themeColor="accent1" w:themeShade="BF"/>
      <w:spacing w:val="5"/>
    </w:rPr>
  </w:style>
  <w:style w:type="character" w:styleId="Hyperlink">
    <w:name w:val="Hyperlink"/>
    <w:basedOn w:val="DefaultParagraphFont"/>
    <w:uiPriority w:val="99"/>
    <w:unhideWhenUsed/>
    <w:rsid w:val="009D2015"/>
    <w:rPr>
      <w:color w:val="0563C1" w:themeColor="hyperlink"/>
      <w:u w:val="single"/>
    </w:rPr>
  </w:style>
  <w:style w:type="character" w:customStyle="1" w:styleId="UnresolvedMention1">
    <w:name w:val="Unresolved Mention1"/>
    <w:basedOn w:val="DefaultParagraphFont"/>
    <w:uiPriority w:val="99"/>
    <w:semiHidden/>
    <w:unhideWhenUsed/>
    <w:rsid w:val="009D201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355DCFF10D5C5469B6D11574C72257E" ma:contentTypeVersion="17" ma:contentTypeDescription="Create a new document." ma:contentTypeScope="" ma:versionID="7688f2542882aca851ef2a183633742f">
  <xsd:schema xmlns:xsd="http://www.w3.org/2001/XMLSchema" xmlns:xs="http://www.w3.org/2001/XMLSchema" xmlns:p="http://schemas.microsoft.com/office/2006/metadata/properties" xmlns:ns3="db28547f-8025-4dde-9024-473318098b2b" xmlns:ns4="84bf826e-cc9f-4729-b91a-3ef7417ced36" targetNamespace="http://schemas.microsoft.com/office/2006/metadata/properties" ma:root="true" ma:fieldsID="617d25f8b3fbd0c8091d4064b1ef0452" ns3:_="" ns4:_="">
    <xsd:import namespace="db28547f-8025-4dde-9024-473318098b2b"/>
    <xsd:import namespace="84bf826e-cc9f-4729-b91a-3ef7417ced36"/>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_activity" minOccurs="0"/>
                <xsd:element ref="ns3:MediaServiceDateTaken" minOccurs="0"/>
                <xsd:element ref="ns3:MediaServiceObjectDetectorVersions" minOccurs="0"/>
                <xsd:element ref="ns3:MediaLengthInSeconds" minOccurs="0"/>
                <xsd:element ref="ns3:MediaServiceSearchPropertie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b28547f-8025-4dde-9024-473318098b2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_activity" ma:index="19" nillable="true" ma:displayName="_activity" ma:hidden="true" ma:internalName="_activity">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SystemTags" ma:index="24"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4bf826e-cc9f-4729-b91a-3ef7417ced3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db28547f-8025-4dde-9024-473318098b2b" xsi:nil="true"/>
  </documentManagement>
</p:properties>
</file>

<file path=customXml/itemProps1.xml><?xml version="1.0" encoding="utf-8"?>
<ds:datastoreItem xmlns:ds="http://schemas.openxmlformats.org/officeDocument/2006/customXml" ds:itemID="{10006443-728F-48D3-A26B-1F4F19551F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b28547f-8025-4dde-9024-473318098b2b"/>
    <ds:schemaRef ds:uri="84bf826e-cc9f-4729-b91a-3ef7417ced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9C392E7-5EA1-46E1-88C9-2EA205E3BB3C}">
  <ds:schemaRefs>
    <ds:schemaRef ds:uri="http://schemas.microsoft.com/sharepoint/v3/contenttype/forms"/>
  </ds:schemaRefs>
</ds:datastoreItem>
</file>

<file path=customXml/itemProps3.xml><?xml version="1.0" encoding="utf-8"?>
<ds:datastoreItem xmlns:ds="http://schemas.openxmlformats.org/officeDocument/2006/customXml" ds:itemID="{4BB9D5F2-7AF7-4540-AB7C-23ADE4062BC4}">
  <ds:schemaRefs>
    <ds:schemaRef ds:uri="http://schemas.microsoft.com/office/2006/metadata/properties"/>
    <ds:schemaRef ds:uri="http://schemas.microsoft.com/office/infopath/2007/PartnerControls"/>
    <ds:schemaRef ds:uri="db28547f-8025-4dde-9024-473318098b2b"/>
  </ds:schemaRefs>
</ds:datastoreItem>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evidence - ECA0097</dc:title>
  <cp:revision>0</cp:revision>
</cp:coreProperties>
</file>