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C7F03" w:rsidRPr="00A511CE" w:rsidP="00A511CE">
      <w:pPr>
        <w:jc w:val="center"/>
        <w:rPr>
          <w:rFonts w:ascii="Calibri" w:hAnsi="Calibri" w:cs="Calibri"/>
          <w:b/>
          <w:bCs/>
          <w:sz w:val="22"/>
          <w:szCs w:val="22"/>
        </w:rPr>
      </w:pPr>
      <w:r w:rsidRPr="00A511CE">
        <w:rPr>
          <w:rFonts w:ascii="Calibri" w:hAnsi="Calibri" w:cs="Calibri"/>
          <w:b/>
          <w:bCs/>
          <w:sz w:val="22"/>
          <w:szCs w:val="22"/>
        </w:rPr>
        <w:t xml:space="preserve">Written evidence by </w:t>
      </w:r>
      <w:r w:rsidRPr="00A511CE">
        <w:rPr>
          <w:rFonts w:ascii="Calibri" w:hAnsi="Calibri" w:cs="Calibri"/>
          <w:b/>
          <w:bCs/>
          <w:sz w:val="22"/>
          <w:szCs w:val="22"/>
        </w:rPr>
        <w:t>Barnardo’s</w:t>
      </w:r>
      <w:r w:rsidRPr="00A511CE" w:rsidR="00A511CE">
        <w:rPr>
          <w:rFonts w:ascii="Calibri" w:hAnsi="Calibri" w:cs="Calibri"/>
          <w:b/>
          <w:bCs/>
          <w:sz w:val="22"/>
          <w:szCs w:val="22"/>
        </w:rPr>
        <w:t xml:space="preserve"> (</w:t>
      </w:r>
      <w:r w:rsidRPr="00A511CE" w:rsidR="00A511CE">
        <w:rPr>
          <w:rFonts w:ascii="Calibri" w:hAnsi="Calibri" w:cs="Calibri"/>
          <w:b/>
          <w:bCs/>
          <w:sz w:val="22"/>
          <w:szCs w:val="22"/>
        </w:rPr>
        <w:t>ECA0094</w:t>
      </w:r>
      <w:r w:rsidRPr="00A511CE" w:rsidR="00A511CE">
        <w:rPr>
          <w:rFonts w:ascii="Calibri" w:hAnsi="Calibri" w:cs="Calibri"/>
          <w:b/>
          <w:bCs/>
          <w:sz w:val="22"/>
          <w:szCs w:val="22"/>
        </w:rPr>
        <w:t>)</w:t>
      </w:r>
    </w:p>
    <w:p w:rsidR="00A511CE" w:rsidRPr="00A511CE" w:rsidP="00A511CE">
      <w:pPr>
        <w:jc w:val="center"/>
        <w:rPr>
          <w:rFonts w:ascii="Calibri" w:hAnsi="Calibri" w:cs="Calibri"/>
          <w:b/>
          <w:bCs/>
          <w:sz w:val="22"/>
          <w:szCs w:val="22"/>
        </w:rPr>
      </w:pPr>
    </w:p>
    <w:p w:rsidR="00A511CE" w:rsidRPr="00A511CE" w:rsidP="00A511CE">
      <w:pPr>
        <w:rPr>
          <w:rFonts w:ascii="Calibri" w:hAnsi="Calibri" w:cs="Calibri"/>
          <w:b/>
          <w:bCs/>
          <w:sz w:val="22"/>
          <w:szCs w:val="22"/>
        </w:rPr>
      </w:pPr>
      <w:r w:rsidRPr="00A511CE">
        <w:rPr>
          <w:rFonts w:ascii="Calibri" w:hAnsi="Calibri" w:cs="Calibri"/>
          <w:b/>
          <w:bCs/>
          <w:sz w:val="22"/>
          <w:szCs w:val="22"/>
        </w:rPr>
        <w:t>Education committee</w:t>
      </w:r>
    </w:p>
    <w:p w:rsidR="00A511CE" w:rsidRPr="00A511CE" w:rsidP="00A511CE">
      <w:pPr>
        <w:rPr>
          <w:rFonts w:ascii="Calibri" w:hAnsi="Calibri" w:cs="Calibri"/>
          <w:b/>
          <w:bCs/>
          <w:sz w:val="22"/>
          <w:szCs w:val="22"/>
        </w:rPr>
      </w:pPr>
      <w:r w:rsidRPr="00A511CE">
        <w:rPr>
          <w:rFonts w:ascii="Calibri" w:eastAsia="Aptos" w:hAnsi="Calibri" w:cs="Calibri"/>
          <w:b/>
          <w:bCs/>
          <w:sz w:val="22"/>
          <w:szCs w:val="22"/>
        </w:rPr>
        <w:t>Every Child Achieving and Thriving’ White Paper</w:t>
      </w:r>
    </w:p>
    <w:p w:rsidR="005C7F03" w:rsidRPr="00A511CE" w:rsidP="00147F05">
      <w:pPr>
        <w:pStyle w:val="ListParagraph"/>
        <w:numPr>
          <w:ilvl w:val="0"/>
          <w:numId w:val="2"/>
        </w:numPr>
        <w:rPr>
          <w:rFonts w:ascii="Calibri" w:hAnsi="Calibri" w:cs="Calibri"/>
          <w:b/>
          <w:bCs/>
          <w:sz w:val="22"/>
          <w:szCs w:val="22"/>
        </w:rPr>
      </w:pPr>
      <w:r w:rsidRPr="00A511CE">
        <w:rPr>
          <w:rFonts w:ascii="Calibri" w:hAnsi="Calibri" w:cs="Calibri"/>
          <w:b/>
          <w:bCs/>
          <w:sz w:val="22"/>
          <w:szCs w:val="22"/>
        </w:rPr>
        <w:t>Introduction</w:t>
      </w:r>
    </w:p>
    <w:p w:rsidR="005C7F03" w:rsidRPr="00A511CE">
      <w:pPr>
        <w:rPr>
          <w:rFonts w:ascii="Calibri" w:hAnsi="Calibri" w:cs="Calibri"/>
          <w:sz w:val="22"/>
          <w:szCs w:val="22"/>
        </w:rPr>
      </w:pPr>
      <w:r w:rsidRPr="00A511CE">
        <w:rPr>
          <w:rFonts w:ascii="Calibri" w:hAnsi="Calibri" w:cs="Calibri"/>
          <w:sz w:val="22"/>
          <w:szCs w:val="22"/>
        </w:rPr>
        <w:t xml:space="preserve">1.1      </w:t>
      </w:r>
      <w:r w:rsidRPr="00A511CE">
        <w:rPr>
          <w:rFonts w:ascii="Calibri" w:hAnsi="Calibri" w:cs="Calibri"/>
          <w:sz w:val="22"/>
          <w:szCs w:val="22"/>
        </w:rPr>
        <w:t xml:space="preserve">Barnardo’s is one of the UK’s leading children’s charities. In 2024-25, we worked with more than 350,000 children, young people and families through over 650 services across the UK, supporting to keep them safe from harm, abuse and exploitation. Our services span across the four nations and provide support for families, children in and leaving care, children who have experienced abuse and exploitation, mental health concerns, harmful practices </w:t>
      </w:r>
      <w:r w:rsidRPr="00A511CE">
        <w:rPr>
          <w:rFonts w:ascii="Calibri" w:hAnsi="Calibri" w:cs="Calibri"/>
          <w:sz w:val="22"/>
          <w:szCs w:val="22"/>
        </w:rPr>
        <w:t>and</w:t>
      </w:r>
      <w:r w:rsidRPr="00A511CE">
        <w:rPr>
          <w:rFonts w:ascii="Calibri" w:hAnsi="Calibri" w:cs="Calibri"/>
          <w:sz w:val="22"/>
          <w:szCs w:val="22"/>
        </w:rPr>
        <w:t xml:space="preserve"> more.</w:t>
      </w:r>
    </w:p>
    <w:p w:rsidR="005C7F03" w:rsidRPr="00A511CE" w:rsidP="00271729">
      <w:pPr>
        <w:rPr>
          <w:rFonts w:ascii="Calibri" w:hAnsi="Calibri" w:cs="Calibri"/>
          <w:sz w:val="22"/>
          <w:szCs w:val="22"/>
        </w:rPr>
      </w:pPr>
      <w:r w:rsidRPr="00A511CE">
        <w:rPr>
          <w:rFonts w:ascii="Calibri" w:hAnsi="Calibri" w:cs="Calibri"/>
          <w:sz w:val="22"/>
          <w:szCs w:val="22"/>
        </w:rPr>
        <w:t xml:space="preserve">1.2       </w:t>
      </w:r>
      <w:r w:rsidRPr="00A511CE">
        <w:rPr>
          <w:rFonts w:ascii="Calibri" w:hAnsi="Calibri" w:cs="Calibri"/>
          <w:sz w:val="22"/>
          <w:szCs w:val="22"/>
        </w:rPr>
        <w:t>Through our frontline services, we see first-hand how poverty, discrimination and inequality can shape children's experiences of education and limit their opportunities to thrive. While we recognise that a range of groups face barriers within the education system, including children with SEND and other additional needs, this submission focuses on Black and minoritised ethnic children, children experiencing poverty, and children in and leaving care, reflecting areas where Barnardo's has extensive frontline e</w:t>
      </w:r>
      <w:r w:rsidRPr="00A511CE">
        <w:rPr>
          <w:rFonts w:ascii="Calibri" w:hAnsi="Calibri" w:cs="Calibri"/>
          <w:sz w:val="22"/>
          <w:szCs w:val="22"/>
        </w:rPr>
        <w:t xml:space="preserve">xperience and direct engagement with children and young people. </w:t>
      </w:r>
    </w:p>
    <w:p w:rsidR="005C7F03" w:rsidRPr="00A511CE" w:rsidP="00271729">
      <w:pPr>
        <w:rPr>
          <w:rFonts w:ascii="Calibri" w:hAnsi="Calibri" w:cs="Calibri"/>
          <w:sz w:val="22"/>
          <w:szCs w:val="22"/>
        </w:rPr>
      </w:pPr>
      <w:r w:rsidRPr="00A511CE">
        <w:rPr>
          <w:rFonts w:ascii="Calibri" w:hAnsi="Calibri" w:cs="Calibri"/>
          <w:sz w:val="22"/>
          <w:szCs w:val="22"/>
        </w:rPr>
        <w:t xml:space="preserve">1.3       Although Every Child Achieving and Thriving takes important steps to improve belonging and reduce </w:t>
      </w:r>
      <w:r w:rsidRPr="00A511CE">
        <w:rPr>
          <w:rFonts w:ascii="Calibri" w:hAnsi="Calibri" w:cs="Calibri"/>
          <w:sz w:val="22"/>
          <w:szCs w:val="22"/>
        </w:rPr>
        <w:t>disadvantage,</w:t>
      </w:r>
      <w:r w:rsidRPr="00A511CE">
        <w:rPr>
          <w:rFonts w:ascii="Calibri" w:hAnsi="Calibri" w:cs="Calibri"/>
          <w:sz w:val="22"/>
          <w:szCs w:val="22"/>
        </w:rPr>
        <w:t xml:space="preserve"> further reforms are needed to ensure that these children are not left behind. Achieving the Government's ambition will require a continued focus on addressing the barriers that prevent them from fully participating in and benefiting from education.</w:t>
      </w:r>
    </w:p>
    <w:p w:rsidR="005C7F03" w:rsidRPr="00A511CE" w:rsidP="00852F59">
      <w:pPr>
        <w:pStyle w:val="ListParagraph"/>
        <w:numPr>
          <w:ilvl w:val="0"/>
          <w:numId w:val="2"/>
        </w:numPr>
        <w:rPr>
          <w:rFonts w:ascii="Calibri" w:hAnsi="Calibri" w:cs="Calibri"/>
          <w:b/>
          <w:sz w:val="22"/>
          <w:szCs w:val="22"/>
        </w:rPr>
      </w:pPr>
      <w:r w:rsidRPr="00A511CE">
        <w:rPr>
          <w:rFonts w:ascii="Calibri" w:hAnsi="Calibri" w:cs="Calibri"/>
          <w:b/>
          <w:sz w:val="22"/>
          <w:szCs w:val="22"/>
        </w:rPr>
        <w:t xml:space="preserve">Promoting belonging </w:t>
      </w:r>
      <w:r w:rsidRPr="00A511CE">
        <w:rPr>
          <w:rFonts w:ascii="Calibri" w:hAnsi="Calibri" w:cs="Calibri"/>
          <w:b/>
          <w:sz w:val="22"/>
          <w:szCs w:val="22"/>
        </w:rPr>
        <w:t>for pupils from Black and minoritised ethnic backgrounds</w:t>
      </w:r>
    </w:p>
    <w:p w:rsidR="005C7F03" w:rsidRPr="00A511CE" w:rsidP="00CB7015">
      <w:pPr>
        <w:rPr>
          <w:rFonts w:ascii="Calibri" w:hAnsi="Calibri" w:cs="Calibri"/>
          <w:sz w:val="22"/>
          <w:szCs w:val="22"/>
        </w:rPr>
      </w:pPr>
      <w:r w:rsidRPr="00A511CE">
        <w:rPr>
          <w:rFonts w:ascii="Calibri" w:hAnsi="Calibri" w:cs="Calibri"/>
          <w:sz w:val="22"/>
          <w:szCs w:val="22"/>
        </w:rPr>
        <w:t xml:space="preserve">2.1      </w:t>
      </w:r>
      <w:r w:rsidRPr="00A511CE">
        <w:rPr>
          <w:rFonts w:ascii="Calibri" w:hAnsi="Calibri" w:cs="Calibri"/>
          <w:sz w:val="22"/>
          <w:szCs w:val="22"/>
        </w:rPr>
        <w:t>We believe that safety</w:t>
      </w:r>
      <w:r w:rsidRPr="00A511CE">
        <w:rPr>
          <w:rFonts w:ascii="Calibri" w:hAnsi="Calibri" w:cs="Calibri"/>
          <w:sz w:val="22"/>
          <w:szCs w:val="22"/>
        </w:rPr>
        <w:t>, inclusion</w:t>
      </w:r>
      <w:r w:rsidRPr="00A511CE">
        <w:rPr>
          <w:rFonts w:ascii="Calibri" w:hAnsi="Calibri" w:cs="Calibri"/>
          <w:sz w:val="22"/>
          <w:szCs w:val="22"/>
        </w:rPr>
        <w:t xml:space="preserve"> and positive relationships in school are essential for</w:t>
      </w:r>
      <w:r w:rsidRPr="00A511CE">
        <w:rPr>
          <w:rFonts w:ascii="Calibri" w:hAnsi="Calibri" w:cs="Calibri"/>
          <w:sz w:val="22"/>
          <w:szCs w:val="22"/>
        </w:rPr>
        <w:t xml:space="preserve"> pupil belonging</w:t>
      </w:r>
      <w:r w:rsidRPr="00A511CE">
        <w:rPr>
          <w:rFonts w:ascii="Calibri" w:hAnsi="Calibri" w:cs="Calibri"/>
          <w:sz w:val="22"/>
          <w:szCs w:val="22"/>
        </w:rPr>
        <w:t xml:space="preserve">. </w:t>
      </w:r>
      <w:r w:rsidRPr="00A511CE">
        <w:rPr>
          <w:rFonts w:ascii="Calibri" w:hAnsi="Calibri" w:cs="Calibri"/>
          <w:sz w:val="22"/>
          <w:szCs w:val="22"/>
        </w:rPr>
        <w:t>Recent e</w:t>
      </w:r>
      <w:r w:rsidRPr="00A511CE">
        <w:rPr>
          <w:rFonts w:ascii="Calibri" w:hAnsi="Calibri" w:cs="Calibri"/>
          <w:sz w:val="22"/>
          <w:szCs w:val="22"/>
        </w:rPr>
        <w:t>vidence suggests that school environments which are inclusive of pupils' cultural and ethnic backgrounds play an important role in fostering a sense of belonging, whereas experiences of marginalisation can weaken it.</w:t>
      </w:r>
      <w:r>
        <w:rPr>
          <w:rStyle w:val="FootnoteReference"/>
          <w:rFonts w:ascii="Calibri" w:hAnsi="Calibri" w:cs="Calibri"/>
          <w:sz w:val="22"/>
          <w:szCs w:val="22"/>
        </w:rPr>
        <w:footnoteReference w:id="2"/>
      </w:r>
      <w:r w:rsidRPr="00A511CE">
        <w:rPr>
          <w:rFonts w:ascii="Calibri" w:hAnsi="Calibri" w:cs="Calibri"/>
          <w:sz w:val="22"/>
          <w:szCs w:val="22"/>
        </w:rPr>
        <w:t xml:space="preserve"> Evidence is also clear that Black </w:t>
      </w:r>
      <w:r w:rsidRPr="00A511CE">
        <w:rPr>
          <w:rFonts w:ascii="Calibri" w:hAnsi="Calibri" w:cs="Calibri"/>
          <w:sz w:val="22"/>
          <w:szCs w:val="22"/>
        </w:rPr>
        <w:t>Caribbean</w:t>
      </w:r>
      <w:r w:rsidRPr="00A511CE">
        <w:rPr>
          <w:rFonts w:ascii="Calibri" w:hAnsi="Calibri" w:cs="Calibri"/>
          <w:sz w:val="22"/>
          <w:szCs w:val="22"/>
        </w:rPr>
        <w:t xml:space="preserve"> </w:t>
      </w:r>
      <w:r w:rsidRPr="00A511CE">
        <w:rPr>
          <w:rFonts w:ascii="Calibri" w:hAnsi="Calibri" w:cs="Calibri"/>
          <w:sz w:val="22"/>
          <w:szCs w:val="22"/>
        </w:rPr>
        <w:t xml:space="preserve">children </w:t>
      </w:r>
      <w:r w:rsidRPr="00A511CE">
        <w:rPr>
          <w:rFonts w:ascii="Calibri" w:hAnsi="Calibri" w:cs="Calibri"/>
          <w:sz w:val="22"/>
          <w:szCs w:val="22"/>
        </w:rPr>
        <w:t xml:space="preserve">have poorer outcomes in education </w:t>
      </w:r>
      <w:r w:rsidRPr="00A511CE">
        <w:rPr>
          <w:rFonts w:ascii="Calibri" w:hAnsi="Calibri" w:cs="Calibri"/>
          <w:sz w:val="22"/>
          <w:szCs w:val="22"/>
        </w:rPr>
        <w:t>than all other ethnic groups, bar Gypsy, Roma and Irish Traveller</w:t>
      </w:r>
      <w:r w:rsidRPr="00A511CE">
        <w:rPr>
          <w:rFonts w:ascii="Calibri" w:hAnsi="Calibri" w:cs="Calibri"/>
          <w:sz w:val="22"/>
          <w:szCs w:val="22"/>
        </w:rPr>
        <w:t>.</w:t>
      </w:r>
      <w:r>
        <w:rPr>
          <w:rStyle w:val="FootnoteReference"/>
          <w:rFonts w:ascii="Calibri" w:hAnsi="Calibri" w:cs="Calibri"/>
          <w:sz w:val="22"/>
          <w:szCs w:val="22"/>
        </w:rPr>
        <w:footnoteReference w:id="3"/>
      </w:r>
    </w:p>
    <w:p w:rsidR="005C7F03" w:rsidRPr="00A511CE" w:rsidP="00CB7015">
      <w:pPr>
        <w:rPr>
          <w:rFonts w:ascii="Calibri" w:hAnsi="Calibri" w:cs="Calibri"/>
          <w:sz w:val="22"/>
          <w:szCs w:val="22"/>
        </w:rPr>
      </w:pPr>
      <w:r w:rsidRPr="00A511CE">
        <w:rPr>
          <w:rFonts w:ascii="Calibri" w:hAnsi="Calibri" w:cs="Calibri"/>
          <w:sz w:val="22"/>
          <w:szCs w:val="22"/>
        </w:rPr>
        <w:t xml:space="preserve">2.2      </w:t>
      </w:r>
      <w:r w:rsidRPr="00A511CE">
        <w:rPr>
          <w:rFonts w:ascii="Calibri" w:hAnsi="Calibri" w:cs="Calibri"/>
          <w:sz w:val="22"/>
          <w:szCs w:val="22"/>
        </w:rPr>
        <w:t>Our engagement with children and young people through Barnardo’s SEEN highlights that experiences of racism can significantly damage children’s sense of belonging and safety within school environments, which ultimately has a negative impact on their wellbeing and educational engagement. Within schools, racism is often addressed solely as a bullying issue rather than recognised and responded to as a serious safeguarding concern</w:t>
      </w:r>
      <w:r w:rsidRPr="00A511CE">
        <w:rPr>
          <w:rFonts w:ascii="Calibri" w:hAnsi="Calibri" w:cs="Calibri"/>
          <w:sz w:val="22"/>
          <w:szCs w:val="22"/>
        </w:rPr>
        <w:t xml:space="preserve">, which minimises how serious it is and fails to acknowledge the </w:t>
      </w:r>
      <w:r w:rsidRPr="00A511CE">
        <w:rPr>
          <w:rFonts w:ascii="Calibri" w:hAnsi="Calibri" w:cs="Calibri"/>
          <w:sz w:val="22"/>
          <w:szCs w:val="22"/>
        </w:rPr>
        <w:t>profound harm it causes.</w:t>
      </w:r>
    </w:p>
    <w:p w:rsidR="005C7F03" w:rsidRPr="00A511CE" w:rsidP="00CB7015">
      <w:pPr>
        <w:rPr>
          <w:rFonts w:ascii="Calibri" w:hAnsi="Calibri" w:cs="Calibri"/>
          <w:sz w:val="22"/>
          <w:szCs w:val="22"/>
        </w:rPr>
      </w:pPr>
      <w:r w:rsidRPr="00A511CE">
        <w:rPr>
          <w:rFonts w:ascii="Calibri" w:hAnsi="Calibri" w:cs="Calibri"/>
          <w:sz w:val="22"/>
          <w:szCs w:val="22"/>
        </w:rPr>
        <w:t>2.</w:t>
      </w:r>
      <w:r w:rsidRPr="00A511CE">
        <w:rPr>
          <w:rFonts w:ascii="Calibri" w:hAnsi="Calibri" w:cs="Calibri"/>
          <w:sz w:val="22"/>
          <w:szCs w:val="22"/>
        </w:rPr>
        <w:t>3</w:t>
      </w:r>
      <w:r w:rsidRPr="00A511CE">
        <w:rPr>
          <w:rFonts w:ascii="Calibri" w:hAnsi="Calibri" w:cs="Calibri"/>
          <w:sz w:val="22"/>
          <w:szCs w:val="22"/>
        </w:rPr>
        <w:t xml:space="preserve">     </w:t>
      </w:r>
      <w:r w:rsidRPr="00A511CE">
        <w:rPr>
          <w:rFonts w:ascii="Calibri" w:hAnsi="Calibri" w:cs="Calibri"/>
          <w:sz w:val="22"/>
          <w:szCs w:val="22"/>
        </w:rPr>
        <w:t xml:space="preserve">Our research highlights that experiences of racism are closely linked to trauma, including ongoing and intergenerational trauma. These experiences are rooted in longstanding structures of inequality within society and repeated exposure to harm, which can deeply affect a child’s sense of </w:t>
      </w:r>
      <w:r w:rsidRPr="00A511CE">
        <w:rPr>
          <w:rFonts w:ascii="Calibri" w:hAnsi="Calibri" w:cs="Calibri"/>
          <w:sz w:val="22"/>
          <w:szCs w:val="22"/>
        </w:rPr>
        <w:t>safety, belonging and wellbeing</w:t>
      </w:r>
      <w:r w:rsidRPr="00A511CE">
        <w:rPr>
          <w:rFonts w:ascii="Calibri" w:hAnsi="Calibri" w:cs="Calibri"/>
          <w:sz w:val="22"/>
          <w:szCs w:val="22"/>
        </w:rPr>
        <w:t xml:space="preserve">. </w:t>
      </w:r>
      <w:r w:rsidRPr="00A511CE">
        <w:rPr>
          <w:rFonts w:ascii="Calibri" w:hAnsi="Calibri" w:cs="Calibri"/>
          <w:sz w:val="22"/>
          <w:szCs w:val="22"/>
        </w:rPr>
        <w:t xml:space="preserve">The prevalence of racism in schools is well documented. </w:t>
      </w:r>
      <w:r w:rsidRPr="00A511CE">
        <w:rPr>
          <w:rFonts w:ascii="Calibri" w:hAnsi="Calibri" w:cs="Calibri"/>
          <w:sz w:val="22"/>
          <w:szCs w:val="22"/>
        </w:rPr>
        <w:t xml:space="preserve">In one study, </w:t>
      </w:r>
      <w:r w:rsidRPr="00A511CE">
        <w:rPr>
          <w:rFonts w:ascii="Calibri" w:hAnsi="Calibri" w:cs="Calibri"/>
          <w:sz w:val="22"/>
          <w:szCs w:val="22"/>
        </w:rPr>
        <w:t>YMCA found</w:t>
      </w:r>
      <w:r w:rsidRPr="00A511CE">
        <w:rPr>
          <w:rFonts w:ascii="Calibri" w:hAnsi="Calibri" w:cs="Calibri"/>
          <w:sz w:val="22"/>
          <w:szCs w:val="22"/>
        </w:rPr>
        <w:t xml:space="preserve"> that 95% of Black pupils ha</w:t>
      </w:r>
      <w:r w:rsidRPr="00A511CE">
        <w:rPr>
          <w:rFonts w:ascii="Calibri" w:hAnsi="Calibri" w:cs="Calibri"/>
          <w:sz w:val="22"/>
          <w:szCs w:val="22"/>
        </w:rPr>
        <w:t>d</w:t>
      </w:r>
      <w:r w:rsidRPr="00A511CE">
        <w:rPr>
          <w:rFonts w:ascii="Calibri" w:hAnsi="Calibri" w:cs="Calibri"/>
          <w:sz w:val="22"/>
          <w:szCs w:val="22"/>
        </w:rPr>
        <w:t xml:space="preserve"> been exposed to racist language at school, while almost half identified racism as the biggest barrier to educational success.</w:t>
      </w:r>
      <w:r>
        <w:rPr>
          <w:rStyle w:val="FootnoteReference"/>
          <w:rFonts w:ascii="Calibri" w:hAnsi="Calibri" w:cs="Calibri"/>
          <w:sz w:val="22"/>
          <w:szCs w:val="22"/>
        </w:rPr>
        <w:footnoteReference w:id="4"/>
      </w:r>
      <w:r w:rsidRPr="00A511CE">
        <w:rPr>
          <w:rFonts w:ascii="Calibri" w:hAnsi="Calibri" w:cs="Calibri"/>
          <w:sz w:val="22"/>
          <w:szCs w:val="22"/>
        </w:rPr>
        <w:t xml:space="preserve"> More recently, over half of educators reported being aware of racist incidents in their school.</w:t>
      </w:r>
      <w:r>
        <w:rPr>
          <w:rStyle w:val="FootnoteReference"/>
          <w:rFonts w:ascii="Calibri" w:hAnsi="Calibri" w:cs="Calibri"/>
          <w:sz w:val="22"/>
          <w:szCs w:val="22"/>
        </w:rPr>
        <w:footnoteReference w:id="5"/>
      </w:r>
    </w:p>
    <w:p w:rsidR="005C7F03" w:rsidRPr="00A511CE" w:rsidP="00757BBA">
      <w:pPr>
        <w:rPr>
          <w:rFonts w:ascii="Calibri" w:hAnsi="Calibri" w:cs="Calibri"/>
          <w:sz w:val="22"/>
          <w:szCs w:val="22"/>
        </w:rPr>
      </w:pPr>
      <w:r w:rsidRPr="00A511CE">
        <w:rPr>
          <w:rFonts w:ascii="Calibri" w:hAnsi="Calibri" w:cs="Calibri"/>
          <w:sz w:val="22"/>
          <w:szCs w:val="22"/>
        </w:rPr>
        <w:t>2.</w:t>
      </w:r>
      <w:r w:rsidRPr="00A511CE">
        <w:rPr>
          <w:rFonts w:ascii="Calibri" w:hAnsi="Calibri" w:cs="Calibri"/>
          <w:sz w:val="22"/>
          <w:szCs w:val="22"/>
        </w:rPr>
        <w:t>4</w:t>
      </w:r>
      <w:r w:rsidRPr="00A511CE">
        <w:rPr>
          <w:rFonts w:ascii="Calibri" w:hAnsi="Calibri" w:cs="Calibri"/>
          <w:sz w:val="22"/>
          <w:szCs w:val="22"/>
        </w:rPr>
        <w:t xml:space="preserve">       </w:t>
      </w:r>
      <w:r w:rsidRPr="00A511CE">
        <w:rPr>
          <w:rFonts w:ascii="Calibri" w:hAnsi="Calibri" w:cs="Calibri"/>
          <w:sz w:val="22"/>
          <w:szCs w:val="22"/>
        </w:rPr>
        <w:t>Racial harm can be exacerbated when incidents are dismissed</w:t>
      </w:r>
      <w:r w:rsidRPr="00A511CE">
        <w:rPr>
          <w:rFonts w:ascii="Calibri" w:hAnsi="Calibri" w:cs="Calibri"/>
          <w:sz w:val="22"/>
          <w:szCs w:val="22"/>
        </w:rPr>
        <w:t xml:space="preserve"> or minimised </w:t>
      </w:r>
      <w:r w:rsidRPr="00A511CE">
        <w:rPr>
          <w:rFonts w:ascii="Calibri" w:hAnsi="Calibri" w:cs="Calibri"/>
          <w:sz w:val="22"/>
          <w:szCs w:val="22"/>
        </w:rPr>
        <w:t xml:space="preserve">by adults, leaving children feeling unsupported and reinforcing a sense of isolation. Children and young people have also described instances where schools fail to take racist incidents </w:t>
      </w:r>
      <w:r w:rsidRPr="00A511CE">
        <w:rPr>
          <w:rFonts w:ascii="Calibri" w:hAnsi="Calibri" w:cs="Calibri"/>
          <w:sz w:val="22"/>
          <w:szCs w:val="22"/>
        </w:rPr>
        <w:t>seriously or</w:t>
      </w:r>
      <w:r w:rsidRPr="00A511CE">
        <w:rPr>
          <w:rFonts w:ascii="Calibri" w:hAnsi="Calibri" w:cs="Calibri"/>
          <w:sz w:val="22"/>
          <w:szCs w:val="22"/>
        </w:rPr>
        <w:t xml:space="preserve"> place the burden of coping and moving forward on those who have experienced the harm</w:t>
      </w:r>
      <w:r w:rsidRPr="00A511CE">
        <w:rPr>
          <w:rFonts w:ascii="Calibri" w:hAnsi="Calibri" w:cs="Calibri"/>
          <w:sz w:val="22"/>
          <w:szCs w:val="22"/>
        </w:rPr>
        <w:t xml:space="preserve"> rather than on those who have harmed</w:t>
      </w:r>
      <w:r w:rsidRPr="00A511CE">
        <w:rPr>
          <w:rFonts w:ascii="Calibri" w:hAnsi="Calibri" w:cs="Calibri"/>
          <w:sz w:val="22"/>
          <w:szCs w:val="22"/>
        </w:rPr>
        <w:t>.</w:t>
      </w:r>
    </w:p>
    <w:p w:rsidR="005C7F03" w:rsidRPr="00A511CE" w:rsidP="00757BBA">
      <w:pPr>
        <w:rPr>
          <w:rFonts w:ascii="Calibri" w:hAnsi="Calibri" w:cs="Calibri"/>
          <w:i w:val="0"/>
          <w:iCs w:val="0"/>
          <w:sz w:val="22"/>
          <w:szCs w:val="22"/>
          <w:rPrChange w:id="0" w:date="1900-01-01T00:00:00Z">
            <w:rPr>
              <w:i/>
              <w:iCs/>
            </w:rPr>
          </w:rPrChange>
        </w:rPr>
      </w:pPr>
      <w:r w:rsidRPr="00A511CE">
        <w:rPr>
          <w:rFonts w:ascii="Calibri" w:hAnsi="Calibri" w:cs="Calibri"/>
          <w:i/>
          <w:iCs/>
          <w:sz w:val="22"/>
          <w:szCs w:val="22"/>
        </w:rPr>
        <w:t xml:space="preserve">“The </w:t>
      </w:r>
      <w:r w:rsidRPr="00A511CE">
        <w:rPr>
          <w:rFonts w:ascii="Calibri" w:hAnsi="Calibri" w:cs="Calibri"/>
          <w:i/>
          <w:iCs/>
          <w:sz w:val="22"/>
          <w:szCs w:val="22"/>
        </w:rPr>
        <w:t>school never</w:t>
      </w:r>
      <w:r w:rsidRPr="00A511CE">
        <w:rPr>
          <w:rFonts w:ascii="Calibri" w:hAnsi="Calibri" w:cs="Calibri"/>
          <w:i/>
          <w:iCs/>
          <w:sz w:val="22"/>
          <w:szCs w:val="22"/>
        </w:rPr>
        <w:t xml:space="preserve"> seemed to </w:t>
      </w:r>
      <w:r w:rsidRPr="00A511CE">
        <w:rPr>
          <w:rFonts w:ascii="Calibri" w:hAnsi="Calibri" w:cs="Calibri"/>
          <w:i/>
          <w:iCs/>
          <w:sz w:val="22"/>
          <w:szCs w:val="22"/>
        </w:rPr>
        <w:t>do anything</w:t>
      </w:r>
      <w:r w:rsidRPr="00A511CE">
        <w:rPr>
          <w:rFonts w:ascii="Calibri" w:hAnsi="Calibri" w:cs="Calibri"/>
          <w:i/>
          <w:iCs/>
          <w:sz w:val="22"/>
          <w:szCs w:val="22"/>
        </w:rPr>
        <w:t>…</w:t>
      </w:r>
      <w:r w:rsidRPr="00A511CE">
        <w:rPr>
          <w:rFonts w:ascii="Calibri" w:hAnsi="Calibri" w:cs="Calibri"/>
          <w:i/>
          <w:iCs/>
          <w:sz w:val="22"/>
          <w:szCs w:val="22"/>
        </w:rPr>
        <w:t xml:space="preserve"> My mum told them I would not leave my bedroom, barely even left </w:t>
      </w:r>
      <w:r w:rsidRPr="00A511CE">
        <w:rPr>
          <w:rFonts w:ascii="Calibri" w:hAnsi="Calibri" w:cs="Calibri"/>
          <w:i/>
          <w:iCs/>
          <w:sz w:val="22"/>
          <w:szCs w:val="22"/>
        </w:rPr>
        <w:t xml:space="preserve">the house and </w:t>
      </w:r>
      <w:r w:rsidRPr="00A511CE">
        <w:rPr>
          <w:rFonts w:ascii="Calibri" w:hAnsi="Calibri" w:cs="Calibri"/>
          <w:i/>
          <w:iCs/>
          <w:sz w:val="22"/>
          <w:szCs w:val="22"/>
        </w:rPr>
        <w:t>would feel sick each morning when I had to get on the bus. The pastoral care pulled me aside and said “</w:t>
      </w:r>
      <w:r w:rsidRPr="00A511CE">
        <w:rPr>
          <w:rFonts w:ascii="Calibri" w:hAnsi="Calibri" w:cs="Calibri"/>
          <w:i/>
          <w:iCs/>
          <w:sz w:val="22"/>
          <w:szCs w:val="22"/>
        </w:rPr>
        <w:t>Don’t worry</w:t>
      </w:r>
      <w:r w:rsidRPr="00A511CE">
        <w:rPr>
          <w:rFonts w:ascii="Calibri" w:hAnsi="Calibri" w:cs="Calibri"/>
          <w:i/>
          <w:iCs/>
          <w:sz w:val="22"/>
          <w:szCs w:val="22"/>
        </w:rPr>
        <w:t xml:space="preserve"> [redacted], you get bullied for anything in schools! I was bullied for having glasses and being ginger when I was your </w:t>
      </w:r>
      <w:r w:rsidRPr="00A511CE">
        <w:rPr>
          <w:rFonts w:ascii="Calibri" w:hAnsi="Calibri" w:cs="Calibri"/>
          <w:i/>
          <w:iCs/>
          <w:sz w:val="22"/>
          <w:szCs w:val="22"/>
        </w:rPr>
        <w:t>age”. I</w:t>
      </w:r>
      <w:r w:rsidRPr="00A511CE">
        <w:rPr>
          <w:rFonts w:ascii="Calibri" w:hAnsi="Calibri" w:cs="Calibri"/>
          <w:i/>
          <w:iCs/>
          <w:sz w:val="22"/>
          <w:szCs w:val="22"/>
        </w:rPr>
        <w:t xml:space="preserve"> cannot take my skin </w:t>
      </w:r>
      <w:r w:rsidRPr="00A511CE">
        <w:rPr>
          <w:rFonts w:ascii="Calibri" w:hAnsi="Calibri" w:cs="Calibri"/>
          <w:i/>
          <w:iCs/>
          <w:sz w:val="22"/>
          <w:szCs w:val="22"/>
        </w:rPr>
        <w:t xml:space="preserve">off </w:t>
      </w:r>
      <w:r w:rsidRPr="00A511CE">
        <w:rPr>
          <w:rFonts w:ascii="Calibri" w:hAnsi="Calibri" w:cs="Calibri"/>
          <w:i/>
          <w:iCs/>
          <w:sz w:val="22"/>
          <w:szCs w:val="22"/>
        </w:rPr>
        <w:t>like</w:t>
      </w:r>
      <w:r w:rsidRPr="00A511CE">
        <w:rPr>
          <w:rFonts w:ascii="Calibri" w:hAnsi="Calibri" w:cs="Calibri"/>
          <w:i/>
          <w:iCs/>
          <w:sz w:val="22"/>
          <w:szCs w:val="22"/>
        </w:rPr>
        <w:t xml:space="preserve"> you can take your glasses</w:t>
      </w:r>
      <w:r w:rsidRPr="00A511CE">
        <w:rPr>
          <w:rFonts w:ascii="Calibri" w:hAnsi="Calibri" w:cs="Calibri"/>
          <w:i/>
          <w:iCs/>
          <w:sz w:val="22"/>
          <w:szCs w:val="22"/>
        </w:rPr>
        <w:t xml:space="preserve"> off</w:t>
      </w:r>
      <w:r w:rsidRPr="00A511CE">
        <w:rPr>
          <w:rFonts w:ascii="Calibri" w:hAnsi="Calibri" w:cs="Calibri"/>
          <w:i/>
          <w:iCs/>
          <w:sz w:val="22"/>
          <w:szCs w:val="22"/>
        </w:rPr>
        <w:t>, I cannot snap my fingers and make my hair dead straight.”</w:t>
      </w:r>
      <w:r w:rsidRPr="00A511CE">
        <w:rPr>
          <w:rFonts w:ascii="Calibri" w:hAnsi="Calibri" w:cs="Calibri"/>
          <w:i/>
          <w:iCs/>
          <w:sz w:val="22"/>
          <w:szCs w:val="22"/>
        </w:rPr>
        <w:t xml:space="preserve"> </w:t>
      </w:r>
      <w:r w:rsidRPr="00A511CE">
        <w:rPr>
          <w:rFonts w:ascii="Calibri" w:hAnsi="Calibri" w:cs="Calibri"/>
          <w:sz w:val="22"/>
          <w:szCs w:val="22"/>
        </w:rPr>
        <w:t>[</w:t>
      </w:r>
      <w:r w:rsidRPr="00A511CE">
        <w:rPr>
          <w:rFonts w:ascii="Calibri" w:hAnsi="Calibri" w:cs="Calibri"/>
          <w:sz w:val="22"/>
          <w:szCs w:val="22"/>
        </w:rPr>
        <w:t>Young person,</w:t>
      </w:r>
      <w:r w:rsidRPr="00A511CE">
        <w:rPr>
          <w:rFonts w:ascii="Calibri" w:hAnsi="Calibri" w:cs="Calibri"/>
          <w:sz w:val="22"/>
          <w:szCs w:val="22"/>
        </w:rPr>
        <w:t xml:space="preserve"> Barnardo’s SEEN]</w:t>
      </w:r>
    </w:p>
    <w:p w:rsidR="005C7F03" w:rsidRPr="00A511CE" w:rsidP="00837683">
      <w:pPr>
        <w:rPr>
          <w:rFonts w:ascii="Calibri" w:hAnsi="Calibri" w:cs="Calibri"/>
          <w:sz w:val="22"/>
          <w:szCs w:val="22"/>
        </w:rPr>
      </w:pPr>
      <w:r w:rsidRPr="00A511CE">
        <w:rPr>
          <w:rFonts w:ascii="Calibri" w:hAnsi="Calibri" w:cs="Calibri"/>
          <w:sz w:val="22"/>
          <w:szCs w:val="22"/>
        </w:rPr>
        <w:t>2.</w:t>
      </w:r>
      <w:r w:rsidRPr="00A511CE">
        <w:rPr>
          <w:rFonts w:ascii="Calibri" w:hAnsi="Calibri" w:cs="Calibri"/>
          <w:sz w:val="22"/>
          <w:szCs w:val="22"/>
        </w:rPr>
        <w:t>5</w:t>
      </w:r>
      <w:r w:rsidRPr="00A511CE">
        <w:rPr>
          <w:rFonts w:ascii="Calibri" w:hAnsi="Calibri" w:cs="Calibri"/>
          <w:sz w:val="22"/>
          <w:szCs w:val="22"/>
        </w:rPr>
        <w:t xml:space="preserve">       Schools can play an important role in promoting positive relationships between pupils from Black and minoritised ethnic backgrounds and their </w:t>
      </w:r>
      <w:r w:rsidRPr="00A511CE">
        <w:rPr>
          <w:rFonts w:ascii="Calibri" w:hAnsi="Calibri" w:cs="Calibri"/>
          <w:sz w:val="22"/>
          <w:szCs w:val="22"/>
        </w:rPr>
        <w:t xml:space="preserve">peers by creating inclusive environments where diversity is recognised, valued and reflected throughout the school. </w:t>
      </w:r>
      <w:r w:rsidRPr="00A511CE">
        <w:rPr>
          <w:rFonts w:ascii="Calibri" w:hAnsi="Calibri" w:cs="Calibri"/>
          <w:sz w:val="22"/>
          <w:szCs w:val="22"/>
        </w:rPr>
        <w:t xml:space="preserve">Our </w:t>
      </w:r>
      <w:r w:rsidRPr="00A511CE">
        <w:rPr>
          <w:rFonts w:ascii="Calibri" w:hAnsi="Calibri" w:cs="Calibri"/>
          <w:i/>
          <w:iCs/>
          <w:sz w:val="22"/>
          <w:szCs w:val="22"/>
        </w:rPr>
        <w:t>Children Visible by Colour</w:t>
      </w:r>
      <w:r w:rsidRPr="00A511CE">
        <w:rPr>
          <w:rFonts w:ascii="Calibri" w:hAnsi="Calibri" w:cs="Calibri"/>
          <w:sz w:val="22"/>
          <w:szCs w:val="22"/>
        </w:rPr>
        <w:t xml:space="preserve"> report </w:t>
      </w:r>
      <w:r w:rsidRPr="00A511CE">
        <w:rPr>
          <w:rFonts w:ascii="Calibri" w:hAnsi="Calibri" w:cs="Calibri"/>
          <w:sz w:val="22"/>
          <w:szCs w:val="22"/>
        </w:rPr>
        <w:t>found that children and families felt most accepted in schools where diversity was represented through books, toys, curriculum content and school activities, as this supported them to feel seen</w:t>
      </w:r>
      <w:r w:rsidRPr="00A511CE">
        <w:rPr>
          <w:rFonts w:ascii="Calibri" w:hAnsi="Calibri" w:cs="Calibri"/>
          <w:sz w:val="22"/>
          <w:szCs w:val="22"/>
        </w:rPr>
        <w:t>. It’s also important that schools talk about racism openly</w:t>
      </w:r>
      <w:r w:rsidRPr="00A511CE">
        <w:rPr>
          <w:rFonts w:ascii="Calibri" w:hAnsi="Calibri" w:cs="Calibri"/>
          <w:sz w:val="22"/>
          <w:szCs w:val="22"/>
        </w:rPr>
        <w:t xml:space="preserve"> and create opportunities for their pupils to develop racial literacy and understanding of different cultures and histories.</w:t>
      </w:r>
      <w:r>
        <w:rPr>
          <w:rStyle w:val="FootnoteReference"/>
          <w:rFonts w:ascii="Calibri" w:hAnsi="Calibri" w:cs="Calibri"/>
          <w:sz w:val="22"/>
          <w:szCs w:val="22"/>
        </w:rPr>
        <w:footnoteReference w:id="6"/>
      </w:r>
      <w:r w:rsidRPr="00A511CE">
        <w:rPr>
          <w:rFonts w:ascii="Calibri" w:hAnsi="Calibri" w:cs="Calibri"/>
          <w:sz w:val="22"/>
          <w:szCs w:val="22"/>
        </w:rPr>
        <w:t xml:space="preserve"> </w:t>
      </w:r>
    </w:p>
    <w:p w:rsidR="005C7F03" w:rsidRPr="00A511CE" w:rsidP="00757BBA">
      <w:pPr>
        <w:rPr>
          <w:rFonts w:ascii="Calibri" w:hAnsi="Calibri" w:cs="Calibri"/>
          <w:sz w:val="22"/>
          <w:szCs w:val="22"/>
        </w:rPr>
      </w:pPr>
      <w:r w:rsidRPr="00A511CE">
        <w:rPr>
          <w:rFonts w:ascii="Calibri" w:hAnsi="Calibri" w:cs="Calibri"/>
          <w:sz w:val="22"/>
          <w:szCs w:val="22"/>
        </w:rPr>
        <w:t>2.</w:t>
      </w:r>
      <w:r w:rsidRPr="00A511CE">
        <w:rPr>
          <w:rFonts w:ascii="Calibri" w:hAnsi="Calibri" w:cs="Calibri"/>
          <w:sz w:val="22"/>
          <w:szCs w:val="22"/>
        </w:rPr>
        <w:t xml:space="preserve">6     </w:t>
      </w:r>
      <w:r w:rsidRPr="00A511CE">
        <w:rPr>
          <w:rFonts w:ascii="Calibri" w:hAnsi="Calibri" w:cs="Calibri"/>
          <w:sz w:val="22"/>
          <w:szCs w:val="22"/>
        </w:rPr>
        <w:t xml:space="preserve"> S</w:t>
      </w:r>
      <w:r w:rsidRPr="00A511CE">
        <w:rPr>
          <w:rFonts w:ascii="Calibri" w:hAnsi="Calibri" w:cs="Calibri"/>
          <w:sz w:val="22"/>
          <w:szCs w:val="22"/>
        </w:rPr>
        <w:t xml:space="preserve">chools which proactively implement anti-racist approaches and respond effectively to incidents of racism can </w:t>
      </w:r>
      <w:r w:rsidRPr="00A511CE">
        <w:rPr>
          <w:rFonts w:ascii="Calibri" w:hAnsi="Calibri" w:cs="Calibri"/>
          <w:sz w:val="22"/>
          <w:szCs w:val="22"/>
        </w:rPr>
        <w:t>serve to improve</w:t>
      </w:r>
      <w:r w:rsidRPr="00A511CE">
        <w:rPr>
          <w:rFonts w:ascii="Calibri" w:hAnsi="Calibri" w:cs="Calibri"/>
          <w:sz w:val="22"/>
          <w:szCs w:val="22"/>
        </w:rPr>
        <w:t xml:space="preserve"> children's wellbeing</w:t>
      </w:r>
      <w:r w:rsidRPr="00A511CE">
        <w:rPr>
          <w:rFonts w:ascii="Calibri" w:hAnsi="Calibri" w:cs="Calibri"/>
          <w:sz w:val="22"/>
          <w:szCs w:val="22"/>
        </w:rPr>
        <w:t xml:space="preserve"> </w:t>
      </w:r>
      <w:r w:rsidRPr="00A511CE">
        <w:rPr>
          <w:rFonts w:ascii="Calibri" w:hAnsi="Calibri" w:cs="Calibri"/>
          <w:sz w:val="22"/>
          <w:szCs w:val="22"/>
        </w:rPr>
        <w:t>and sense of belonging.</w:t>
      </w:r>
      <w:r>
        <w:rPr>
          <w:rStyle w:val="FootnoteReference"/>
          <w:rFonts w:ascii="Calibri" w:hAnsi="Calibri" w:cs="Calibri"/>
          <w:sz w:val="22"/>
          <w:szCs w:val="22"/>
        </w:rPr>
        <w:footnoteReference w:id="7"/>
      </w:r>
      <w:r w:rsidRPr="00A511CE">
        <w:rPr>
          <w:rFonts w:ascii="Calibri" w:hAnsi="Calibri" w:cs="Calibri"/>
          <w:sz w:val="22"/>
          <w:szCs w:val="22"/>
        </w:rPr>
        <w:t xml:space="preserve"> </w:t>
      </w:r>
      <w:r w:rsidRPr="00A511CE">
        <w:rPr>
          <w:rFonts w:ascii="Calibri" w:hAnsi="Calibri" w:cs="Calibri"/>
          <w:sz w:val="22"/>
          <w:szCs w:val="22"/>
        </w:rPr>
        <w:t>U</w:t>
      </w:r>
      <w:r w:rsidRPr="00A511CE">
        <w:rPr>
          <w:rFonts w:ascii="Calibri" w:hAnsi="Calibri" w:cs="Calibri"/>
          <w:sz w:val="22"/>
          <w:szCs w:val="22"/>
        </w:rPr>
        <w:t xml:space="preserve">nderstanding the impact of racism on children's identity and self-esteem and responding constructively to the concerns of </w:t>
      </w:r>
      <w:r w:rsidRPr="00A511CE">
        <w:rPr>
          <w:rFonts w:ascii="Calibri" w:hAnsi="Calibri" w:cs="Calibri"/>
          <w:sz w:val="22"/>
          <w:szCs w:val="22"/>
        </w:rPr>
        <w:t xml:space="preserve">Black and minoritised ethnic children </w:t>
      </w:r>
      <w:r w:rsidRPr="00A511CE">
        <w:rPr>
          <w:rFonts w:ascii="Calibri" w:hAnsi="Calibri" w:cs="Calibri"/>
          <w:sz w:val="22"/>
          <w:szCs w:val="22"/>
        </w:rPr>
        <w:t>and their families, can help foster more positive relationships, greater inclusion and better outcomes across the school community.</w:t>
      </w:r>
    </w:p>
    <w:p w:rsidR="005C7F03" w:rsidRPr="00A511CE" w:rsidP="009D3124">
      <w:pPr>
        <w:pStyle w:val="ListParagraph"/>
        <w:numPr>
          <w:ilvl w:val="0"/>
          <w:numId w:val="2"/>
        </w:numPr>
        <w:rPr>
          <w:rFonts w:ascii="Calibri" w:hAnsi="Calibri" w:cs="Calibri"/>
          <w:sz w:val="22"/>
          <w:szCs w:val="22"/>
        </w:rPr>
      </w:pPr>
      <w:r w:rsidRPr="00A511CE">
        <w:rPr>
          <w:rFonts w:ascii="Calibri" w:hAnsi="Calibri" w:cs="Calibri"/>
          <w:b/>
          <w:bCs/>
          <w:sz w:val="22"/>
          <w:szCs w:val="22"/>
        </w:rPr>
        <w:t>Utilisi</w:t>
      </w:r>
      <w:r w:rsidRPr="00A511CE">
        <w:rPr>
          <w:rFonts w:ascii="Calibri" w:hAnsi="Calibri" w:cs="Calibri"/>
          <w:b/>
          <w:bCs/>
          <w:sz w:val="22"/>
          <w:szCs w:val="22"/>
        </w:rPr>
        <w:t>n</w:t>
      </w:r>
      <w:r w:rsidRPr="00A511CE">
        <w:rPr>
          <w:rFonts w:ascii="Calibri" w:hAnsi="Calibri" w:cs="Calibri"/>
          <w:b/>
          <w:bCs/>
          <w:sz w:val="22"/>
          <w:szCs w:val="22"/>
        </w:rPr>
        <w:t>g the Pupil Engagement Framework to measure inclusion and safety</w:t>
      </w:r>
    </w:p>
    <w:p w:rsidR="005C7F03" w:rsidRPr="00A511CE" w:rsidP="00C77CD4">
      <w:pPr>
        <w:rPr>
          <w:rFonts w:ascii="Calibri" w:hAnsi="Calibri" w:cs="Calibri"/>
          <w:sz w:val="22"/>
          <w:szCs w:val="22"/>
        </w:rPr>
      </w:pPr>
      <w:r w:rsidRPr="00A511CE">
        <w:rPr>
          <w:rFonts w:ascii="Calibri" w:hAnsi="Calibri" w:cs="Calibri"/>
          <w:sz w:val="22"/>
          <w:szCs w:val="22"/>
        </w:rPr>
        <w:t>3.1     We are pleased with the Government’s approach to measure and understand pupil’s sense of belonging in schools. The proposed Pupil Engagement Framework presents a good opportunity to assess how effectively schools are creating inclusive environments for Black and minoritised ethnic pupils, as well as to identify areas for improvement and inform action based on pupils’ experiences and feedback.</w:t>
      </w:r>
    </w:p>
    <w:p w:rsidR="005C7F03" w:rsidRPr="00A511CE" w:rsidP="00CC6B5E">
      <w:pPr>
        <w:rPr>
          <w:rFonts w:ascii="Calibri" w:hAnsi="Calibri" w:cs="Calibri"/>
          <w:sz w:val="22"/>
          <w:szCs w:val="22"/>
        </w:rPr>
      </w:pPr>
      <w:r w:rsidRPr="00A511CE">
        <w:rPr>
          <w:rFonts w:ascii="Calibri" w:hAnsi="Calibri" w:cs="Calibri"/>
          <w:sz w:val="22"/>
          <w:szCs w:val="22"/>
        </w:rPr>
        <w:t xml:space="preserve">3.2     Experiences of racism can have a significant impact on children's sense of belonging and </w:t>
      </w:r>
      <w:r w:rsidRPr="00A511CE">
        <w:rPr>
          <w:rFonts w:ascii="Calibri" w:hAnsi="Calibri" w:cs="Calibri"/>
          <w:sz w:val="22"/>
          <w:szCs w:val="22"/>
        </w:rPr>
        <w:t xml:space="preserve">engagement with learning. It is therefore important that the Framework goes beyond measuring participation and enjoyment of school to capture whether pupils feel respected, included and able to </w:t>
      </w:r>
      <w:r w:rsidRPr="00A511CE">
        <w:rPr>
          <w:rFonts w:ascii="Calibri" w:hAnsi="Calibri" w:cs="Calibri"/>
          <w:sz w:val="22"/>
          <w:szCs w:val="22"/>
        </w:rPr>
        <w:t>be themselves within the school environment.</w:t>
      </w:r>
      <w:r w:rsidRPr="00A511CE">
        <w:rPr>
          <w:rFonts w:ascii="Calibri" w:eastAsia="Times New Roman" w:hAnsi="Calibri" w:cs="Calibri"/>
          <w:kern w:val="0"/>
          <w:sz w:val="22"/>
          <w:szCs w:val="22"/>
          <w:lang w:eastAsia="en-GB"/>
        </w:rPr>
        <w:t xml:space="preserve"> </w:t>
      </w:r>
      <w:r w:rsidRPr="00A511CE">
        <w:rPr>
          <w:rFonts w:ascii="Calibri" w:hAnsi="Calibri" w:cs="Calibri"/>
          <w:sz w:val="22"/>
          <w:szCs w:val="22"/>
        </w:rPr>
        <w:t xml:space="preserve">Schools should use the data captured to develop a deeper understanding of their pupils' day-to-day experiences and </w:t>
      </w:r>
      <w:r w:rsidRPr="00A511CE">
        <w:rPr>
          <w:rFonts w:ascii="Calibri" w:hAnsi="Calibri" w:cs="Calibri"/>
          <w:sz w:val="22"/>
          <w:szCs w:val="22"/>
        </w:rPr>
        <w:t>take action</w:t>
      </w:r>
      <w:r w:rsidRPr="00A511CE">
        <w:rPr>
          <w:rFonts w:ascii="Calibri" w:hAnsi="Calibri" w:cs="Calibri"/>
          <w:sz w:val="22"/>
          <w:szCs w:val="22"/>
        </w:rPr>
        <w:t xml:space="preserve"> </w:t>
      </w:r>
      <w:r w:rsidRPr="00A511CE">
        <w:rPr>
          <w:rFonts w:ascii="Calibri" w:hAnsi="Calibri" w:cs="Calibri"/>
          <w:sz w:val="22"/>
          <w:szCs w:val="22"/>
        </w:rPr>
        <w:t>where children do not feel fully included or supported. This can help identify problems at an earlier stage and foster a school culture where every child feels respected, heard and able to thrive.</w:t>
      </w:r>
    </w:p>
    <w:p w:rsidR="005C7F03" w:rsidRPr="00A511CE" w:rsidP="00CC6B5E">
      <w:pPr>
        <w:rPr>
          <w:rFonts w:ascii="Calibri" w:hAnsi="Calibri" w:cs="Calibri"/>
          <w:sz w:val="22"/>
          <w:szCs w:val="22"/>
        </w:rPr>
      </w:pPr>
      <w:r w:rsidRPr="00A511CE">
        <w:rPr>
          <w:rFonts w:ascii="Calibri" w:hAnsi="Calibri" w:cs="Calibri"/>
          <w:sz w:val="22"/>
          <w:szCs w:val="22"/>
        </w:rPr>
        <w:t xml:space="preserve">3.3     Schools should be required to take the </w:t>
      </w:r>
      <w:r w:rsidRPr="00A511CE">
        <w:rPr>
          <w:rFonts w:ascii="Calibri" w:hAnsi="Calibri" w:cs="Calibri"/>
          <w:sz w:val="22"/>
          <w:szCs w:val="22"/>
        </w:rPr>
        <w:t xml:space="preserve">following </w:t>
      </w:r>
      <w:r w:rsidRPr="00A511CE">
        <w:rPr>
          <w:rFonts w:ascii="Calibri" w:hAnsi="Calibri" w:cs="Calibri"/>
          <w:sz w:val="22"/>
          <w:szCs w:val="22"/>
        </w:rPr>
        <w:t>actions to promote belonging among Black and minoritised ethnic children:</w:t>
      </w:r>
    </w:p>
    <w:p w:rsidR="005C7F03" w:rsidRPr="00A511CE" w:rsidP="00CC6B5E">
      <w:pPr>
        <w:pStyle w:val="ListParagraph"/>
        <w:numPr>
          <w:ilvl w:val="0"/>
          <w:numId w:val="1"/>
        </w:numPr>
        <w:rPr>
          <w:rFonts w:ascii="Calibri" w:hAnsi="Calibri" w:cs="Calibri"/>
          <w:sz w:val="22"/>
          <w:szCs w:val="22"/>
        </w:rPr>
      </w:pPr>
      <w:r w:rsidRPr="00A511CE">
        <w:rPr>
          <w:rFonts w:ascii="Calibri" w:hAnsi="Calibri" w:cs="Calibri"/>
          <w:sz w:val="22"/>
          <w:szCs w:val="22"/>
        </w:rPr>
        <w:t>D</w:t>
      </w:r>
      <w:r w:rsidRPr="00A511CE">
        <w:rPr>
          <w:rFonts w:ascii="Calibri" w:hAnsi="Calibri" w:cs="Calibri"/>
          <w:sz w:val="22"/>
          <w:szCs w:val="22"/>
        </w:rPr>
        <w:t xml:space="preserve">evelop and regularly review a clear anti-racist strategy and policy, setting out their commitment to tackling racism, how racist incidents will be identified and addressed, and how the school community will be engaged in and held accountable for progress towards becoming an anti-racist institution </w:t>
      </w:r>
    </w:p>
    <w:p w:rsidR="005C7F03" w:rsidRPr="00A511CE" w:rsidP="00CC6B5E">
      <w:pPr>
        <w:pStyle w:val="ListParagraph"/>
        <w:numPr>
          <w:ilvl w:val="0"/>
          <w:numId w:val="1"/>
        </w:numPr>
        <w:rPr>
          <w:rFonts w:ascii="Calibri" w:hAnsi="Calibri" w:cs="Calibri"/>
          <w:sz w:val="22"/>
          <w:szCs w:val="22"/>
        </w:rPr>
      </w:pPr>
      <w:r w:rsidRPr="00A511CE">
        <w:rPr>
          <w:rFonts w:ascii="Calibri" w:hAnsi="Calibri" w:cs="Calibri"/>
          <w:sz w:val="22"/>
          <w:szCs w:val="22"/>
        </w:rPr>
        <w:t>Recognise the impact of racial trauma on children’s safety, wellbeing and sense of belonging and treat racism as a serious safeguarding concern that triggers a trauma-informed safeguarding response.</w:t>
      </w:r>
    </w:p>
    <w:p w:rsidR="005C7F03" w:rsidRPr="00A511CE" w:rsidP="00CC6B5E">
      <w:pPr>
        <w:pStyle w:val="ListParagraph"/>
        <w:numPr>
          <w:ilvl w:val="0"/>
          <w:numId w:val="1"/>
        </w:numPr>
        <w:rPr>
          <w:rFonts w:ascii="Calibri" w:hAnsi="Calibri" w:cs="Calibri"/>
          <w:sz w:val="22"/>
          <w:szCs w:val="22"/>
        </w:rPr>
      </w:pPr>
      <w:r w:rsidRPr="00A511CE">
        <w:rPr>
          <w:rFonts w:ascii="Calibri" w:hAnsi="Calibri" w:cs="Calibri"/>
          <w:sz w:val="22"/>
          <w:szCs w:val="22"/>
        </w:rPr>
        <w:t>Work with organisations to provide anti-racist CPD for teachers and staff.</w:t>
      </w:r>
    </w:p>
    <w:p w:rsidR="005C7F03" w:rsidRPr="00A511CE" w:rsidP="00757BBA">
      <w:pPr>
        <w:pStyle w:val="ListParagraph"/>
        <w:numPr>
          <w:ilvl w:val="0"/>
          <w:numId w:val="1"/>
        </w:numPr>
        <w:rPr>
          <w:rFonts w:ascii="Calibri" w:hAnsi="Calibri" w:cs="Calibri"/>
          <w:sz w:val="22"/>
          <w:szCs w:val="22"/>
        </w:rPr>
      </w:pPr>
      <w:r w:rsidRPr="00A511CE">
        <w:rPr>
          <w:rFonts w:ascii="Calibri" w:hAnsi="Calibri" w:cs="Calibri"/>
          <w:sz w:val="22"/>
          <w:szCs w:val="22"/>
        </w:rPr>
        <w:t>Re-evaluate existing educational resources and curricula to identify opportunities to implement anti-racist learning.</w:t>
      </w:r>
    </w:p>
    <w:p w:rsidR="005C7F03" w:rsidRPr="00A511CE" w:rsidP="00F13877">
      <w:pPr>
        <w:pStyle w:val="ListParagraph"/>
        <w:rPr>
          <w:rFonts w:ascii="Calibri" w:hAnsi="Calibri" w:cs="Calibri"/>
          <w:sz w:val="22"/>
          <w:szCs w:val="22"/>
        </w:rPr>
      </w:pPr>
    </w:p>
    <w:p w:rsidR="005C7F03" w:rsidRPr="00A511CE" w:rsidP="00840E29">
      <w:pPr>
        <w:pStyle w:val="ListParagraph"/>
        <w:numPr>
          <w:ilvl w:val="0"/>
          <w:numId w:val="2"/>
        </w:numPr>
        <w:rPr>
          <w:rFonts w:ascii="Calibri" w:hAnsi="Calibri" w:cs="Calibri"/>
          <w:b/>
          <w:bCs/>
          <w:sz w:val="22"/>
          <w:szCs w:val="22"/>
        </w:rPr>
      </w:pPr>
      <w:r w:rsidRPr="00A511CE">
        <w:rPr>
          <w:rFonts w:ascii="Calibri" w:hAnsi="Calibri" w:cs="Calibri"/>
          <w:b/>
          <w:bCs/>
          <w:sz w:val="22"/>
          <w:szCs w:val="22"/>
        </w:rPr>
        <w:t xml:space="preserve">Eradicating the disadvantage gap for pupils </w:t>
      </w:r>
      <w:r w:rsidRPr="00A511CE">
        <w:rPr>
          <w:rFonts w:ascii="Calibri" w:hAnsi="Calibri" w:cs="Calibri"/>
          <w:b/>
          <w:bCs/>
          <w:sz w:val="22"/>
          <w:szCs w:val="22"/>
        </w:rPr>
        <w:t>with experience of</w:t>
      </w:r>
      <w:r w:rsidRPr="00A511CE">
        <w:rPr>
          <w:rFonts w:ascii="Calibri" w:hAnsi="Calibri" w:cs="Calibri"/>
          <w:b/>
          <w:bCs/>
          <w:sz w:val="22"/>
          <w:szCs w:val="22"/>
        </w:rPr>
        <w:t xml:space="preserve"> poverty</w:t>
      </w:r>
      <w:r w:rsidRPr="00A511CE">
        <w:rPr>
          <w:rFonts w:ascii="Calibri" w:hAnsi="Calibri" w:cs="Calibri"/>
          <w:b/>
          <w:bCs/>
          <w:sz w:val="22"/>
          <w:szCs w:val="22"/>
        </w:rPr>
        <w:t xml:space="preserve"> and/or the care system</w:t>
      </w:r>
    </w:p>
    <w:p w:rsidR="005C7F03" w:rsidRPr="00A511CE" w:rsidP="001E2ECA">
      <w:pPr>
        <w:rPr>
          <w:rFonts w:ascii="Calibri" w:hAnsi="Calibri" w:cs="Calibri"/>
          <w:sz w:val="22"/>
          <w:szCs w:val="22"/>
        </w:rPr>
      </w:pPr>
      <w:r w:rsidRPr="00A511CE">
        <w:rPr>
          <w:rFonts w:ascii="Calibri" w:hAnsi="Calibri" w:cs="Calibri"/>
          <w:sz w:val="22"/>
          <w:szCs w:val="22"/>
        </w:rPr>
        <w:t>4</w:t>
      </w:r>
      <w:r w:rsidRPr="00A511CE">
        <w:rPr>
          <w:rFonts w:ascii="Calibri" w:hAnsi="Calibri" w:cs="Calibri"/>
          <w:sz w:val="22"/>
          <w:szCs w:val="22"/>
        </w:rPr>
        <w:t>.1    Barnardo’s welcomes the Government’s commitment to</w:t>
      </w:r>
      <w:r w:rsidRPr="00A511CE">
        <w:rPr>
          <w:rFonts w:ascii="Calibri" w:hAnsi="Calibri" w:cs="Calibri"/>
          <w:sz w:val="22"/>
          <w:szCs w:val="22"/>
        </w:rPr>
        <w:t xml:space="preserve"> narrow the disadvantage gap, but educational reform alone will not </w:t>
      </w:r>
      <w:r w:rsidRPr="00A511CE">
        <w:rPr>
          <w:rFonts w:ascii="Calibri" w:hAnsi="Calibri" w:cs="Calibri"/>
          <w:sz w:val="22"/>
          <w:szCs w:val="22"/>
        </w:rPr>
        <w:t>deliver this ambition while millions of children continue to experience poverty.</w:t>
      </w:r>
      <w:r w:rsidRPr="00A511CE">
        <w:rPr>
          <w:rFonts w:ascii="Calibri" w:hAnsi="Calibri" w:cs="Calibri"/>
          <w:sz w:val="22"/>
          <w:szCs w:val="22"/>
        </w:rPr>
        <w:t xml:space="preserve"> Poverty affects children's health, wellbeing, school readiness, attendance and attainment, creating barriers to learning long before they enter the classroom. </w:t>
      </w:r>
    </w:p>
    <w:p w:rsidR="005C7F03" w:rsidRPr="00A511CE" w:rsidP="00757BBA">
      <w:pPr>
        <w:rPr>
          <w:rFonts w:ascii="Calibri" w:hAnsi="Calibri" w:cs="Calibri"/>
          <w:sz w:val="22"/>
          <w:szCs w:val="22"/>
        </w:rPr>
      </w:pPr>
      <w:r w:rsidRPr="00A511CE">
        <w:rPr>
          <w:rFonts w:ascii="Calibri" w:hAnsi="Calibri" w:cs="Calibri"/>
          <w:sz w:val="22"/>
          <w:szCs w:val="22"/>
        </w:rPr>
        <w:t xml:space="preserve">4.2    </w:t>
      </w:r>
      <w:r w:rsidRPr="00A511CE">
        <w:rPr>
          <w:rFonts w:ascii="Calibri" w:hAnsi="Calibri" w:cs="Calibri"/>
          <w:sz w:val="22"/>
          <w:szCs w:val="22"/>
        </w:rPr>
        <w:t>The Government should therefore adopt a whole-system approach to reducing disadvantage, including legally binding child poverty reduction targets,</w:t>
      </w:r>
      <w:r w:rsidRPr="00A511CE">
        <w:rPr>
          <w:rFonts w:ascii="Calibri" w:hAnsi="Calibri" w:cs="Calibri"/>
          <w:sz w:val="22"/>
          <w:szCs w:val="22"/>
        </w:rPr>
        <w:t xml:space="preserve"> a </w:t>
      </w:r>
      <w:r w:rsidRPr="00A511CE">
        <w:rPr>
          <w:rFonts w:ascii="Calibri" w:hAnsi="Calibri" w:cs="Calibri"/>
          <w:sz w:val="22"/>
          <w:szCs w:val="22"/>
        </w:rPr>
        <w:t xml:space="preserve">welfare </w:t>
      </w:r>
      <w:r w:rsidRPr="00A511CE">
        <w:rPr>
          <w:rFonts w:ascii="Calibri" w:hAnsi="Calibri" w:cs="Calibri"/>
          <w:sz w:val="22"/>
          <w:szCs w:val="22"/>
        </w:rPr>
        <w:t>system</w:t>
      </w:r>
      <w:r w:rsidRPr="00A511CE">
        <w:rPr>
          <w:rFonts w:ascii="Calibri" w:hAnsi="Calibri" w:cs="Calibri"/>
          <w:sz w:val="22"/>
          <w:szCs w:val="22"/>
        </w:rPr>
        <w:t xml:space="preserve"> that works</w:t>
      </w:r>
      <w:r w:rsidRPr="00A511CE">
        <w:rPr>
          <w:rFonts w:ascii="Calibri" w:hAnsi="Calibri" w:cs="Calibri"/>
          <w:sz w:val="22"/>
          <w:szCs w:val="22"/>
        </w:rPr>
        <w:t xml:space="preserve"> for those who need it most</w:t>
      </w:r>
      <w:r w:rsidRPr="00A511CE">
        <w:rPr>
          <w:rFonts w:ascii="Calibri" w:hAnsi="Calibri" w:cs="Calibri"/>
          <w:sz w:val="22"/>
          <w:szCs w:val="22"/>
        </w:rPr>
        <w:t>,</w:t>
      </w:r>
      <w:r w:rsidRPr="00A511CE">
        <w:rPr>
          <w:rFonts w:ascii="Calibri" w:hAnsi="Calibri" w:cs="Calibri"/>
          <w:sz w:val="22"/>
          <w:szCs w:val="22"/>
        </w:rPr>
        <w:t xml:space="preserve"> and measures to improve families' financial security.</w:t>
      </w:r>
    </w:p>
    <w:p w:rsidR="005C7F03" w:rsidRPr="00A511CE" w:rsidP="00757BBA">
      <w:pPr>
        <w:rPr>
          <w:rFonts w:ascii="Calibri" w:hAnsi="Calibri" w:cs="Calibri"/>
          <w:b/>
          <w:bCs/>
          <w:sz w:val="22"/>
          <w:szCs w:val="22"/>
        </w:rPr>
      </w:pPr>
      <w:r w:rsidRPr="00A511CE">
        <w:rPr>
          <w:rFonts w:ascii="Calibri" w:hAnsi="Calibri" w:cs="Calibri"/>
          <w:b/>
          <w:bCs/>
          <w:sz w:val="22"/>
          <w:szCs w:val="22"/>
        </w:rPr>
        <w:t>Free school meals</w:t>
      </w:r>
    </w:p>
    <w:p w:rsidR="005C7F03" w:rsidRPr="00A511CE" w:rsidP="00E951A8">
      <w:pPr>
        <w:rPr>
          <w:rFonts w:ascii="Calibri" w:hAnsi="Calibri" w:cs="Calibri"/>
          <w:sz w:val="22"/>
          <w:szCs w:val="22"/>
        </w:rPr>
      </w:pPr>
      <w:r w:rsidRPr="00A511CE">
        <w:rPr>
          <w:rFonts w:ascii="Calibri" w:hAnsi="Calibri" w:cs="Calibri"/>
          <w:sz w:val="22"/>
          <w:szCs w:val="22"/>
        </w:rPr>
        <w:t>4.3</w:t>
      </w:r>
      <w:r w:rsidRPr="00A511CE">
        <w:rPr>
          <w:rFonts w:ascii="Calibri" w:hAnsi="Calibri" w:cs="Calibri"/>
          <w:sz w:val="22"/>
          <w:szCs w:val="22"/>
        </w:rPr>
        <w:t xml:space="preserve">    W</w:t>
      </w:r>
      <w:r w:rsidRPr="00A511CE">
        <w:rPr>
          <w:rFonts w:ascii="Calibri" w:hAnsi="Calibri" w:cs="Calibri"/>
          <w:sz w:val="22"/>
          <w:szCs w:val="22"/>
        </w:rPr>
        <w:t xml:space="preserve">e </w:t>
      </w:r>
      <w:r w:rsidRPr="00A511CE">
        <w:rPr>
          <w:rFonts w:ascii="Calibri" w:hAnsi="Calibri" w:cs="Calibri"/>
          <w:sz w:val="22"/>
          <w:szCs w:val="22"/>
        </w:rPr>
        <w:t>recognise the limitations of relying on a single measure of deprivation. However, any move away from free school meal (FSM</w:t>
      </w:r>
      <w:r w:rsidRPr="00A511CE">
        <w:rPr>
          <w:rFonts w:ascii="Calibri" w:hAnsi="Calibri" w:cs="Calibri"/>
          <w:sz w:val="22"/>
          <w:szCs w:val="22"/>
        </w:rPr>
        <w:t>) el</w:t>
      </w:r>
      <w:r w:rsidRPr="00A511CE">
        <w:rPr>
          <w:rFonts w:ascii="Calibri" w:hAnsi="Calibri" w:cs="Calibri"/>
          <w:sz w:val="22"/>
          <w:szCs w:val="22"/>
        </w:rPr>
        <w:t xml:space="preserve">igibility </w:t>
      </w:r>
      <w:r w:rsidRPr="00A511CE">
        <w:rPr>
          <w:rFonts w:ascii="Calibri" w:hAnsi="Calibri" w:cs="Calibri"/>
          <w:sz w:val="22"/>
          <w:szCs w:val="22"/>
        </w:rPr>
        <w:t xml:space="preserve">as the key indicator of disadvantage must </w:t>
      </w:r>
      <w:r w:rsidRPr="00A511CE">
        <w:rPr>
          <w:rFonts w:ascii="Calibri" w:hAnsi="Calibri" w:cs="Calibri"/>
          <w:sz w:val="22"/>
          <w:szCs w:val="22"/>
        </w:rPr>
        <w:t>strengthen</w:t>
      </w:r>
      <w:r w:rsidRPr="00A511CE">
        <w:rPr>
          <w:rFonts w:ascii="Calibri" w:hAnsi="Calibri" w:cs="Calibri"/>
          <w:sz w:val="22"/>
          <w:szCs w:val="22"/>
        </w:rPr>
        <w:t xml:space="preserve"> support for children experiencing </w:t>
      </w:r>
      <w:r w:rsidRPr="00A511CE">
        <w:rPr>
          <w:rFonts w:ascii="Calibri" w:hAnsi="Calibri" w:cs="Calibri"/>
          <w:sz w:val="22"/>
          <w:szCs w:val="22"/>
        </w:rPr>
        <w:t>poverty and</w:t>
      </w:r>
      <w:r w:rsidRPr="00A511CE">
        <w:rPr>
          <w:rFonts w:ascii="Calibri" w:hAnsi="Calibri" w:cs="Calibri"/>
          <w:sz w:val="22"/>
          <w:szCs w:val="22"/>
        </w:rPr>
        <w:t xml:space="preserve"> not weaken it</w:t>
      </w:r>
      <w:r w:rsidRPr="00A511CE">
        <w:rPr>
          <w:rFonts w:ascii="Calibri" w:hAnsi="Calibri" w:cs="Calibri"/>
          <w:sz w:val="22"/>
          <w:szCs w:val="22"/>
        </w:rPr>
        <w:t>. Child poverty remains one of the strongest drivers of unequal educational outcomes, affecting children’s health, wellbeing, attend</w:t>
      </w:r>
      <w:r w:rsidRPr="00A511CE">
        <w:rPr>
          <w:rFonts w:ascii="Calibri" w:hAnsi="Calibri" w:cs="Calibri"/>
          <w:sz w:val="22"/>
          <w:szCs w:val="22"/>
        </w:rPr>
        <w:t xml:space="preserve">ance and attainment. It is crucial that this </w:t>
      </w:r>
      <w:r w:rsidRPr="00A511CE">
        <w:rPr>
          <w:rFonts w:ascii="Calibri" w:hAnsi="Calibri" w:cs="Calibri"/>
          <w:sz w:val="22"/>
          <w:szCs w:val="22"/>
        </w:rPr>
        <w:t xml:space="preserve">is </w:t>
      </w:r>
      <w:r w:rsidRPr="00A511CE">
        <w:rPr>
          <w:rFonts w:ascii="Calibri" w:hAnsi="Calibri" w:cs="Calibri"/>
          <w:sz w:val="22"/>
          <w:szCs w:val="22"/>
        </w:rPr>
        <w:t xml:space="preserve">given </w:t>
      </w:r>
      <w:r w:rsidRPr="00A511CE">
        <w:rPr>
          <w:rFonts w:ascii="Calibri" w:hAnsi="Calibri" w:cs="Calibri"/>
          <w:sz w:val="22"/>
          <w:szCs w:val="22"/>
        </w:rPr>
        <w:t>the</w:t>
      </w:r>
      <w:r w:rsidRPr="00A511CE">
        <w:rPr>
          <w:rFonts w:ascii="Calibri" w:hAnsi="Calibri" w:cs="Calibri"/>
          <w:sz w:val="22"/>
          <w:szCs w:val="22"/>
        </w:rPr>
        <w:t xml:space="preserve"> consideration</w:t>
      </w:r>
      <w:r w:rsidRPr="00A511CE">
        <w:rPr>
          <w:rFonts w:ascii="Calibri" w:hAnsi="Calibri" w:cs="Calibri"/>
          <w:sz w:val="22"/>
          <w:szCs w:val="22"/>
        </w:rPr>
        <w:t xml:space="preserve"> it deserves</w:t>
      </w:r>
      <w:r w:rsidRPr="00A511CE">
        <w:rPr>
          <w:rFonts w:ascii="Calibri" w:hAnsi="Calibri" w:cs="Calibri"/>
          <w:sz w:val="22"/>
          <w:szCs w:val="22"/>
        </w:rPr>
        <w:t>.</w:t>
      </w:r>
    </w:p>
    <w:p w:rsidR="005C7F03" w:rsidRPr="00A511CE" w:rsidP="00FC0D6F">
      <w:pPr>
        <w:rPr>
          <w:rFonts w:ascii="Calibri" w:hAnsi="Calibri" w:cs="Calibri"/>
          <w:sz w:val="22"/>
          <w:szCs w:val="22"/>
        </w:rPr>
      </w:pPr>
      <w:r w:rsidRPr="00A511CE">
        <w:rPr>
          <w:rFonts w:ascii="Calibri" w:hAnsi="Calibri" w:cs="Calibri"/>
          <w:sz w:val="22"/>
          <w:szCs w:val="22"/>
        </w:rPr>
        <w:t>4.4</w:t>
      </w:r>
      <w:r w:rsidRPr="00A511CE">
        <w:rPr>
          <w:rFonts w:ascii="Calibri" w:hAnsi="Calibri" w:cs="Calibri"/>
          <w:sz w:val="22"/>
          <w:szCs w:val="22"/>
        </w:rPr>
        <w:t xml:space="preserve">    </w:t>
      </w:r>
      <w:r w:rsidRPr="00A511CE">
        <w:rPr>
          <w:rFonts w:ascii="Calibri" w:hAnsi="Calibri" w:cs="Calibri"/>
          <w:sz w:val="22"/>
          <w:szCs w:val="22"/>
        </w:rPr>
        <w:t xml:space="preserve"> </w:t>
      </w:r>
      <w:r w:rsidRPr="00A511CE">
        <w:rPr>
          <w:rFonts w:ascii="Calibri" w:hAnsi="Calibri" w:cs="Calibri"/>
          <w:sz w:val="22"/>
          <w:szCs w:val="22"/>
        </w:rPr>
        <w:t>Further</w:t>
      </w:r>
      <w:r w:rsidRPr="00A511CE">
        <w:rPr>
          <w:rFonts w:ascii="Calibri" w:hAnsi="Calibri" w:cs="Calibri"/>
          <w:sz w:val="22"/>
          <w:szCs w:val="22"/>
        </w:rPr>
        <w:t xml:space="preserve"> to this point</w:t>
      </w:r>
      <w:r w:rsidRPr="00A511CE">
        <w:rPr>
          <w:rFonts w:ascii="Calibri" w:hAnsi="Calibri" w:cs="Calibri"/>
          <w:sz w:val="22"/>
          <w:szCs w:val="22"/>
        </w:rPr>
        <w:t>,</w:t>
      </w:r>
      <w:r w:rsidRPr="00A511CE">
        <w:rPr>
          <w:rFonts w:ascii="Calibri" w:hAnsi="Calibri" w:cs="Calibri"/>
          <w:sz w:val="22"/>
          <w:szCs w:val="22"/>
        </w:rPr>
        <w:t xml:space="preserve"> </w:t>
      </w:r>
      <w:r w:rsidRPr="00A511CE">
        <w:rPr>
          <w:rFonts w:ascii="Calibri" w:hAnsi="Calibri" w:cs="Calibri"/>
          <w:sz w:val="22"/>
          <w:szCs w:val="22"/>
        </w:rPr>
        <w:t xml:space="preserve">many children experiencing poverty continue to miss out on </w:t>
      </w:r>
      <w:r w:rsidRPr="00A511CE">
        <w:rPr>
          <w:rFonts w:ascii="Calibri" w:hAnsi="Calibri" w:cs="Calibri"/>
          <w:sz w:val="22"/>
          <w:szCs w:val="22"/>
        </w:rPr>
        <w:t>FSM provision</w:t>
      </w:r>
      <w:r w:rsidRPr="00A511CE">
        <w:rPr>
          <w:rFonts w:ascii="Calibri" w:hAnsi="Calibri" w:cs="Calibri"/>
          <w:sz w:val="22"/>
          <w:szCs w:val="22"/>
        </w:rPr>
        <w:t xml:space="preserve"> </w:t>
      </w:r>
      <w:r w:rsidRPr="00A511CE">
        <w:rPr>
          <w:rFonts w:ascii="Calibri" w:hAnsi="Calibri" w:cs="Calibri"/>
          <w:sz w:val="22"/>
          <w:szCs w:val="22"/>
        </w:rPr>
        <w:t xml:space="preserve">because they are not registered or do not meet the current eligibility criteria. </w:t>
      </w:r>
      <w:r w:rsidRPr="00A511CE">
        <w:rPr>
          <w:rFonts w:ascii="Calibri" w:hAnsi="Calibri" w:cs="Calibri"/>
          <w:sz w:val="22"/>
          <w:szCs w:val="22"/>
        </w:rPr>
        <w:t>Access to nutritious food is fundamental to children's ability to learn and thrive</w:t>
      </w:r>
      <w:r w:rsidRPr="00A511CE">
        <w:rPr>
          <w:rFonts w:ascii="Calibri" w:hAnsi="Calibri" w:cs="Calibri"/>
          <w:sz w:val="22"/>
          <w:szCs w:val="22"/>
        </w:rPr>
        <w:t>; e</w:t>
      </w:r>
      <w:r w:rsidRPr="00A511CE">
        <w:rPr>
          <w:rFonts w:ascii="Calibri" w:hAnsi="Calibri" w:cs="Calibri"/>
          <w:sz w:val="22"/>
          <w:szCs w:val="22"/>
        </w:rPr>
        <w:t>vidence shows that free school meals are associated with improved attendance, pupil outcomes, wellbeing and reduced inequalities</w:t>
      </w:r>
      <w:r w:rsidRPr="00A511CE">
        <w:rPr>
          <w:rFonts w:ascii="Calibri" w:hAnsi="Calibri" w:cs="Calibri"/>
          <w:sz w:val="22"/>
          <w:szCs w:val="22"/>
        </w:rPr>
        <w:t>.</w:t>
      </w:r>
      <w:r>
        <w:rPr>
          <w:rStyle w:val="FootnoteReference"/>
          <w:rFonts w:ascii="Calibri" w:hAnsi="Calibri" w:cs="Calibri"/>
          <w:sz w:val="22"/>
          <w:szCs w:val="22"/>
        </w:rPr>
        <w:footnoteReference w:id="8"/>
      </w:r>
      <w:r w:rsidRPr="00A511CE">
        <w:rPr>
          <w:rFonts w:ascii="Calibri" w:hAnsi="Calibri" w:cs="Calibri"/>
          <w:sz w:val="22"/>
          <w:szCs w:val="22"/>
        </w:rPr>
        <w:t xml:space="preserve"> For th</w:t>
      </w:r>
      <w:r w:rsidRPr="00A511CE">
        <w:rPr>
          <w:rFonts w:ascii="Calibri" w:hAnsi="Calibri" w:cs="Calibri"/>
          <w:sz w:val="22"/>
          <w:szCs w:val="22"/>
        </w:rPr>
        <w:t>is</w:t>
      </w:r>
      <w:r w:rsidRPr="00A511CE">
        <w:rPr>
          <w:rFonts w:ascii="Calibri" w:hAnsi="Calibri" w:cs="Calibri"/>
          <w:sz w:val="22"/>
          <w:szCs w:val="22"/>
        </w:rPr>
        <w:t xml:space="preserve"> reason,</w:t>
      </w:r>
      <w:r w:rsidRPr="00A511CE">
        <w:rPr>
          <w:rFonts w:ascii="Calibri" w:hAnsi="Calibri" w:cs="Calibri"/>
          <w:sz w:val="22"/>
          <w:szCs w:val="22"/>
        </w:rPr>
        <w:t xml:space="preserve"> </w:t>
      </w:r>
      <w:r w:rsidRPr="00A511CE">
        <w:rPr>
          <w:rFonts w:ascii="Calibri" w:hAnsi="Calibri" w:cs="Calibri"/>
          <w:sz w:val="22"/>
          <w:szCs w:val="22"/>
        </w:rPr>
        <w:t>w</w:t>
      </w:r>
      <w:r w:rsidRPr="00A511CE">
        <w:rPr>
          <w:rFonts w:ascii="Calibri" w:hAnsi="Calibri" w:cs="Calibri"/>
          <w:sz w:val="22"/>
          <w:szCs w:val="22"/>
        </w:rPr>
        <w:t>e support the national auto-enrolment of free school meals and believe this should form part of any strategy to reduce educational disadvantage.</w:t>
      </w:r>
    </w:p>
    <w:p w:rsidR="005C7F03" w:rsidRPr="00A511CE" w:rsidP="00766B51">
      <w:pPr>
        <w:rPr>
          <w:rFonts w:ascii="Calibri" w:hAnsi="Calibri" w:cs="Calibri"/>
          <w:b/>
          <w:bCs/>
          <w:sz w:val="22"/>
          <w:szCs w:val="22"/>
        </w:rPr>
      </w:pPr>
      <w:r w:rsidRPr="00A511CE">
        <w:rPr>
          <w:rFonts w:ascii="Calibri" w:hAnsi="Calibri" w:cs="Calibri"/>
          <w:b/>
          <w:bCs/>
          <w:sz w:val="22"/>
          <w:szCs w:val="22"/>
        </w:rPr>
        <w:t xml:space="preserve">Supporting children </w:t>
      </w:r>
      <w:r w:rsidRPr="00A511CE">
        <w:rPr>
          <w:rFonts w:ascii="Calibri" w:hAnsi="Calibri" w:cs="Calibri"/>
          <w:b/>
          <w:bCs/>
          <w:sz w:val="22"/>
          <w:szCs w:val="22"/>
        </w:rPr>
        <w:t>with complex circumstances</w:t>
      </w:r>
      <w:r w:rsidRPr="00A511CE">
        <w:rPr>
          <w:rFonts w:ascii="Calibri" w:hAnsi="Calibri" w:cs="Calibri"/>
          <w:b/>
          <w:bCs/>
          <w:sz w:val="22"/>
          <w:szCs w:val="22"/>
        </w:rPr>
        <w:t xml:space="preserve"> and compounding disad</w:t>
      </w:r>
      <w:r w:rsidRPr="00A511CE">
        <w:rPr>
          <w:rFonts w:ascii="Calibri" w:hAnsi="Calibri" w:cs="Calibri"/>
          <w:b/>
          <w:bCs/>
          <w:sz w:val="22"/>
          <w:szCs w:val="22"/>
        </w:rPr>
        <w:t>vantage</w:t>
      </w:r>
    </w:p>
    <w:p w:rsidR="005C7F03" w:rsidRPr="00A511CE" w:rsidP="003B3382">
      <w:pPr>
        <w:rPr>
          <w:rFonts w:ascii="Calibri" w:hAnsi="Calibri" w:cs="Calibri"/>
          <w:sz w:val="22"/>
          <w:szCs w:val="22"/>
        </w:rPr>
      </w:pPr>
      <w:r w:rsidRPr="00A511CE">
        <w:rPr>
          <w:rFonts w:ascii="Calibri" w:hAnsi="Calibri" w:cs="Calibri"/>
          <w:sz w:val="22"/>
          <w:szCs w:val="22"/>
        </w:rPr>
        <w:t>4</w:t>
      </w:r>
      <w:r w:rsidRPr="00A511CE">
        <w:rPr>
          <w:rFonts w:ascii="Calibri" w:hAnsi="Calibri" w:cs="Calibri"/>
          <w:sz w:val="22"/>
          <w:szCs w:val="22"/>
        </w:rPr>
        <w:t xml:space="preserve">.5      </w:t>
      </w:r>
      <w:r w:rsidRPr="00A511CE">
        <w:rPr>
          <w:rFonts w:ascii="Calibri" w:hAnsi="Calibri" w:cs="Calibri"/>
          <w:sz w:val="22"/>
          <w:szCs w:val="22"/>
        </w:rPr>
        <w:t>The Government's ambition</w:t>
      </w:r>
      <w:r w:rsidRPr="00A511CE">
        <w:rPr>
          <w:rFonts w:ascii="Calibri" w:hAnsi="Calibri" w:cs="Calibri"/>
          <w:sz w:val="22"/>
          <w:szCs w:val="22"/>
        </w:rPr>
        <w:t xml:space="preserve"> to close the disadvantage gap</w:t>
      </w:r>
      <w:r w:rsidRPr="00A511CE">
        <w:rPr>
          <w:rFonts w:ascii="Calibri" w:hAnsi="Calibri" w:cs="Calibri"/>
          <w:sz w:val="22"/>
          <w:szCs w:val="22"/>
        </w:rPr>
        <w:t xml:space="preserve"> will only be realised if implementation explicitly addresses the needs of children facing the deepest and most persistent disadvantage. </w:t>
      </w:r>
      <w:r w:rsidRPr="00A511CE">
        <w:rPr>
          <w:rFonts w:ascii="Calibri" w:hAnsi="Calibri" w:cs="Calibri"/>
          <w:sz w:val="22"/>
          <w:szCs w:val="22"/>
        </w:rPr>
        <w:t>While the Government is rightly</w:t>
      </w:r>
      <w:r w:rsidRPr="00A511CE">
        <w:rPr>
          <w:rFonts w:ascii="Calibri" w:hAnsi="Calibri" w:cs="Calibri"/>
          <w:sz w:val="22"/>
          <w:szCs w:val="22"/>
        </w:rPr>
        <w:t xml:space="preserve"> concerned about</w:t>
      </w:r>
      <w:r w:rsidRPr="00A511CE">
        <w:rPr>
          <w:rFonts w:ascii="Calibri" w:hAnsi="Calibri" w:cs="Calibri"/>
          <w:sz w:val="22"/>
          <w:szCs w:val="22"/>
        </w:rPr>
        <w:t xml:space="preserve"> improving </w:t>
      </w:r>
      <w:r w:rsidRPr="00A511CE">
        <w:rPr>
          <w:rFonts w:ascii="Calibri" w:hAnsi="Calibri" w:cs="Calibri"/>
          <w:sz w:val="22"/>
          <w:szCs w:val="22"/>
        </w:rPr>
        <w:t xml:space="preserve">outcomes for white </w:t>
      </w:r>
      <w:r w:rsidRPr="00A511CE">
        <w:rPr>
          <w:rFonts w:ascii="Calibri" w:hAnsi="Calibri" w:cs="Calibri"/>
          <w:sz w:val="22"/>
          <w:szCs w:val="22"/>
        </w:rPr>
        <w:t>working-class</w:t>
      </w:r>
      <w:r w:rsidRPr="00A511CE">
        <w:rPr>
          <w:rFonts w:ascii="Calibri" w:hAnsi="Calibri" w:cs="Calibri"/>
          <w:sz w:val="22"/>
          <w:szCs w:val="22"/>
        </w:rPr>
        <w:t xml:space="preserve"> children, Black </w:t>
      </w:r>
      <w:r w:rsidRPr="00A511CE">
        <w:rPr>
          <w:rFonts w:ascii="Calibri" w:hAnsi="Calibri" w:cs="Calibri"/>
          <w:sz w:val="22"/>
          <w:szCs w:val="22"/>
        </w:rPr>
        <w:t>Caribbean</w:t>
      </w:r>
      <w:r w:rsidRPr="00A511CE">
        <w:rPr>
          <w:rFonts w:ascii="Calibri" w:hAnsi="Calibri" w:cs="Calibri"/>
          <w:sz w:val="22"/>
          <w:szCs w:val="22"/>
        </w:rPr>
        <w:t xml:space="preserve"> and mixed heritage children</w:t>
      </w:r>
      <w:r w:rsidRPr="00A511CE">
        <w:rPr>
          <w:rFonts w:ascii="Calibri" w:hAnsi="Calibri" w:cs="Calibri"/>
          <w:sz w:val="22"/>
          <w:szCs w:val="22"/>
        </w:rPr>
        <w:t xml:space="preserve"> on FSM</w:t>
      </w:r>
      <w:r w:rsidRPr="00A511CE">
        <w:rPr>
          <w:rFonts w:ascii="Calibri" w:hAnsi="Calibri" w:cs="Calibri"/>
          <w:sz w:val="22"/>
          <w:szCs w:val="22"/>
        </w:rPr>
        <w:t xml:space="preserve"> a</w:t>
      </w:r>
      <w:r w:rsidRPr="00A511CE">
        <w:rPr>
          <w:rFonts w:ascii="Calibri" w:hAnsi="Calibri" w:cs="Calibri"/>
          <w:sz w:val="22"/>
          <w:szCs w:val="22"/>
        </w:rPr>
        <w:t xml:space="preserve">lso score lower on Attainment 8 than </w:t>
      </w:r>
      <w:r w:rsidRPr="00A511CE">
        <w:rPr>
          <w:rFonts w:ascii="Calibri" w:hAnsi="Calibri" w:cs="Calibri"/>
          <w:sz w:val="22"/>
          <w:szCs w:val="22"/>
        </w:rPr>
        <w:t>m</w:t>
      </w:r>
      <w:r w:rsidRPr="00A511CE">
        <w:rPr>
          <w:rFonts w:ascii="Calibri" w:hAnsi="Calibri" w:cs="Calibri"/>
          <w:sz w:val="22"/>
          <w:szCs w:val="22"/>
        </w:rPr>
        <w:t>ost</w:t>
      </w:r>
      <w:r w:rsidRPr="00A511CE">
        <w:rPr>
          <w:rFonts w:ascii="Calibri" w:hAnsi="Calibri" w:cs="Calibri"/>
          <w:sz w:val="22"/>
          <w:szCs w:val="22"/>
        </w:rPr>
        <w:t xml:space="preserve"> </w:t>
      </w:r>
      <w:r w:rsidRPr="00A511CE">
        <w:rPr>
          <w:rFonts w:ascii="Calibri" w:hAnsi="Calibri" w:cs="Calibri"/>
          <w:sz w:val="22"/>
          <w:szCs w:val="22"/>
        </w:rPr>
        <w:t>other ethnic groups.</w:t>
      </w:r>
      <w:r>
        <w:rPr>
          <w:rStyle w:val="FootnoteReference"/>
          <w:rFonts w:ascii="Calibri" w:hAnsi="Calibri" w:cs="Calibri"/>
          <w:sz w:val="22"/>
          <w:szCs w:val="22"/>
        </w:rPr>
        <w:footnoteReference w:id="9"/>
      </w:r>
      <w:r w:rsidRPr="00A511CE">
        <w:rPr>
          <w:rFonts w:ascii="Calibri" w:hAnsi="Calibri" w:cs="Calibri"/>
          <w:sz w:val="22"/>
          <w:szCs w:val="22"/>
        </w:rPr>
        <w:t xml:space="preserve"> </w:t>
      </w:r>
      <w:r w:rsidRPr="00A511CE">
        <w:rPr>
          <w:rFonts w:ascii="Calibri" w:hAnsi="Calibri" w:cs="Calibri"/>
          <w:sz w:val="22"/>
          <w:szCs w:val="22"/>
        </w:rPr>
        <w:t>An intersectional approach is needed to understand how poverty interacts with race, ethnicity, immigration status and care experience to shape children's educational outcomes.</w:t>
      </w:r>
    </w:p>
    <w:p w:rsidR="005C7F03" w:rsidRPr="00A511CE" w:rsidP="00855115">
      <w:pPr>
        <w:rPr>
          <w:rFonts w:ascii="Calibri" w:hAnsi="Calibri" w:cs="Calibri"/>
          <w:sz w:val="22"/>
          <w:szCs w:val="22"/>
        </w:rPr>
      </w:pPr>
      <w:r w:rsidRPr="00A511CE">
        <w:rPr>
          <w:rFonts w:ascii="Calibri" w:hAnsi="Calibri" w:cs="Calibri"/>
          <w:sz w:val="22"/>
          <w:szCs w:val="22"/>
        </w:rPr>
        <w:t>4</w:t>
      </w:r>
      <w:r w:rsidRPr="00A511CE">
        <w:rPr>
          <w:rFonts w:ascii="Calibri" w:hAnsi="Calibri" w:cs="Calibri"/>
          <w:sz w:val="22"/>
          <w:szCs w:val="22"/>
        </w:rPr>
        <w:t xml:space="preserve">.6     </w:t>
      </w:r>
      <w:r w:rsidRPr="00A511CE">
        <w:rPr>
          <w:rFonts w:ascii="Calibri" w:hAnsi="Calibri" w:cs="Calibri"/>
          <w:sz w:val="22"/>
          <w:szCs w:val="22"/>
        </w:rPr>
        <w:t xml:space="preserve"> </w:t>
      </w:r>
      <w:r w:rsidRPr="00A511CE">
        <w:rPr>
          <w:rFonts w:ascii="Calibri" w:hAnsi="Calibri" w:cs="Calibri"/>
          <w:sz w:val="22"/>
          <w:szCs w:val="22"/>
        </w:rPr>
        <w:t>There must also</w:t>
      </w:r>
      <w:r w:rsidRPr="00A511CE">
        <w:rPr>
          <w:rFonts w:ascii="Calibri" w:hAnsi="Calibri" w:cs="Calibri"/>
          <w:sz w:val="22"/>
          <w:szCs w:val="22"/>
        </w:rPr>
        <w:t xml:space="preserve"> be </w:t>
      </w:r>
      <w:r w:rsidRPr="00A511CE">
        <w:rPr>
          <w:rFonts w:ascii="Calibri" w:hAnsi="Calibri" w:cs="Calibri"/>
          <w:sz w:val="22"/>
          <w:szCs w:val="22"/>
        </w:rPr>
        <w:t xml:space="preserve">greater recognition </w:t>
      </w:r>
      <w:r w:rsidRPr="00A511CE">
        <w:rPr>
          <w:rFonts w:ascii="Calibri" w:hAnsi="Calibri" w:cs="Calibri"/>
          <w:sz w:val="22"/>
          <w:szCs w:val="22"/>
        </w:rPr>
        <w:t xml:space="preserve">of how </w:t>
      </w:r>
      <w:r w:rsidRPr="00A511CE">
        <w:rPr>
          <w:rFonts w:ascii="Calibri" w:hAnsi="Calibri" w:cs="Calibri"/>
          <w:sz w:val="22"/>
          <w:szCs w:val="22"/>
        </w:rPr>
        <w:t>poverty</w:t>
      </w:r>
      <w:r w:rsidRPr="00A511CE">
        <w:rPr>
          <w:rFonts w:ascii="Calibri" w:hAnsi="Calibri" w:cs="Calibri"/>
          <w:sz w:val="22"/>
          <w:szCs w:val="22"/>
        </w:rPr>
        <w:t xml:space="preserve"> can</w:t>
      </w:r>
      <w:r w:rsidRPr="00A511CE">
        <w:rPr>
          <w:rFonts w:ascii="Calibri" w:hAnsi="Calibri" w:cs="Calibri"/>
          <w:sz w:val="22"/>
          <w:szCs w:val="22"/>
        </w:rPr>
        <w:t xml:space="preserve"> increase children's vulnerability to safeguarding concerns, exploitation and care experience</w:t>
      </w:r>
      <w:r w:rsidRPr="00A511CE">
        <w:rPr>
          <w:rFonts w:ascii="Calibri" w:hAnsi="Calibri" w:cs="Calibri"/>
          <w:sz w:val="22"/>
          <w:szCs w:val="22"/>
        </w:rPr>
        <w:t xml:space="preserve">, which can all </w:t>
      </w:r>
      <w:r w:rsidRPr="00A511CE">
        <w:rPr>
          <w:rFonts w:ascii="Calibri" w:hAnsi="Calibri" w:cs="Calibri"/>
          <w:sz w:val="22"/>
          <w:szCs w:val="22"/>
        </w:rPr>
        <w:t>impact school attendance and outcomes</w:t>
      </w:r>
      <w:r w:rsidRPr="00A511CE">
        <w:rPr>
          <w:rFonts w:ascii="Calibri" w:hAnsi="Calibri" w:cs="Calibri"/>
          <w:b/>
          <w:bCs/>
          <w:sz w:val="22"/>
          <w:szCs w:val="22"/>
        </w:rPr>
        <w:t>.</w:t>
      </w:r>
      <w:r w:rsidRPr="00A511CE">
        <w:rPr>
          <w:rFonts w:ascii="Calibri" w:hAnsi="Calibri" w:cs="Calibri"/>
          <w:b/>
          <w:bCs/>
          <w:sz w:val="22"/>
          <w:szCs w:val="22"/>
        </w:rPr>
        <w:t xml:space="preserve"> </w:t>
      </w:r>
      <w:r w:rsidRPr="00A511CE">
        <w:rPr>
          <w:rFonts w:ascii="Calibri" w:hAnsi="Calibri" w:cs="Calibri"/>
          <w:sz w:val="22"/>
          <w:szCs w:val="22"/>
        </w:rPr>
        <w:t xml:space="preserve">Research </w:t>
      </w:r>
      <w:r w:rsidRPr="00A511CE">
        <w:rPr>
          <w:rFonts w:ascii="Calibri" w:hAnsi="Calibri" w:cs="Calibri"/>
          <w:sz w:val="22"/>
          <w:szCs w:val="22"/>
        </w:rPr>
        <w:t xml:space="preserve">indicates that </w:t>
      </w:r>
      <w:r w:rsidRPr="00A511CE">
        <w:rPr>
          <w:rFonts w:ascii="Calibri" w:hAnsi="Calibri" w:cs="Calibri"/>
          <w:sz w:val="22"/>
          <w:szCs w:val="22"/>
        </w:rPr>
        <w:t>rising child poverty in England is associated with increased rates of children entering care, with an estimated 10,351 additional children entering care between 2015 and 2020 linked to increases in child poverty.</w:t>
      </w:r>
      <w:r>
        <w:rPr>
          <w:rStyle w:val="FootnoteReference"/>
          <w:rFonts w:ascii="Calibri" w:hAnsi="Calibri" w:cs="Calibri"/>
          <w:sz w:val="22"/>
          <w:szCs w:val="22"/>
        </w:rPr>
        <w:footnoteReference w:id="10"/>
      </w:r>
      <w:r w:rsidRPr="00A511CE">
        <w:rPr>
          <w:rFonts w:ascii="Calibri" w:hAnsi="Calibri" w:cs="Calibri"/>
          <w:sz w:val="22"/>
          <w:szCs w:val="22"/>
        </w:rPr>
        <w:t xml:space="preserve"> </w:t>
      </w:r>
      <w:r w:rsidRPr="00A511CE">
        <w:rPr>
          <w:rFonts w:ascii="Calibri" w:hAnsi="Calibri" w:cs="Calibri"/>
          <w:sz w:val="22"/>
          <w:szCs w:val="22"/>
        </w:rPr>
        <w:t xml:space="preserve">Furthermore, </w:t>
      </w:r>
      <w:r w:rsidRPr="00A511CE">
        <w:rPr>
          <w:rFonts w:ascii="Calibri" w:hAnsi="Calibri" w:cs="Calibri"/>
          <w:sz w:val="22"/>
          <w:szCs w:val="22"/>
        </w:rPr>
        <w:t xml:space="preserve">poverty </w:t>
      </w:r>
      <w:r w:rsidRPr="00A511CE">
        <w:rPr>
          <w:rFonts w:ascii="Calibri" w:hAnsi="Calibri" w:cs="Calibri"/>
          <w:sz w:val="22"/>
          <w:szCs w:val="22"/>
        </w:rPr>
        <w:t>can increase children's vulnerability to exploitation by making it easier for organised criminal groups and exploiters to target existing financial pressures.</w:t>
      </w:r>
      <w:r w:rsidRPr="00A511CE">
        <w:rPr>
          <w:rFonts w:ascii="Calibri" w:hAnsi="Calibri" w:cs="Calibri"/>
          <w:sz w:val="22"/>
          <w:szCs w:val="22"/>
        </w:rPr>
        <w:t xml:space="preserve"> Our </w:t>
      </w:r>
      <w:r w:rsidRPr="00A511CE">
        <w:rPr>
          <w:rFonts w:ascii="Calibri" w:hAnsi="Calibri" w:cs="Calibri"/>
          <w:sz w:val="22"/>
          <w:szCs w:val="22"/>
        </w:rPr>
        <w:t xml:space="preserve">services </w:t>
      </w:r>
      <w:r w:rsidRPr="00A511CE">
        <w:rPr>
          <w:rFonts w:ascii="Calibri" w:hAnsi="Calibri" w:cs="Calibri"/>
          <w:sz w:val="22"/>
          <w:szCs w:val="22"/>
        </w:rPr>
        <w:t>previously r</w:t>
      </w:r>
      <w:r w:rsidRPr="00A511CE">
        <w:rPr>
          <w:rFonts w:ascii="Calibri" w:hAnsi="Calibri" w:cs="Calibri"/>
          <w:sz w:val="22"/>
          <w:szCs w:val="22"/>
        </w:rPr>
        <w:t>eported an increase in exploiters using food, money, gifts and promises of employment to groom children experiencing hardship, while some children feel pressure to generate income for their families, increasing their risk of criminal and sexual exploitation.</w:t>
      </w:r>
      <w:r>
        <w:rPr>
          <w:rStyle w:val="FootnoteReference"/>
          <w:rFonts w:ascii="Calibri" w:hAnsi="Calibri" w:cs="Calibri"/>
          <w:sz w:val="22"/>
          <w:szCs w:val="22"/>
        </w:rPr>
        <w:footnoteReference w:id="11"/>
      </w:r>
      <w:r w:rsidRPr="00A511CE">
        <w:rPr>
          <w:rFonts w:ascii="Calibri" w:hAnsi="Calibri" w:cs="Calibri"/>
          <w:sz w:val="22"/>
          <w:szCs w:val="22"/>
        </w:rPr>
        <w:t xml:space="preserve"> </w:t>
      </w:r>
      <w:r w:rsidRPr="00A511CE">
        <w:rPr>
          <w:rFonts w:ascii="Calibri" w:hAnsi="Calibri" w:cs="Calibri"/>
          <w:sz w:val="22"/>
          <w:szCs w:val="22"/>
        </w:rPr>
        <w:t>All of these can impact a child’s education significantly.</w:t>
      </w:r>
    </w:p>
    <w:p w:rsidR="005C7F03" w:rsidRPr="00A511CE" w:rsidP="004D3D59">
      <w:pPr>
        <w:rPr>
          <w:rFonts w:ascii="Calibri" w:hAnsi="Calibri" w:cs="Calibri"/>
          <w:b/>
          <w:bCs/>
          <w:sz w:val="22"/>
          <w:szCs w:val="22"/>
        </w:rPr>
      </w:pPr>
      <w:r w:rsidRPr="00A511CE">
        <w:rPr>
          <w:rFonts w:ascii="Calibri" w:hAnsi="Calibri" w:cs="Calibri"/>
          <w:sz w:val="22"/>
          <w:szCs w:val="22"/>
        </w:rPr>
        <w:t xml:space="preserve">4.7      We recommend the Government take the following actions </w:t>
      </w:r>
      <w:r w:rsidRPr="00A511CE">
        <w:rPr>
          <w:rFonts w:ascii="Calibri" w:hAnsi="Calibri" w:cs="Calibri"/>
          <w:sz w:val="22"/>
          <w:szCs w:val="22"/>
        </w:rPr>
        <w:t>to reduce poverty in school-aged children</w:t>
      </w:r>
      <w:r w:rsidRPr="00A511CE">
        <w:rPr>
          <w:rFonts w:ascii="Calibri" w:hAnsi="Calibri" w:cs="Calibri"/>
          <w:b/>
          <w:bCs/>
          <w:sz w:val="22"/>
          <w:szCs w:val="22"/>
        </w:rPr>
        <w:t>:</w:t>
      </w:r>
    </w:p>
    <w:p w:rsidR="005C7F03" w:rsidRPr="00A511CE" w:rsidP="00AB453A">
      <w:pPr>
        <w:numPr>
          <w:ilvl w:val="0"/>
          <w:numId w:val="8"/>
        </w:numPr>
        <w:spacing w:after="0"/>
        <w:rPr>
          <w:rFonts w:ascii="Calibri" w:hAnsi="Calibri" w:cs="Calibri"/>
          <w:sz w:val="22"/>
          <w:szCs w:val="22"/>
        </w:rPr>
      </w:pPr>
      <w:r w:rsidRPr="00A511CE">
        <w:rPr>
          <w:rFonts w:ascii="Calibri" w:hAnsi="Calibri" w:cs="Calibri"/>
          <w:sz w:val="22"/>
          <w:szCs w:val="22"/>
        </w:rPr>
        <w:t xml:space="preserve">Adopt </w:t>
      </w:r>
      <w:r w:rsidRPr="00A511CE">
        <w:rPr>
          <w:rFonts w:ascii="Calibri" w:hAnsi="Calibri" w:cs="Calibri"/>
          <w:sz w:val="22"/>
          <w:szCs w:val="22"/>
        </w:rPr>
        <w:t>a cross-government approach linking anti-poverty policy with children's social care reform, safeguarding and family support.</w:t>
      </w:r>
    </w:p>
    <w:p w:rsidR="005C7F03" w:rsidRPr="00A511CE" w:rsidP="00AB453A">
      <w:pPr>
        <w:numPr>
          <w:ilvl w:val="0"/>
          <w:numId w:val="8"/>
        </w:numPr>
        <w:spacing w:after="0"/>
        <w:rPr>
          <w:rFonts w:ascii="Calibri" w:hAnsi="Calibri" w:cs="Calibri"/>
          <w:sz w:val="22"/>
          <w:szCs w:val="22"/>
        </w:rPr>
      </w:pPr>
      <w:r w:rsidRPr="00A511CE">
        <w:rPr>
          <w:rFonts w:ascii="Calibri" w:hAnsi="Calibri" w:cs="Calibri"/>
          <w:sz w:val="22"/>
          <w:szCs w:val="22"/>
        </w:rPr>
        <w:t>Embed poverty-informed practice within services supporting children and families.</w:t>
      </w:r>
    </w:p>
    <w:p w:rsidR="005C7F03" w:rsidRPr="00A511CE" w:rsidP="00AB453A">
      <w:pPr>
        <w:numPr>
          <w:ilvl w:val="0"/>
          <w:numId w:val="8"/>
        </w:numPr>
        <w:spacing w:after="0"/>
        <w:rPr>
          <w:rFonts w:ascii="Calibri" w:hAnsi="Calibri" w:cs="Calibri"/>
          <w:sz w:val="22"/>
          <w:szCs w:val="22"/>
        </w:rPr>
      </w:pPr>
      <w:r w:rsidRPr="00A511CE">
        <w:rPr>
          <w:rFonts w:ascii="Calibri" w:hAnsi="Calibri" w:cs="Calibri"/>
          <w:sz w:val="22"/>
          <w:szCs w:val="22"/>
        </w:rPr>
        <w:t>Align anti-poverty policy with wider efforts to tackle child exploitation and improve safeguarding outcomes.</w:t>
      </w:r>
    </w:p>
    <w:p w:rsidR="005C7F03" w:rsidRPr="00A511CE" w:rsidP="00AB453A">
      <w:pPr>
        <w:numPr>
          <w:ilvl w:val="0"/>
          <w:numId w:val="8"/>
        </w:numPr>
        <w:spacing w:after="0"/>
        <w:rPr>
          <w:rFonts w:ascii="Calibri" w:hAnsi="Calibri" w:cs="Calibri"/>
          <w:sz w:val="22"/>
          <w:szCs w:val="22"/>
        </w:rPr>
      </w:pPr>
      <w:r w:rsidRPr="00A511CE">
        <w:rPr>
          <w:rFonts w:ascii="Calibri" w:hAnsi="Calibri" w:cs="Calibri"/>
          <w:sz w:val="22"/>
          <w:szCs w:val="22"/>
        </w:rPr>
        <w:t>Take targeted action to improve outcomes for ethnically minoritised children, children in migrant families affected by No Recourse to Public Funds (NRPF)</w:t>
      </w:r>
      <w:r w:rsidRPr="00A511CE">
        <w:rPr>
          <w:rFonts w:ascii="Calibri" w:hAnsi="Calibri" w:cs="Calibri"/>
          <w:sz w:val="22"/>
          <w:szCs w:val="22"/>
        </w:rPr>
        <w:t>, children seeking asylum, care-experienced children and young people, and children in lone-parent households. More specifically, all families with children under 18 should be exempt from No Recourse to Public Funds (NRPF) conditions.</w:t>
      </w:r>
    </w:p>
    <w:p w:rsidR="005C7F03" w:rsidRPr="00A511CE" w:rsidP="00840E29">
      <w:pPr>
        <w:spacing w:after="0"/>
        <w:ind w:left="720"/>
        <w:rPr>
          <w:rFonts w:ascii="Calibri" w:hAnsi="Calibri" w:cs="Calibri"/>
          <w:sz w:val="22"/>
          <w:szCs w:val="22"/>
        </w:rPr>
      </w:pPr>
    </w:p>
    <w:p w:rsidR="005C7F03" w:rsidRPr="00A511CE" w:rsidP="008A6360">
      <w:pPr>
        <w:rPr>
          <w:rFonts w:ascii="Calibri" w:hAnsi="Calibri" w:cs="Calibri"/>
          <w:sz w:val="22"/>
          <w:szCs w:val="22"/>
        </w:rPr>
      </w:pPr>
      <w:r w:rsidRPr="00A511CE">
        <w:rPr>
          <w:rFonts w:ascii="Calibri" w:hAnsi="Calibri" w:cs="Calibri"/>
          <w:sz w:val="22"/>
          <w:szCs w:val="22"/>
        </w:rPr>
        <w:t>4.</w:t>
      </w:r>
      <w:r w:rsidRPr="00A511CE">
        <w:rPr>
          <w:rFonts w:ascii="Calibri" w:hAnsi="Calibri" w:cs="Calibri"/>
          <w:sz w:val="22"/>
          <w:szCs w:val="22"/>
        </w:rPr>
        <w:t>8</w:t>
      </w:r>
      <w:r w:rsidRPr="00A511CE">
        <w:rPr>
          <w:rFonts w:ascii="Calibri" w:hAnsi="Calibri" w:cs="Calibri"/>
          <w:sz w:val="22"/>
          <w:szCs w:val="22"/>
        </w:rPr>
        <w:t xml:space="preserve">    </w:t>
      </w:r>
      <w:r w:rsidRPr="00A511CE">
        <w:rPr>
          <w:rFonts w:ascii="Calibri" w:hAnsi="Calibri" w:cs="Calibri"/>
          <w:sz w:val="22"/>
          <w:szCs w:val="22"/>
        </w:rPr>
        <w:t>Care-experienced children continue to face significant barriers to educational participation and attainment. Frequent placement moves can result in disruption to schooling, with 8% of looked-after children experiencing at least one mid-year school move in 2024. Evidence also suggests that some children in care continue to fall through the gaps of the education system altogether. An Ofsted inquiry found that, among a sample of 2,600 children living in children's homes, 9% were attending unregulated education</w:t>
      </w:r>
      <w:r w:rsidRPr="00A511CE">
        <w:rPr>
          <w:rFonts w:ascii="Calibri" w:hAnsi="Calibri" w:cs="Calibri"/>
          <w:sz w:val="22"/>
          <w:szCs w:val="22"/>
        </w:rPr>
        <w:t xml:space="preserve"> provision and 6% were not in education, employment or training at all. School </w:t>
      </w:r>
      <w:r w:rsidRPr="00A511CE">
        <w:rPr>
          <w:rFonts w:ascii="Calibri" w:hAnsi="Calibri" w:cs="Calibri"/>
          <w:sz w:val="22"/>
          <w:szCs w:val="22"/>
        </w:rPr>
        <w:t>instability can be particularly damaging during critical stages of education, with recent evidence showing that 13% of children were relocated during their GCSE exam period and 30% during their A-level studies.</w:t>
      </w:r>
    </w:p>
    <w:p w:rsidR="005C7F03" w:rsidRPr="00A511CE" w:rsidP="008A6360">
      <w:pPr>
        <w:rPr>
          <w:rFonts w:ascii="Calibri" w:hAnsi="Calibri" w:cs="Calibri"/>
          <w:sz w:val="22"/>
          <w:szCs w:val="22"/>
        </w:rPr>
      </w:pPr>
      <w:r w:rsidRPr="00A511CE">
        <w:rPr>
          <w:rFonts w:ascii="Calibri" w:hAnsi="Calibri" w:cs="Calibri"/>
          <w:sz w:val="22"/>
          <w:szCs w:val="22"/>
        </w:rPr>
        <w:t xml:space="preserve">4.8   These findings highlight the importance of ensuring that care-experienced children receive consistent educational support and that efforts to reduce disadvantage explicitly recognise the impact that placement instability and care experience can have on attendance, participation and attainment. </w:t>
      </w:r>
      <w:r w:rsidRPr="00A511CE">
        <w:rPr>
          <w:rFonts w:ascii="Calibri" w:hAnsi="Calibri" w:cs="Calibri"/>
          <w:sz w:val="22"/>
          <w:szCs w:val="22"/>
        </w:rPr>
        <w:t>L</w:t>
      </w:r>
      <w:r w:rsidRPr="00A511CE">
        <w:rPr>
          <w:rFonts w:ascii="Calibri" w:hAnsi="Calibri" w:cs="Calibri"/>
          <w:sz w:val="22"/>
          <w:szCs w:val="22"/>
        </w:rPr>
        <w:t>ocal authorities should prioritise keeping children in the same school wherever possible, particularly during exam years, and ensure that young people in care are able to complete their education without unnecessary disruption linked to care transitions.</w:t>
      </w:r>
    </w:p>
    <w:p w:rsidR="005C7F03" w:rsidRPr="00A511CE" w:rsidP="008A6360">
      <w:pPr>
        <w:rPr>
          <w:rFonts w:ascii="Calibri" w:hAnsi="Calibri" w:cs="Calibri"/>
          <w:sz w:val="22"/>
          <w:szCs w:val="22"/>
        </w:rPr>
      </w:pPr>
      <w:r w:rsidRPr="00A511CE">
        <w:rPr>
          <w:rFonts w:ascii="Calibri" w:hAnsi="Calibri" w:cs="Calibri"/>
          <w:sz w:val="22"/>
          <w:szCs w:val="22"/>
        </w:rPr>
        <w:t xml:space="preserve">4.9    </w:t>
      </w:r>
      <w:r w:rsidRPr="00A511CE">
        <w:rPr>
          <w:rFonts w:ascii="Calibri" w:hAnsi="Calibri" w:cs="Calibri"/>
          <w:sz w:val="22"/>
          <w:szCs w:val="22"/>
        </w:rPr>
        <w:t>We recommend the Government, through the Department for Education, do the following</w:t>
      </w:r>
      <w:r w:rsidRPr="00A511CE">
        <w:rPr>
          <w:rFonts w:ascii="Calibri" w:hAnsi="Calibri" w:cs="Calibri"/>
          <w:sz w:val="22"/>
          <w:szCs w:val="22"/>
        </w:rPr>
        <w:t xml:space="preserve"> to address these concerns</w:t>
      </w:r>
      <w:r w:rsidRPr="00A511CE">
        <w:rPr>
          <w:rFonts w:ascii="Calibri" w:hAnsi="Calibri" w:cs="Calibri"/>
          <w:sz w:val="22"/>
          <w:szCs w:val="22"/>
        </w:rPr>
        <w:t>:</w:t>
      </w:r>
    </w:p>
    <w:p w:rsidR="005C7F03" w:rsidRPr="00A511CE" w:rsidP="5ACA27F2">
      <w:pPr>
        <w:numPr>
          <w:ilvl w:val="0"/>
          <w:numId w:val="13"/>
        </w:numPr>
        <w:spacing w:after="0"/>
        <w:rPr>
          <w:rFonts w:ascii="Calibri" w:hAnsi="Calibri" w:cs="Calibri"/>
          <w:sz w:val="22"/>
          <w:szCs w:val="22"/>
        </w:rPr>
      </w:pPr>
      <w:r w:rsidRPr="00A511CE">
        <w:rPr>
          <w:rFonts w:ascii="Calibri" w:hAnsi="Calibri" w:cs="Calibri"/>
          <w:sz w:val="22"/>
          <w:szCs w:val="22"/>
        </w:rPr>
        <w:t xml:space="preserve">Produce annual statistics on the number of looked-after children who are not in school and set out how </w:t>
      </w:r>
      <w:r w:rsidRPr="00A511CE">
        <w:rPr>
          <w:rFonts w:ascii="Calibri" w:hAnsi="Calibri" w:cs="Calibri"/>
          <w:sz w:val="22"/>
          <w:szCs w:val="22"/>
        </w:rPr>
        <w:t xml:space="preserve">they </w:t>
      </w:r>
      <w:r w:rsidRPr="00A511CE">
        <w:rPr>
          <w:rFonts w:ascii="Calibri" w:hAnsi="Calibri" w:cs="Calibri"/>
          <w:sz w:val="22"/>
          <w:szCs w:val="22"/>
        </w:rPr>
        <w:t>will work with Directors of Children's Services to ensure all looked-after children in their area are in school.</w:t>
      </w:r>
    </w:p>
    <w:p w:rsidR="005C7F03" w:rsidRPr="00A511CE" w:rsidP="5ACA27F2">
      <w:pPr>
        <w:numPr>
          <w:ilvl w:val="0"/>
          <w:numId w:val="13"/>
        </w:numPr>
        <w:spacing w:after="0"/>
        <w:rPr>
          <w:rFonts w:ascii="Calibri" w:hAnsi="Calibri" w:cs="Calibri"/>
          <w:sz w:val="22"/>
          <w:szCs w:val="22"/>
        </w:rPr>
      </w:pPr>
      <w:r w:rsidRPr="00A511CE">
        <w:rPr>
          <w:rFonts w:ascii="Calibri" w:hAnsi="Calibri" w:cs="Calibri"/>
          <w:sz w:val="22"/>
          <w:szCs w:val="22"/>
        </w:rPr>
        <w:t>Prioritise keeping a child in the same school during the exam period unless a school move is necessary due to exceptional circumstances.</w:t>
      </w:r>
    </w:p>
    <w:p w:rsidR="005C7F03" w:rsidRPr="00A511CE" w:rsidP="5ACA27F2">
      <w:pPr>
        <w:numPr>
          <w:ilvl w:val="0"/>
          <w:numId w:val="13"/>
        </w:numPr>
        <w:spacing w:after="0"/>
        <w:rPr>
          <w:rFonts w:ascii="Calibri" w:hAnsi="Calibri" w:cs="Calibri"/>
          <w:sz w:val="22"/>
          <w:szCs w:val="22"/>
        </w:rPr>
      </w:pPr>
      <w:r w:rsidRPr="00A511CE">
        <w:rPr>
          <w:rFonts w:ascii="Calibri" w:hAnsi="Calibri" w:cs="Calibri"/>
          <w:sz w:val="22"/>
          <w:szCs w:val="22"/>
        </w:rPr>
        <w:t xml:space="preserve">Allow young people who are still completing their education in Year 13 to remain in care until the end of the academic school </w:t>
      </w:r>
      <w:r w:rsidRPr="00A511CE">
        <w:rPr>
          <w:rFonts w:ascii="Calibri" w:hAnsi="Calibri" w:cs="Calibri"/>
          <w:sz w:val="22"/>
          <w:szCs w:val="22"/>
        </w:rPr>
        <w:t>year and</w:t>
      </w:r>
      <w:r w:rsidRPr="00A511CE">
        <w:rPr>
          <w:rFonts w:ascii="Calibri" w:hAnsi="Calibri" w:cs="Calibri"/>
          <w:sz w:val="22"/>
          <w:szCs w:val="22"/>
        </w:rPr>
        <w:t xml:space="preserve"> not leave on their 18th birthday.</w:t>
      </w:r>
    </w:p>
    <w:p w:rsidR="005C7F03" w:rsidRPr="00A511CE" w:rsidP="00840E29">
      <w:pPr>
        <w:spacing w:after="0"/>
        <w:rPr>
          <w:rFonts w:ascii="Calibri" w:hAnsi="Calibri" w:cs="Calibri"/>
          <w:sz w:val="22"/>
          <w:szCs w:val="22"/>
        </w:rPr>
      </w:pPr>
    </w:p>
    <w:p w:rsidR="005C7F03" w:rsidRPr="00A511CE" w:rsidP="00840E29">
      <w:pPr>
        <w:pStyle w:val="ListParagraph"/>
        <w:numPr>
          <w:ilvl w:val="0"/>
          <w:numId w:val="2"/>
        </w:numPr>
        <w:spacing w:after="0"/>
        <w:rPr>
          <w:rFonts w:ascii="Calibri" w:hAnsi="Calibri" w:cs="Calibri"/>
          <w:b/>
          <w:bCs/>
          <w:sz w:val="22"/>
          <w:szCs w:val="22"/>
        </w:rPr>
      </w:pPr>
      <w:r w:rsidRPr="00A511CE">
        <w:rPr>
          <w:rFonts w:ascii="Calibri" w:hAnsi="Calibri" w:cs="Calibri"/>
          <w:b/>
          <w:bCs/>
          <w:sz w:val="22"/>
          <w:szCs w:val="22"/>
        </w:rPr>
        <w:t>Early years and family support</w:t>
      </w:r>
    </w:p>
    <w:p w:rsidR="005C7F03" w:rsidRPr="00A511CE" w:rsidP="00377148">
      <w:pPr>
        <w:spacing w:after="0"/>
        <w:rPr>
          <w:rFonts w:ascii="Calibri" w:hAnsi="Calibri" w:cs="Calibri"/>
          <w:sz w:val="22"/>
          <w:szCs w:val="22"/>
        </w:rPr>
      </w:pPr>
    </w:p>
    <w:p w:rsidR="005C7F03" w:rsidRPr="00A511CE" w:rsidP="00377148">
      <w:pPr>
        <w:spacing w:after="0"/>
        <w:rPr>
          <w:rFonts w:ascii="Calibri" w:hAnsi="Calibri" w:cs="Calibri"/>
          <w:b/>
          <w:bCs/>
          <w:sz w:val="22"/>
          <w:szCs w:val="22"/>
        </w:rPr>
      </w:pPr>
      <w:r w:rsidRPr="00A511CE">
        <w:rPr>
          <w:rFonts w:ascii="Calibri" w:hAnsi="Calibri" w:cs="Calibri"/>
          <w:sz w:val="22"/>
          <w:szCs w:val="22"/>
        </w:rPr>
        <w:t>5</w:t>
      </w:r>
      <w:r w:rsidRPr="00A511CE">
        <w:rPr>
          <w:rFonts w:ascii="Calibri" w:hAnsi="Calibri" w:cs="Calibri"/>
          <w:sz w:val="22"/>
          <w:szCs w:val="22"/>
        </w:rPr>
        <w:t xml:space="preserve">.1    </w:t>
      </w:r>
      <w:r w:rsidRPr="00A511CE">
        <w:rPr>
          <w:rFonts w:ascii="Calibri" w:hAnsi="Calibri" w:cs="Calibri"/>
          <w:sz w:val="22"/>
          <w:szCs w:val="22"/>
        </w:rPr>
        <w:t xml:space="preserve">  </w:t>
      </w:r>
      <w:r w:rsidRPr="00A511CE">
        <w:rPr>
          <w:rFonts w:ascii="Calibri" w:hAnsi="Calibri" w:cs="Calibri"/>
          <w:sz w:val="22"/>
          <w:szCs w:val="22"/>
        </w:rPr>
        <w:t>Barnardo’s welcomes the White Paper’s focus on the early years. Poverty in the first years of life can have lasting consequences for children’s health, development and school readiness, creating inequalities that</w:t>
      </w:r>
      <w:r w:rsidRPr="00A511CE">
        <w:rPr>
          <w:rFonts w:ascii="Calibri" w:hAnsi="Calibri" w:cs="Calibri"/>
          <w:sz w:val="22"/>
          <w:szCs w:val="22"/>
        </w:rPr>
        <w:t xml:space="preserve"> not only impact on education, but also</w:t>
      </w:r>
      <w:r w:rsidRPr="00A511CE">
        <w:rPr>
          <w:rFonts w:ascii="Calibri" w:hAnsi="Calibri" w:cs="Calibri"/>
          <w:sz w:val="22"/>
          <w:szCs w:val="22"/>
        </w:rPr>
        <w:t xml:space="preserve"> persist throughout a child’s </w:t>
      </w:r>
      <w:r w:rsidRPr="00A511CE">
        <w:rPr>
          <w:rFonts w:ascii="Calibri" w:hAnsi="Calibri" w:cs="Calibri"/>
          <w:sz w:val="22"/>
          <w:szCs w:val="22"/>
        </w:rPr>
        <w:t>life</w:t>
      </w:r>
      <w:r w:rsidRPr="00A511CE">
        <w:rPr>
          <w:rFonts w:ascii="Calibri" w:hAnsi="Calibri" w:cs="Calibri"/>
          <w:sz w:val="22"/>
          <w:szCs w:val="22"/>
        </w:rPr>
        <w:t>. Reducing disadvantage gaps therefore requires sustained investment in early intervention and family support alongside educational reform.</w:t>
      </w:r>
    </w:p>
    <w:p w:rsidR="005C7F03" w:rsidRPr="00A511CE" w:rsidP="00377148">
      <w:pPr>
        <w:spacing w:after="0"/>
        <w:rPr>
          <w:rFonts w:ascii="Calibri" w:hAnsi="Calibri" w:cs="Calibri"/>
          <w:sz w:val="22"/>
          <w:szCs w:val="22"/>
        </w:rPr>
      </w:pPr>
    </w:p>
    <w:p w:rsidR="005C7F03" w:rsidRPr="00A511CE" w:rsidP="00F71B94">
      <w:pPr>
        <w:spacing w:after="0"/>
        <w:rPr>
          <w:rFonts w:ascii="Calibri" w:hAnsi="Calibri" w:cs="Calibri"/>
          <w:sz w:val="22"/>
          <w:szCs w:val="22"/>
        </w:rPr>
      </w:pPr>
      <w:r w:rsidRPr="00A511CE">
        <w:rPr>
          <w:rFonts w:ascii="Calibri" w:hAnsi="Calibri" w:cs="Calibri"/>
          <w:sz w:val="22"/>
          <w:szCs w:val="22"/>
        </w:rPr>
        <w:t>5</w:t>
      </w:r>
      <w:r w:rsidRPr="00A511CE">
        <w:rPr>
          <w:rFonts w:ascii="Calibri" w:hAnsi="Calibri" w:cs="Calibri"/>
          <w:sz w:val="22"/>
          <w:szCs w:val="22"/>
        </w:rPr>
        <w:t xml:space="preserve">.2      </w:t>
      </w:r>
      <w:r w:rsidRPr="00A511CE">
        <w:rPr>
          <w:rFonts w:ascii="Calibri" w:hAnsi="Calibri" w:cs="Calibri"/>
          <w:sz w:val="22"/>
          <w:szCs w:val="22"/>
        </w:rPr>
        <w:t xml:space="preserve">To support children experiencing poverty and prevent disadvantage from becoming entrenched, the Government should expand investment </w:t>
      </w:r>
      <w:r w:rsidRPr="00A511CE">
        <w:rPr>
          <w:rFonts w:ascii="Calibri" w:hAnsi="Calibri" w:cs="Calibri"/>
          <w:sz w:val="22"/>
          <w:szCs w:val="22"/>
        </w:rPr>
        <w:t>to create a national network of around 3500</w:t>
      </w:r>
      <w:r w:rsidRPr="00A511CE">
        <w:rPr>
          <w:rFonts w:ascii="Calibri" w:hAnsi="Calibri" w:cs="Calibri"/>
          <w:sz w:val="22"/>
          <w:szCs w:val="22"/>
        </w:rPr>
        <w:t xml:space="preserve"> F</w:t>
      </w:r>
      <w:r w:rsidRPr="00A511CE">
        <w:rPr>
          <w:rFonts w:ascii="Calibri" w:hAnsi="Calibri" w:cs="Calibri"/>
          <w:sz w:val="22"/>
          <w:szCs w:val="22"/>
        </w:rPr>
        <w:t>amily Hubs</w:t>
      </w:r>
      <w:r w:rsidRPr="00A511CE">
        <w:rPr>
          <w:rFonts w:ascii="Calibri" w:hAnsi="Calibri" w:cs="Calibri"/>
          <w:sz w:val="22"/>
          <w:szCs w:val="22"/>
        </w:rPr>
        <w:t xml:space="preserve"> across England</w:t>
      </w:r>
      <w:r w:rsidRPr="00A511CE">
        <w:rPr>
          <w:rFonts w:ascii="Calibri" w:hAnsi="Calibri" w:cs="Calibri"/>
          <w:sz w:val="22"/>
          <w:szCs w:val="22"/>
        </w:rPr>
        <w:t xml:space="preserve">, underpinned by a national outcomes framework to ensure consistency, accountability and effective practice sharing. </w:t>
      </w:r>
      <w:r w:rsidRPr="00A511CE">
        <w:rPr>
          <w:rFonts w:ascii="Calibri" w:hAnsi="Calibri" w:cs="Calibri"/>
          <w:sz w:val="22"/>
          <w:szCs w:val="22"/>
        </w:rPr>
        <w:t>Hubs</w:t>
      </w:r>
      <w:r w:rsidRPr="00A511CE">
        <w:rPr>
          <w:rFonts w:ascii="Calibri" w:hAnsi="Calibri" w:cs="Calibri"/>
          <w:sz w:val="22"/>
          <w:szCs w:val="22"/>
        </w:rPr>
        <w:t xml:space="preserve"> should be equipped to provide </w:t>
      </w:r>
      <w:r w:rsidRPr="00A511CE">
        <w:rPr>
          <w:rFonts w:ascii="Calibri" w:hAnsi="Calibri" w:cs="Calibri"/>
          <w:sz w:val="22"/>
          <w:szCs w:val="22"/>
        </w:rPr>
        <w:t>accessible</w:t>
      </w:r>
      <w:r w:rsidRPr="00A511CE">
        <w:rPr>
          <w:rFonts w:ascii="Calibri" w:hAnsi="Calibri" w:cs="Calibri"/>
          <w:sz w:val="22"/>
          <w:szCs w:val="22"/>
        </w:rPr>
        <w:t xml:space="preserve"> support for families experiencing poverty, including family support, early help, benefits advice and income-maximisation services, </w:t>
      </w:r>
      <w:r w:rsidRPr="00A511CE">
        <w:rPr>
          <w:rFonts w:ascii="Calibri" w:hAnsi="Calibri" w:cs="Calibri"/>
          <w:sz w:val="22"/>
          <w:szCs w:val="22"/>
        </w:rPr>
        <w:t xml:space="preserve">alongside other services which </w:t>
      </w:r>
      <w:r w:rsidRPr="00A511CE">
        <w:rPr>
          <w:rFonts w:ascii="Calibri" w:hAnsi="Calibri" w:cs="Calibri"/>
          <w:sz w:val="22"/>
          <w:szCs w:val="22"/>
        </w:rPr>
        <w:t>help to both alleviate the immediate impacts of poverty and improve longer-term outcomes for children.</w:t>
      </w:r>
    </w:p>
    <w:p w:rsidR="005C7F03" w:rsidRPr="00A511CE" w:rsidP="00F71B94">
      <w:pPr>
        <w:spacing w:after="0"/>
        <w:rPr>
          <w:rFonts w:ascii="Calibri" w:hAnsi="Calibri" w:cs="Calibri"/>
          <w:sz w:val="22"/>
          <w:szCs w:val="22"/>
        </w:rPr>
      </w:pPr>
    </w:p>
    <w:p w:rsidR="005C7F03" w:rsidRPr="00A511CE" w:rsidP="00840E29">
      <w:pPr>
        <w:pStyle w:val="ListParagraph"/>
        <w:numPr>
          <w:ilvl w:val="0"/>
          <w:numId w:val="2"/>
        </w:numPr>
        <w:rPr>
          <w:rFonts w:ascii="Calibri" w:hAnsi="Calibri" w:cs="Calibri"/>
          <w:b/>
          <w:bCs/>
          <w:sz w:val="22"/>
          <w:szCs w:val="22"/>
        </w:rPr>
      </w:pPr>
      <w:r w:rsidRPr="00A511CE">
        <w:rPr>
          <w:rFonts w:ascii="Calibri" w:hAnsi="Calibri" w:cs="Calibri"/>
          <w:b/>
          <w:bCs/>
          <w:sz w:val="22"/>
          <w:szCs w:val="22"/>
        </w:rPr>
        <w:t>Conclusion</w:t>
      </w:r>
    </w:p>
    <w:p w:rsidR="005C7F03" w:rsidRPr="00A511CE" w:rsidP="00F71B94">
      <w:pPr>
        <w:rPr>
          <w:rFonts w:ascii="Calibri" w:hAnsi="Calibri" w:cs="Calibri"/>
          <w:sz w:val="22"/>
          <w:szCs w:val="22"/>
        </w:rPr>
      </w:pPr>
      <w:r w:rsidRPr="00A511CE">
        <w:rPr>
          <w:rFonts w:ascii="Calibri" w:hAnsi="Calibri" w:cs="Calibri"/>
          <w:sz w:val="22"/>
          <w:szCs w:val="22"/>
        </w:rPr>
        <w:t xml:space="preserve">7.1     Barnardo’s welcomes the Government’s ambition to ensure that every child can achieve and thrive. However, our evidence demonstrates that education outcomes cannot be separated from the wider factors that shape children’s lives. Poverty, racism, exclusion and wider forms of disadvantage </w:t>
      </w:r>
      <w:r w:rsidRPr="00A511CE">
        <w:rPr>
          <w:rFonts w:ascii="Calibri" w:hAnsi="Calibri" w:cs="Calibri"/>
          <w:sz w:val="22"/>
          <w:szCs w:val="22"/>
        </w:rPr>
        <w:t>all affect children’s ability to engage in education, feel a sense of belonging and achieve their potential.</w:t>
      </w:r>
    </w:p>
    <w:p w:rsidR="005C7F03" w:rsidRPr="00A511CE" w:rsidP="00F71B94">
      <w:pPr>
        <w:rPr>
          <w:rFonts w:ascii="Calibri" w:hAnsi="Calibri" w:cs="Calibri"/>
          <w:sz w:val="22"/>
          <w:szCs w:val="22"/>
        </w:rPr>
      </w:pPr>
      <w:r w:rsidRPr="00A511CE">
        <w:rPr>
          <w:rFonts w:ascii="Calibri" w:hAnsi="Calibri" w:cs="Calibri"/>
          <w:sz w:val="22"/>
          <w:szCs w:val="22"/>
        </w:rPr>
        <w:t>7.2     To narrow</w:t>
      </w:r>
      <w:r w:rsidRPr="00A511CE">
        <w:rPr>
          <w:rFonts w:ascii="Calibri" w:hAnsi="Calibri" w:cs="Calibri"/>
          <w:sz w:val="22"/>
          <w:szCs w:val="22"/>
        </w:rPr>
        <w:t xml:space="preserve"> the</w:t>
      </w:r>
      <w:r w:rsidRPr="00A511CE">
        <w:rPr>
          <w:rFonts w:ascii="Calibri" w:hAnsi="Calibri" w:cs="Calibri"/>
          <w:sz w:val="22"/>
          <w:szCs w:val="22"/>
        </w:rPr>
        <w:t xml:space="preserve"> disadvantage ga</w:t>
      </w:r>
      <w:r w:rsidRPr="00A511CE">
        <w:rPr>
          <w:rFonts w:ascii="Calibri" w:hAnsi="Calibri" w:cs="Calibri"/>
          <w:sz w:val="22"/>
          <w:szCs w:val="22"/>
        </w:rPr>
        <w:t>p</w:t>
      </w:r>
      <w:r w:rsidRPr="00A511CE">
        <w:rPr>
          <w:rFonts w:ascii="Calibri" w:hAnsi="Calibri" w:cs="Calibri"/>
          <w:sz w:val="22"/>
          <w:szCs w:val="22"/>
        </w:rPr>
        <w:t>, reforms must be accompanied by action to tackle child poverty, strengthen support for families, improve access to free school meals, and address the additional barriers faced by Black and minoritised ethnic children, care-experienced children and other groups experiencing multiple disadvantages. Schools also have a vital role to play in fostering belonging through inclusive and anti-racist practice, ensuring that all children feel respected, represented and supported.</w:t>
      </w:r>
    </w:p>
    <w:p w:rsidR="005C7F03" w:rsidRPr="00A511CE" w:rsidP="00CE0843">
      <w:pPr>
        <w:rPr>
          <w:rFonts w:ascii="Calibri" w:hAnsi="Calibri" w:cs="Calibri"/>
          <w:sz w:val="22"/>
          <w:szCs w:val="22"/>
        </w:rPr>
      </w:pPr>
      <w:r w:rsidRPr="00A511CE">
        <w:rPr>
          <w:rFonts w:ascii="Calibri" w:hAnsi="Calibri" w:cs="Calibri"/>
          <w:sz w:val="22"/>
          <w:szCs w:val="22"/>
        </w:rPr>
        <w:t>7</w:t>
      </w:r>
      <w:r w:rsidRPr="00A511CE">
        <w:rPr>
          <w:rFonts w:ascii="Calibri" w:hAnsi="Calibri" w:cs="Calibri"/>
          <w:sz w:val="22"/>
          <w:szCs w:val="22"/>
        </w:rPr>
        <w:t>.</w:t>
      </w:r>
      <w:r w:rsidRPr="00A511CE">
        <w:rPr>
          <w:rFonts w:ascii="Calibri" w:hAnsi="Calibri" w:cs="Calibri"/>
          <w:sz w:val="22"/>
          <w:szCs w:val="22"/>
        </w:rPr>
        <w:t xml:space="preserve">3      </w:t>
      </w:r>
      <w:r w:rsidRPr="00A511CE">
        <w:rPr>
          <w:rFonts w:ascii="Calibri" w:hAnsi="Calibri" w:cs="Calibri"/>
          <w:sz w:val="22"/>
          <w:szCs w:val="22"/>
        </w:rPr>
        <w:t xml:space="preserve">By taking a whole-child approach that addresses both educational barriers and the wider drivers of disadvantage, the Government will be better placed to deliver its ambition </w:t>
      </w:r>
      <w:r w:rsidRPr="00A511CE">
        <w:rPr>
          <w:rFonts w:ascii="Calibri" w:hAnsi="Calibri" w:cs="Calibri"/>
          <w:sz w:val="22"/>
          <w:szCs w:val="22"/>
        </w:rPr>
        <w:t xml:space="preserve">and ensure </w:t>
      </w:r>
      <w:r w:rsidRPr="00A511CE">
        <w:rPr>
          <w:rFonts w:ascii="Calibri" w:hAnsi="Calibri" w:cs="Calibri"/>
          <w:sz w:val="22"/>
          <w:szCs w:val="22"/>
        </w:rPr>
        <w:t xml:space="preserve">that every child </w:t>
      </w:r>
      <w:r w:rsidRPr="00A511CE">
        <w:rPr>
          <w:rFonts w:ascii="Calibri" w:hAnsi="Calibri" w:cs="Calibri"/>
          <w:sz w:val="22"/>
          <w:szCs w:val="22"/>
        </w:rPr>
        <w:t xml:space="preserve">truly </w:t>
      </w:r>
      <w:r w:rsidRPr="00A511CE">
        <w:rPr>
          <w:rFonts w:ascii="Calibri" w:hAnsi="Calibri" w:cs="Calibri"/>
          <w:sz w:val="22"/>
          <w:szCs w:val="22"/>
        </w:rPr>
        <w:t>achieves and thrives.</w:t>
      </w:r>
    </w:p>
    <w:p w:rsidR="005C7F03" w:rsidRPr="00A511CE" w:rsidP="00757BBA">
      <w:pPr>
        <w:rPr>
          <w:rFonts w:ascii="Calibri" w:hAnsi="Calibri" w:cs="Calibri"/>
          <w:i/>
          <w:iCs/>
          <w:sz w:val="22"/>
          <w:szCs w:val="22"/>
        </w:rPr>
      </w:pPr>
      <w:r w:rsidRPr="00A511CE">
        <w:rPr>
          <w:rFonts w:ascii="Calibri" w:hAnsi="Calibri" w:cs="Calibri"/>
          <w:i/>
          <w:iCs/>
          <w:sz w:val="22"/>
          <w:szCs w:val="22"/>
        </w:rPr>
        <w:t>September 2026</w:t>
      </w:r>
    </w:p>
    <w:p w:rsidR="005C7F03" w:rsidRPr="00A511CE" w:rsidP="00ED31E4">
      <w:pPr>
        <w:pStyle w:val="ListParagraph"/>
        <w:ind w:left="0"/>
        <w:rPr>
          <w:rFonts w:ascii="Calibri" w:hAnsi="Calibri" w:cs="Calibri"/>
          <w:sz w:val="22"/>
          <w:szCs w:val="22"/>
        </w:rPr>
      </w:pPr>
    </w:p>
    <w:p w:rsidR="005C7F03" w:rsidRPr="00A511CE" w:rsidP="00385F94">
      <w:pPr>
        <w:rPr>
          <w:rFonts w:ascii="Calibri" w:hAnsi="Calibri" w:cs="Calibri"/>
          <w:sz w:val="22"/>
          <w:szCs w:val="22"/>
        </w:rPr>
      </w:pPr>
    </w:p>
    <w:p w:rsidR="005C7F03" w:rsidRPr="00A511CE" w:rsidP="00757BBA">
      <w:pPr>
        <w:rPr>
          <w:rFonts w:ascii="Calibri" w:hAnsi="Calibri" w:cs="Calibri"/>
          <w:sz w:val="22"/>
          <w:szCs w:val="22"/>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C7F03" w:rsidP="00A61385">
      <w:pPr>
        <w:spacing w:after="0" w:line="240" w:lineRule="auto"/>
      </w:pPr>
      <w:r>
        <w:separator/>
      </w:r>
    </w:p>
  </w:footnote>
  <w:footnote w:type="continuationSeparator" w:id="1">
    <w:p w:rsidR="005C7F03" w:rsidP="00A61385">
      <w:pPr>
        <w:spacing w:after="0" w:line="240" w:lineRule="auto"/>
      </w:pPr>
      <w:r>
        <w:continuationSeparator/>
      </w:r>
    </w:p>
  </w:footnote>
  <w:footnote w:id="2">
    <w:p w:rsidR="005C7F03">
      <w:pPr>
        <w:pStyle w:val="FootnoteText"/>
      </w:pPr>
      <w:r>
        <w:rPr>
          <w:rStyle w:val="FootnoteReference"/>
        </w:rPr>
        <w:footnoteRef/>
      </w:r>
      <w:r>
        <w:t xml:space="preserve"> </w:t>
      </w:r>
      <w:r>
        <w:fldChar w:fldCharType="begin"/>
      </w:r>
      <w:r>
        <w:instrText xml:space="preserve"> HYPERLINK "https://link-springer-com.lse.idm.oclc.org/article/10.1007/s12310-024-09725-y" </w:instrText>
      </w:r>
      <w:r>
        <w:fldChar w:fldCharType="separate"/>
      </w:r>
      <w:r w:rsidRPr="00392332">
        <w:rPr>
          <w:rStyle w:val="Hyperlink"/>
        </w:rPr>
        <w:t>Individual and Contextual Factors Determining School Belonging of Adolescents in the UK: Evidence from PISA | School Mental Health | Springer Nature Link</w:t>
      </w:r>
      <w:r>
        <w:fldChar w:fldCharType="end"/>
      </w:r>
    </w:p>
  </w:footnote>
  <w:footnote w:id="3">
    <w:p w:rsidR="005C7F03">
      <w:pPr>
        <w:pStyle w:val="FootnoteText"/>
      </w:pPr>
      <w:r>
        <w:rPr>
          <w:rStyle w:val="FootnoteReference"/>
        </w:rPr>
        <w:footnoteRef/>
      </w:r>
      <w:r>
        <w:t xml:space="preserve"> </w:t>
      </w:r>
      <w:r>
        <w:fldChar w:fldCharType="begin"/>
      </w:r>
      <w:r>
        <w:instrText xml:space="preserve"> HYPERLINK "https://www.ethnicity-facts-figures.service.gov.uk/education-skills-and-training/11-to-16-years-old/gcse-results-attainment-8-for-children-aged-14-to-16-key-stage-4/latest/" \l "by-ethnicity" </w:instrText>
      </w:r>
      <w:r>
        <w:fldChar w:fldCharType="separate"/>
      </w:r>
      <w:r w:rsidRPr="00F13877">
        <w:rPr>
          <w:rStyle w:val="Hyperlink"/>
        </w:rPr>
        <w:t>GCSE results (Attainment 8) - GOV.UK Ethnicity facts and figures</w:t>
      </w:r>
      <w:r>
        <w:fldChar w:fldCharType="end"/>
      </w:r>
    </w:p>
  </w:footnote>
  <w:footnote w:id="4">
    <w:p w:rsidR="005C7F03">
      <w:pPr>
        <w:pStyle w:val="FootnoteText"/>
      </w:pPr>
      <w:r>
        <w:rPr>
          <w:rStyle w:val="FootnoteReference"/>
        </w:rPr>
        <w:footnoteRef/>
      </w:r>
      <w:r>
        <w:t xml:space="preserve"> </w:t>
      </w:r>
      <w:r>
        <w:fldChar w:fldCharType="begin"/>
      </w:r>
      <w:r>
        <w:instrText xml:space="preserve"> HYPERLINK "https://www.ymcabc.org.uk/ymca-report-young-black/" </w:instrText>
      </w:r>
      <w:r>
        <w:fldChar w:fldCharType="separate"/>
      </w:r>
      <w:r w:rsidRPr="00593C90">
        <w:rPr>
          <w:rStyle w:val="Hyperlink"/>
        </w:rPr>
        <w:t>YMCA Report – Young &amp; Black - YMCA Black Country</w:t>
      </w:r>
      <w:r>
        <w:fldChar w:fldCharType="end"/>
      </w:r>
    </w:p>
  </w:footnote>
  <w:footnote w:id="5">
    <w:p w:rsidR="005C7F03">
      <w:pPr>
        <w:pStyle w:val="FootnoteText"/>
      </w:pPr>
      <w:r>
        <w:rPr>
          <w:rStyle w:val="FootnoteReference"/>
        </w:rPr>
        <w:footnoteRef/>
      </w:r>
      <w:r>
        <w:t xml:space="preserve"> </w:t>
      </w:r>
      <w:r>
        <w:fldChar w:fldCharType="begin"/>
      </w:r>
      <w:r>
        <w:instrText xml:space="preserve"> HYPERLINK "https://www.theredcard.org/news/education-survey-reveals-alarming-disparity-incidents-of-racism-prevail-in-schools-while-anti-racism-training-for-educators-lags/" </w:instrText>
      </w:r>
      <w:r>
        <w:fldChar w:fldCharType="separate"/>
      </w:r>
      <w:r w:rsidRPr="00D55D19">
        <w:rPr>
          <w:rStyle w:val="Hyperlink"/>
        </w:rPr>
        <w:t>Education Survey Reveals Alarming Disparity: Incidents of Racism Prevail in Schools while Anti-Racism Training for Educators Lags - Show Racism the Red Card</w:t>
      </w:r>
      <w:r>
        <w:fldChar w:fldCharType="end"/>
      </w:r>
    </w:p>
  </w:footnote>
  <w:footnote w:id="6">
    <w:p w:rsidR="005C7F03">
      <w:pPr>
        <w:pStyle w:val="FootnoteText"/>
      </w:pPr>
      <w:r>
        <w:rPr>
          <w:rStyle w:val="FootnoteReference"/>
        </w:rPr>
        <w:footnoteRef/>
      </w:r>
      <w:r>
        <w:t xml:space="preserve"> </w:t>
      </w:r>
      <w:r>
        <w:fldChar w:fldCharType="begin"/>
      </w:r>
      <w:r>
        <w:instrText xml:space="preserve"> HYPERLINK "https://weareseen.org.uk/projects/children-visible-by-colour/" </w:instrText>
      </w:r>
      <w:r>
        <w:fldChar w:fldCharType="separate"/>
      </w:r>
      <w:r w:rsidRPr="00253F2F">
        <w:rPr>
          <w:rStyle w:val="Hyperlink"/>
        </w:rPr>
        <w:t>Children Visible by Colour - Seen</w:t>
      </w:r>
      <w:r>
        <w:fldChar w:fldCharType="end"/>
      </w:r>
    </w:p>
  </w:footnote>
  <w:footnote w:id="7">
    <w:p w:rsidR="005C7F03">
      <w:pPr>
        <w:pStyle w:val="FootnoteText"/>
      </w:pPr>
      <w:r>
        <w:rPr>
          <w:rStyle w:val="FootnoteReference"/>
        </w:rPr>
        <w:footnoteRef/>
      </w:r>
      <w:r>
        <w:t xml:space="preserve"> </w:t>
      </w:r>
      <w:r>
        <w:t>Ibid.</w:t>
      </w:r>
    </w:p>
  </w:footnote>
  <w:footnote w:id="8">
    <w:p w:rsidR="005C7F03">
      <w:pPr>
        <w:pStyle w:val="FootnoteText"/>
      </w:pPr>
      <w:r>
        <w:rPr>
          <w:rStyle w:val="FootnoteReference"/>
        </w:rPr>
        <w:footnoteRef/>
      </w:r>
      <w:r>
        <w:t xml:space="preserve"> </w:t>
      </w:r>
      <w:r>
        <w:fldChar w:fldCharType="begin"/>
      </w:r>
      <w:r>
        <w:instrText xml:space="preserve"> HYPERLINK "https://foodfoundation.org.uk/publication/superpowers-free-school-meals-2025-new-evidence-shows-economic-and-health-benefits" </w:instrText>
      </w:r>
      <w:r>
        <w:fldChar w:fldCharType="separate"/>
      </w:r>
      <w:r w:rsidRPr="38C553B9">
        <w:rPr>
          <w:rStyle w:val="Hyperlink"/>
        </w:rPr>
        <w:t>Superpowers of Free School Meals 2025: New evidence shows economic and health benefits | Food Foundation</w:t>
      </w:r>
      <w:r>
        <w:fldChar w:fldCharType="end"/>
      </w:r>
    </w:p>
  </w:footnote>
  <w:footnote w:id="9">
    <w:p w:rsidR="005C7F03">
      <w:pPr>
        <w:pStyle w:val="FootnoteText"/>
      </w:pPr>
      <w:r>
        <w:rPr>
          <w:rStyle w:val="FootnoteReference"/>
        </w:rPr>
        <w:footnoteRef/>
      </w:r>
      <w:r>
        <w:t xml:space="preserve"> </w:t>
      </w:r>
      <w:r>
        <w:fldChar w:fldCharType="begin"/>
      </w:r>
      <w:r>
        <w:instrText xml:space="preserve"> HYPERLINK "https://www.ethnicity-facts-figures.service.gov.uk/education-skills-and-training/11-to-16-years-old/gcse-results-attainment-8-for-children-aged-14-to-16-key-stage-4/latest/" \l "by-ethnicity-and-eligibility-for-free-school-meals" </w:instrText>
      </w:r>
      <w:r>
        <w:fldChar w:fldCharType="separate"/>
      </w:r>
      <w:r w:rsidRPr="00C82AD6">
        <w:rPr>
          <w:rStyle w:val="Hyperlink"/>
        </w:rPr>
        <w:t>GCSE results (Attainment 8) - GOV.UK Ethnicity facts and figures</w:t>
      </w:r>
      <w:r>
        <w:fldChar w:fldCharType="end"/>
      </w:r>
    </w:p>
  </w:footnote>
  <w:footnote w:id="10">
    <w:p w:rsidR="005C7F03">
      <w:pPr>
        <w:pStyle w:val="FootnoteText"/>
      </w:pPr>
      <w:r>
        <w:rPr>
          <w:rStyle w:val="FootnoteReference"/>
        </w:rPr>
        <w:footnoteRef/>
      </w:r>
      <w:r>
        <w:t xml:space="preserve"> </w:t>
      </w:r>
      <w:r>
        <w:fldChar w:fldCharType="begin"/>
      </w:r>
      <w:r>
        <w:instrText xml:space="preserve"> HYPERLINK "https://www.thelancet.com/journals/lanpub/article/PIIS2468-2667%2822%2900065-2/fulltext" </w:instrText>
      </w:r>
      <w:r>
        <w:fldChar w:fldCharType="separate"/>
      </w:r>
      <w:r w:rsidRPr="0054764B">
        <w:rPr>
          <w:rStyle w:val="Hyperlink"/>
        </w:rPr>
        <w:t>Child poverty and children entering care in England, 2015–20: a longitudinal ecological study at the local area level - The Lancet Public Health</w:t>
      </w:r>
      <w:r>
        <w:fldChar w:fldCharType="end"/>
      </w:r>
    </w:p>
  </w:footnote>
  <w:footnote w:id="11">
    <w:p w:rsidR="005C7F03" w:rsidRPr="00A82078">
      <w:pPr>
        <w:pStyle w:val="FootnoteText"/>
      </w:pPr>
      <w:r>
        <w:rPr>
          <w:rStyle w:val="FootnoteReference"/>
        </w:rPr>
        <w:footnoteRef/>
      </w:r>
      <w:r>
        <w:t xml:space="preserve"> Barnardo’s</w:t>
      </w:r>
      <w:r>
        <w:t xml:space="preserve">, 2023. </w:t>
      </w:r>
      <w:r>
        <w:rPr>
          <w:i/>
          <w:iCs/>
        </w:rPr>
        <w:t>Invisible Children: Understanding the risk of the cost-of-living crisis and school holidays on child sexual and criminal exploitation</w:t>
      </w:r>
      <w:r>
        <w:rPr>
          <w:i/>
          <w:iCs/>
        </w:rPr>
        <w:t xml:space="preserve">. </w:t>
      </w:r>
      <w:r>
        <w:t xml:space="preserve">Accessible at: </w:t>
      </w:r>
      <w:r>
        <w:fldChar w:fldCharType="begin"/>
      </w:r>
      <w:r>
        <w:instrText xml:space="preserve"> HYPERLINK "https://www.barnardos.org.uk/sites/default/files/2023-06/summer23-report-invisible-children-cost-living-criminal-sexual-exploitation.pdf" </w:instrText>
      </w:r>
      <w:r>
        <w:fldChar w:fldCharType="separate"/>
      </w:r>
      <w:r w:rsidRPr="00A82078">
        <w:rPr>
          <w:rStyle w:val="Hyperlink"/>
        </w:rPr>
        <w:t>summer23-report-invisible-children-cost-living-criminal-sexual-exploitation.pdf</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A2361C"/>
    <w:multiLevelType w:val="hybridMultilevel"/>
    <w:tmpl w:val="114CFA40"/>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D702F40"/>
    <w:multiLevelType w:val="hybridMultilevel"/>
    <w:tmpl w:val="3BBE5C34"/>
    <w:lvl w:ilvl="0">
      <w:start w:val="3"/>
      <w:numFmt w:val="decimal"/>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29CF2A51"/>
    <w:multiLevelType w:val="multilevel"/>
    <w:tmpl w:val="3ABA71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2B4F2FBC"/>
    <w:multiLevelType w:val="multilevel"/>
    <w:tmpl w:val="1BF0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E96DE4"/>
    <w:multiLevelType w:val="hybridMultilevel"/>
    <w:tmpl w:val="71D6BCAA"/>
    <w:lvl w:ilvl="0">
      <w:start w:val="3"/>
      <w:numFmt w:val="decimal"/>
      <w:lvlText w:val="%1."/>
      <w:lvlJc w:val="left"/>
      <w:pPr>
        <w:ind w:left="1800" w:hanging="360"/>
      </w:pPr>
      <w:rPr>
        <w:rFonts w:hint="default"/>
        <w:b/>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5">
    <w:nsid w:val="383C0514"/>
    <w:multiLevelType w:val="hybridMultilevel"/>
    <w:tmpl w:val="75940DBA"/>
    <w:lvl w:ilvl="0">
      <w:start w:val="3"/>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C390597"/>
    <w:multiLevelType w:val="multilevel"/>
    <w:tmpl w:val="69A8C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BC02C1"/>
    <w:multiLevelType w:val="multilevel"/>
    <w:tmpl w:val="BCE2B2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465452F9"/>
    <w:multiLevelType w:val="multilevel"/>
    <w:tmpl w:val="A9F49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E124A07"/>
    <w:multiLevelType w:val="hybridMultilevel"/>
    <w:tmpl w:val="5694F2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D010499"/>
    <w:multiLevelType w:val="hybridMultilevel"/>
    <w:tmpl w:val="1346E7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5E82458"/>
    <w:multiLevelType w:val="hybridMultilevel"/>
    <w:tmpl w:val="C6B8FB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C6342C1"/>
    <w:multiLevelType w:val="hybridMultilevel"/>
    <w:tmpl w:val="4B46548E"/>
    <w:lvl w:ilvl="0">
      <w:start w:val="3"/>
      <w:numFmt w:val="decimal"/>
      <w:lvlText w:val="%1."/>
      <w:lvlJc w:val="left"/>
      <w:pPr>
        <w:ind w:left="180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10"/>
  </w:num>
  <w:num w:numId="3">
    <w:abstractNumId w:val="1"/>
  </w:num>
  <w:num w:numId="4">
    <w:abstractNumId w:val="4"/>
  </w:num>
  <w:num w:numId="5">
    <w:abstractNumId w:val="12"/>
  </w:num>
  <w:num w:numId="6">
    <w:abstractNumId w:val="5"/>
  </w:num>
  <w:num w:numId="7">
    <w:abstractNumId w:val="0"/>
  </w:num>
  <w:num w:numId="8">
    <w:abstractNumId w:val="6"/>
  </w:num>
  <w:num w:numId="9">
    <w:abstractNumId w:val="11"/>
  </w:num>
  <w:num w:numId="10">
    <w:abstractNumId w:val="8"/>
  </w:num>
  <w:num w:numId="11">
    <w:abstractNumId w:val="2"/>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2717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17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17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17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7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7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7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7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7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7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17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7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7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7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7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7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7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729"/>
    <w:rPr>
      <w:rFonts w:eastAsiaTheme="majorEastAsia" w:cstheme="majorBidi"/>
      <w:color w:val="272727" w:themeColor="text1" w:themeTint="D8"/>
    </w:rPr>
  </w:style>
  <w:style w:type="paragraph" w:styleId="Title">
    <w:name w:val="Title"/>
    <w:basedOn w:val="Normal"/>
    <w:next w:val="Normal"/>
    <w:link w:val="TitleChar"/>
    <w:uiPriority w:val="10"/>
    <w:qFormat/>
    <w:rsid w:val="002717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7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7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7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729"/>
    <w:pPr>
      <w:spacing w:before="160"/>
      <w:jc w:val="center"/>
    </w:pPr>
    <w:rPr>
      <w:i/>
      <w:iCs/>
      <w:color w:val="404040" w:themeColor="text1" w:themeTint="BF"/>
    </w:rPr>
  </w:style>
  <w:style w:type="character" w:customStyle="1" w:styleId="QuoteChar">
    <w:name w:val="Quote Char"/>
    <w:basedOn w:val="DefaultParagraphFont"/>
    <w:link w:val="Quote"/>
    <w:uiPriority w:val="29"/>
    <w:rsid w:val="00271729"/>
    <w:rPr>
      <w:i/>
      <w:iCs/>
      <w:color w:val="404040" w:themeColor="text1" w:themeTint="BF"/>
    </w:rPr>
  </w:style>
  <w:style w:type="paragraph" w:styleId="ListParagraph">
    <w:name w:val="List Paragraph"/>
    <w:basedOn w:val="Normal"/>
    <w:uiPriority w:val="34"/>
    <w:qFormat/>
    <w:rsid w:val="00271729"/>
    <w:pPr>
      <w:ind w:left="720"/>
      <w:contextualSpacing/>
    </w:pPr>
  </w:style>
  <w:style w:type="character" w:styleId="IntenseEmphasis">
    <w:name w:val="Intense Emphasis"/>
    <w:basedOn w:val="DefaultParagraphFont"/>
    <w:uiPriority w:val="21"/>
    <w:qFormat/>
    <w:rsid w:val="00271729"/>
    <w:rPr>
      <w:i/>
      <w:iCs/>
      <w:color w:val="0F4761" w:themeColor="accent1" w:themeShade="BF"/>
    </w:rPr>
  </w:style>
  <w:style w:type="paragraph" w:styleId="IntenseQuote">
    <w:name w:val="Intense Quote"/>
    <w:basedOn w:val="Normal"/>
    <w:next w:val="Normal"/>
    <w:link w:val="IntenseQuoteChar"/>
    <w:uiPriority w:val="30"/>
    <w:qFormat/>
    <w:rsid w:val="002717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729"/>
    <w:rPr>
      <w:i/>
      <w:iCs/>
      <w:color w:val="0F4761" w:themeColor="accent1" w:themeShade="BF"/>
    </w:rPr>
  </w:style>
  <w:style w:type="character" w:styleId="IntenseReference">
    <w:name w:val="Intense Reference"/>
    <w:basedOn w:val="DefaultParagraphFont"/>
    <w:uiPriority w:val="32"/>
    <w:qFormat/>
    <w:rsid w:val="00271729"/>
    <w:rPr>
      <w:b/>
      <w:bCs/>
      <w:smallCaps/>
      <w:color w:val="0F4761" w:themeColor="accent1" w:themeShade="BF"/>
      <w:spacing w:val="5"/>
    </w:rPr>
  </w:style>
  <w:style w:type="paragraph" w:styleId="FootnoteText">
    <w:name w:val="footnote text"/>
    <w:basedOn w:val="Normal"/>
    <w:link w:val="FootnoteTextChar"/>
    <w:uiPriority w:val="99"/>
    <w:semiHidden/>
    <w:unhideWhenUsed/>
    <w:rsid w:val="00A613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1385"/>
    <w:rPr>
      <w:sz w:val="20"/>
      <w:szCs w:val="20"/>
    </w:rPr>
  </w:style>
  <w:style w:type="character" w:styleId="FootnoteReference">
    <w:name w:val="footnote reference"/>
    <w:basedOn w:val="DefaultParagraphFont"/>
    <w:uiPriority w:val="99"/>
    <w:semiHidden/>
    <w:unhideWhenUsed/>
    <w:rsid w:val="00A61385"/>
    <w:rPr>
      <w:vertAlign w:val="superscript"/>
    </w:rPr>
  </w:style>
  <w:style w:type="character" w:styleId="Hyperlink">
    <w:name w:val="Hyperlink"/>
    <w:basedOn w:val="DefaultParagraphFont"/>
    <w:uiPriority w:val="99"/>
    <w:unhideWhenUsed/>
    <w:rsid w:val="00593C90"/>
    <w:rPr>
      <w:color w:val="467886" w:themeColor="hyperlink"/>
      <w:u w:val="single"/>
    </w:rPr>
  </w:style>
  <w:style w:type="character" w:customStyle="1" w:styleId="UnresolvedMention1">
    <w:name w:val="Unresolved Mention1"/>
    <w:basedOn w:val="DefaultParagraphFont"/>
    <w:uiPriority w:val="99"/>
    <w:semiHidden/>
    <w:unhideWhenUsed/>
    <w:rsid w:val="00593C90"/>
    <w:rPr>
      <w:color w:val="605E5C"/>
      <w:shd w:val="clear" w:color="auto" w:fill="E1DFDD"/>
    </w:rPr>
  </w:style>
  <w:style w:type="paragraph" w:styleId="Header">
    <w:name w:val="header"/>
    <w:basedOn w:val="Normal"/>
    <w:link w:val="HeaderChar"/>
    <w:uiPriority w:val="99"/>
    <w:semiHidden/>
    <w:unhideWhenUsed/>
    <w:rsid w:val="0025147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5147B"/>
  </w:style>
  <w:style w:type="paragraph" w:styleId="Footer">
    <w:name w:val="footer"/>
    <w:basedOn w:val="Normal"/>
    <w:link w:val="FooterChar"/>
    <w:uiPriority w:val="99"/>
    <w:semiHidden/>
    <w:unhideWhenUsed/>
    <w:rsid w:val="0025147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5147B"/>
  </w:style>
  <w:style w:type="paragraph" w:styleId="Bibliography">
    <w:name w:val="Bibliography"/>
    <w:basedOn w:val="Normal"/>
    <w:next w:val="Normal"/>
    <w:uiPriority w:val="37"/>
    <w:unhideWhenUsed/>
    <w:rsid w:val="00660B0C"/>
  </w:style>
  <w:style w:type="paragraph" w:styleId="Revision">
    <w:name w:val="Revision"/>
    <w:hidden/>
    <w:uiPriority w:val="99"/>
    <w:semiHidden/>
    <w:rsid w:val="0037788C"/>
    <w:pPr>
      <w:spacing w:after="0" w:line="240" w:lineRule="auto"/>
    </w:pPr>
  </w:style>
  <w:style w:type="character" w:styleId="CommentReference">
    <w:name w:val="annotation reference"/>
    <w:basedOn w:val="DefaultParagraphFont"/>
    <w:uiPriority w:val="99"/>
    <w:semiHidden/>
    <w:unhideWhenUsed/>
    <w:rsid w:val="00861B29"/>
    <w:rPr>
      <w:sz w:val="16"/>
      <w:szCs w:val="16"/>
    </w:rPr>
  </w:style>
  <w:style w:type="paragraph" w:styleId="CommentText">
    <w:name w:val="annotation text"/>
    <w:basedOn w:val="Normal"/>
    <w:link w:val="CommentTextChar"/>
    <w:uiPriority w:val="99"/>
    <w:unhideWhenUsed/>
    <w:rsid w:val="00861B29"/>
    <w:pPr>
      <w:spacing w:line="240" w:lineRule="auto"/>
    </w:pPr>
    <w:rPr>
      <w:sz w:val="20"/>
      <w:szCs w:val="20"/>
    </w:rPr>
  </w:style>
  <w:style w:type="character" w:customStyle="1" w:styleId="CommentTextChar">
    <w:name w:val="Comment Text Char"/>
    <w:basedOn w:val="DefaultParagraphFont"/>
    <w:link w:val="CommentText"/>
    <w:uiPriority w:val="99"/>
    <w:rsid w:val="00861B29"/>
    <w:rPr>
      <w:sz w:val="20"/>
      <w:szCs w:val="20"/>
    </w:rPr>
  </w:style>
  <w:style w:type="paragraph" w:styleId="CommentSubject">
    <w:name w:val="annotation subject"/>
    <w:basedOn w:val="CommentText"/>
    <w:next w:val="CommentText"/>
    <w:link w:val="CommentSubjectChar"/>
    <w:uiPriority w:val="99"/>
    <w:semiHidden/>
    <w:unhideWhenUsed/>
    <w:rsid w:val="00861B29"/>
    <w:rPr>
      <w:b/>
      <w:bCs/>
    </w:rPr>
  </w:style>
  <w:style w:type="character" w:customStyle="1" w:styleId="CommentSubjectChar">
    <w:name w:val="Comment Subject Char"/>
    <w:basedOn w:val="CommentTextChar"/>
    <w:link w:val="CommentSubject"/>
    <w:uiPriority w:val="99"/>
    <w:semiHidden/>
    <w:rsid w:val="00861B2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Bar23</b:Tag>
    <b:SourceType>Report</b:SourceType>
    <b:Guid>{0A14537D-EA39-4AD7-8770-C817B71E6BC2}</b:Guid>
    <b:Title>Invisible Children: Understanding the risk of the cost-of-living crisis and school holidays on child sexual and criminal exploitation</b:Title>
    <b:Year>2023</b:Year>
    <b:City>London</b:City>
    <b:Author>
      <b:Author>
        <b:Corporate>Barnardo's</b:Corporate>
      </b:Author>
    </b:Author>
    <b:RefOrder>1</b:RefOrder>
  </b:Source>
</b:Sources>
</file>

<file path=customXml/itemProps1.xml><?xml version="1.0" encoding="utf-8"?>
<ds:datastoreItem xmlns:ds="http://schemas.openxmlformats.org/officeDocument/2006/customXml" ds:itemID="{9B95F4E6-1B02-4BDD-B2C9-BE1C8F16078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ECA0094</dc:title>
  <cp:revision>0</cp:revision>
</cp:coreProperties>
</file>