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7D66" w:rsidRPr="007C5442" w:rsidP="007C5442">
      <w:pPr>
        <w:pStyle w:val="NormalWeb"/>
        <w:spacing w:after="0" w:afterAutospacing="0"/>
        <w:jc w:val="center"/>
        <w:rPr>
          <w:rFonts w:ascii="Calibri" w:hAnsi="Calibri" w:cs="Calibri"/>
          <w:b/>
          <w:bCs/>
          <w:sz w:val="22"/>
          <w:szCs w:val="22"/>
        </w:rPr>
      </w:pPr>
      <w:r w:rsidRPr="007C5442">
        <w:rPr>
          <w:rFonts w:ascii="Calibri" w:hAnsi="Calibri" w:cs="Calibri"/>
          <w:b/>
          <w:bCs/>
          <w:sz w:val="22"/>
          <w:szCs w:val="22"/>
        </w:rPr>
        <w:t xml:space="preserve">Written evidence by </w:t>
      </w:r>
      <w:r w:rsidRPr="007C5442">
        <w:rPr>
          <w:rFonts w:ascii="Calibri" w:hAnsi="Calibri" w:cs="Calibri"/>
          <w:b/>
          <w:bCs/>
          <w:sz w:val="22"/>
          <w:szCs w:val="22"/>
        </w:rPr>
        <w:t>Internet Matters</w:t>
      </w:r>
      <w:r w:rsidRPr="007C5442">
        <w:rPr>
          <w:rFonts w:ascii="Calibri" w:hAnsi="Calibri" w:cs="Calibri"/>
          <w:b/>
          <w:bCs/>
          <w:sz w:val="22"/>
          <w:szCs w:val="22"/>
        </w:rPr>
        <w:t xml:space="preserve"> (</w:t>
      </w:r>
      <w:r w:rsidRPr="007C5442">
        <w:rPr>
          <w:rFonts w:ascii="Calibri" w:hAnsi="Calibri" w:cs="Calibri"/>
          <w:b/>
          <w:bCs/>
          <w:sz w:val="22"/>
          <w:szCs w:val="22"/>
        </w:rPr>
        <w:t>ECA0090</w:t>
      </w:r>
      <w:r w:rsidRPr="007C5442">
        <w:rPr>
          <w:rFonts w:ascii="Calibri" w:hAnsi="Calibri" w:cs="Calibri"/>
          <w:b/>
          <w:bCs/>
          <w:sz w:val="22"/>
          <w:szCs w:val="22"/>
        </w:rPr>
        <w:t>)</w:t>
      </w:r>
    </w:p>
    <w:p w:rsidR="007C5442" w:rsidRPr="007C5442" w:rsidP="007C5442">
      <w:pPr>
        <w:pStyle w:val="NormalWeb"/>
        <w:spacing w:after="0" w:afterAutospacing="0"/>
        <w:rPr>
          <w:rFonts w:ascii="Calibri" w:hAnsi="Calibri" w:cs="Calibri"/>
          <w:b/>
          <w:bCs/>
          <w:sz w:val="22"/>
          <w:szCs w:val="22"/>
        </w:rPr>
      </w:pPr>
      <w:r w:rsidRPr="007C5442">
        <w:rPr>
          <w:rFonts w:ascii="Calibri" w:hAnsi="Calibri" w:cs="Calibri"/>
          <w:b/>
          <w:bCs/>
          <w:sz w:val="22"/>
          <w:szCs w:val="22"/>
        </w:rPr>
        <w:t>Education committee</w:t>
      </w:r>
    </w:p>
    <w:p w:rsidR="007C5442" w:rsidRPr="007C5442" w:rsidP="007C5442">
      <w:pPr>
        <w:pStyle w:val="NormalWeb"/>
        <w:spacing w:after="0" w:afterAutospacing="0"/>
        <w:rPr>
          <w:rFonts w:ascii="Calibri" w:hAnsi="Calibri" w:cs="Calibri"/>
          <w:b/>
          <w:bCs/>
          <w:sz w:val="22"/>
          <w:szCs w:val="22"/>
        </w:rPr>
      </w:pPr>
      <w:r w:rsidRPr="007C5442">
        <w:rPr>
          <w:rFonts w:ascii="Calibri" w:eastAsia="Aptos" w:hAnsi="Calibri" w:cs="Calibri"/>
          <w:b/>
          <w:bCs/>
          <w:kern w:val="2"/>
          <w:sz w:val="22"/>
          <w:szCs w:val="22"/>
          <w:lang w:eastAsia="en-US"/>
        </w:rPr>
        <w:t>Every Child Achieving and Thriving’ White Paper</w:t>
      </w:r>
    </w:p>
    <w:p w:rsidR="00AD7D66" w:rsidRPr="007C5442" w:rsidP="00574169">
      <w:pPr>
        <w:pStyle w:val="NormalWeb"/>
        <w:spacing w:after="0" w:afterAutospacing="0"/>
        <w:rPr>
          <w:rFonts w:ascii="Calibri" w:hAnsi="Calibri" w:cs="Calibri"/>
          <w:sz w:val="22"/>
          <w:szCs w:val="22"/>
        </w:rPr>
      </w:pPr>
      <w:r w:rsidRPr="007C5442">
        <w:rPr>
          <w:rFonts w:ascii="Calibri" w:hAnsi="Calibri" w:cs="Calibri"/>
          <w:sz w:val="22"/>
          <w:szCs w:val="22"/>
          <w:u w:val="single"/>
        </w:rPr>
        <w:t>About Internet Matters</w:t>
      </w:r>
      <w:r w:rsidRPr="007C5442">
        <w:rPr>
          <w:rFonts w:ascii="Calibri" w:hAnsi="Calibri" w:cs="Calibri"/>
          <w:sz w:val="22"/>
          <w:szCs w:val="22"/>
        </w:rPr>
        <w:t>:</w:t>
      </w:r>
    </w:p>
    <w:p w:rsidR="00AD7D66" w:rsidRPr="007C5442" w:rsidP="00574169">
      <w:pPr>
        <w:pStyle w:val="NormalWeb"/>
        <w:spacing w:after="0" w:afterAutospacing="0"/>
        <w:rPr>
          <w:rFonts w:ascii="Calibri" w:hAnsi="Calibri" w:cs="Calibri"/>
          <w:sz w:val="22"/>
          <w:szCs w:val="22"/>
        </w:rPr>
      </w:pPr>
      <w:r w:rsidRPr="007C5442">
        <w:rPr>
          <w:rFonts w:ascii="Calibri" w:hAnsi="Calibri" w:cs="Calibri"/>
          <w:b/>
          <w:bCs/>
          <w:sz w:val="22"/>
          <w:szCs w:val="22"/>
        </w:rPr>
        <w:t xml:space="preserve">Internet Matters is a not-for-profit dedicated to supporting parents and professionals to keep children safe and well online. </w:t>
      </w:r>
      <w:r w:rsidRPr="007C5442">
        <w:rPr>
          <w:rFonts w:ascii="Calibri" w:hAnsi="Calibri" w:cs="Calibri"/>
          <w:sz w:val="22"/>
          <w:szCs w:val="22"/>
        </w:rPr>
        <w:t xml:space="preserve">We produce expert guidance and resources for parents and teachers and use our research and insights to </w:t>
      </w:r>
      <w:r w:rsidRPr="007C5442">
        <w:rPr>
          <w:rFonts w:ascii="Calibri" w:hAnsi="Calibri" w:cs="Calibri"/>
          <w:b/>
          <w:bCs/>
          <w:sz w:val="22"/>
          <w:szCs w:val="22"/>
        </w:rPr>
        <w:t>champion the views and interests of families</w:t>
      </w:r>
      <w:r w:rsidRPr="007C5442">
        <w:rPr>
          <w:rFonts w:ascii="Calibri" w:hAnsi="Calibri" w:cs="Calibri"/>
          <w:sz w:val="22"/>
          <w:szCs w:val="22"/>
        </w:rPr>
        <w:t xml:space="preserve">, </w:t>
      </w:r>
      <w:r w:rsidRPr="007C5442">
        <w:rPr>
          <w:rFonts w:ascii="Calibri" w:hAnsi="Calibri" w:cs="Calibri"/>
          <w:b/>
          <w:bCs/>
          <w:sz w:val="22"/>
          <w:szCs w:val="22"/>
        </w:rPr>
        <w:t>making evidence-based recommendations to all those with influence over children’s digital lives</w:t>
      </w:r>
      <w:r w:rsidRPr="007C5442">
        <w:rPr>
          <w:rFonts w:ascii="Calibri" w:hAnsi="Calibri" w:cs="Calibri"/>
          <w:sz w:val="22"/>
          <w:szCs w:val="22"/>
        </w:rPr>
        <w:t>. This includes our industry partners as well as government, policymakers and parliamentarians.</w:t>
      </w:r>
    </w:p>
    <w:p w:rsidR="00AD7D66" w:rsidRPr="007C5442" w:rsidP="00574169">
      <w:pPr>
        <w:pStyle w:val="NormalWeb"/>
        <w:spacing w:after="0" w:afterAutospacing="0"/>
        <w:rPr>
          <w:rFonts w:ascii="Calibri" w:hAnsi="Calibri" w:cs="Calibri"/>
          <w:sz w:val="22"/>
          <w:szCs w:val="22"/>
        </w:rPr>
      </w:pPr>
      <w:r w:rsidRPr="007C5442">
        <w:rPr>
          <w:rFonts w:ascii="Calibri" w:hAnsi="Calibri" w:cs="Calibri"/>
          <w:sz w:val="22"/>
          <w:szCs w:val="22"/>
        </w:rPr>
        <w:t>Summary</w:t>
      </w:r>
    </w:p>
    <w:p w:rsidR="00AD7D66" w:rsidRPr="007C5442" w:rsidP="00574169">
      <w:pPr>
        <w:pStyle w:val="NormalWeb"/>
        <w:numPr>
          <w:ilvl w:val="0"/>
          <w:numId w:val="16"/>
        </w:numPr>
        <w:spacing w:after="0" w:afterAutospacing="0"/>
        <w:rPr>
          <w:rFonts w:ascii="Calibri" w:hAnsi="Calibri" w:cs="Calibri"/>
          <w:sz w:val="22"/>
          <w:szCs w:val="22"/>
        </w:rPr>
      </w:pPr>
      <w:r w:rsidRPr="007C5442">
        <w:rPr>
          <w:rFonts w:ascii="Calibri" w:hAnsi="Calibri" w:cs="Calibri"/>
          <w:sz w:val="22"/>
          <w:szCs w:val="22"/>
        </w:rPr>
        <w:t xml:space="preserve">Internet Matters welcomes the opportunity to respond to the Education Committee’s inquiry into the Department for Education’s </w:t>
      </w:r>
      <w:r w:rsidRPr="007C5442">
        <w:rPr>
          <w:rFonts w:ascii="Calibri" w:hAnsi="Calibri" w:cs="Calibri"/>
          <w:sz w:val="22"/>
          <w:szCs w:val="22"/>
        </w:rPr>
        <w:t xml:space="preserve">recent </w:t>
      </w:r>
      <w:r w:rsidRPr="007C5442">
        <w:rPr>
          <w:rFonts w:ascii="Calibri" w:hAnsi="Calibri" w:cs="Calibri"/>
          <w:sz w:val="22"/>
          <w:szCs w:val="22"/>
        </w:rPr>
        <w:t>W</w:t>
      </w:r>
      <w:r w:rsidRPr="007C5442">
        <w:rPr>
          <w:rFonts w:ascii="Calibri" w:hAnsi="Calibri" w:cs="Calibri"/>
          <w:sz w:val="22"/>
          <w:szCs w:val="22"/>
        </w:rPr>
        <w:t xml:space="preserve">hite </w:t>
      </w:r>
      <w:r w:rsidRPr="007C5442">
        <w:rPr>
          <w:rFonts w:ascii="Calibri" w:hAnsi="Calibri" w:cs="Calibri"/>
          <w:sz w:val="22"/>
          <w:szCs w:val="22"/>
        </w:rPr>
        <w:t>P</w:t>
      </w:r>
      <w:r w:rsidRPr="007C5442">
        <w:rPr>
          <w:rFonts w:ascii="Calibri" w:hAnsi="Calibri" w:cs="Calibri"/>
          <w:sz w:val="22"/>
          <w:szCs w:val="22"/>
        </w:rPr>
        <w:t>aper ‘Every child achieving and thriving’</w:t>
      </w:r>
      <w:r w:rsidRPr="007C5442">
        <w:rPr>
          <w:rFonts w:ascii="Calibri" w:hAnsi="Calibri" w:cs="Calibri"/>
          <w:sz w:val="22"/>
          <w:szCs w:val="22"/>
        </w:rPr>
        <w:t xml:space="preserve"> (henceforth: ‘the White Paper’)</w:t>
      </w:r>
      <w:r w:rsidRPr="007C5442">
        <w:rPr>
          <w:rFonts w:ascii="Calibri" w:hAnsi="Calibri" w:cs="Calibri"/>
          <w:sz w:val="22"/>
          <w:szCs w:val="22"/>
        </w:rPr>
        <w:t xml:space="preserve">. </w:t>
      </w:r>
      <w:r w:rsidRPr="007C5442">
        <w:rPr>
          <w:rFonts w:ascii="Calibri" w:hAnsi="Calibri" w:cs="Calibri"/>
          <w:sz w:val="22"/>
          <w:szCs w:val="22"/>
        </w:rPr>
        <w:br/>
      </w:r>
    </w:p>
    <w:p w:rsidR="00AD7D66" w:rsidRPr="007C5442" w:rsidP="00574169">
      <w:pPr>
        <w:pStyle w:val="NormalWeb"/>
        <w:numPr>
          <w:ilvl w:val="0"/>
          <w:numId w:val="16"/>
        </w:numPr>
        <w:spacing w:after="0" w:afterAutospacing="0"/>
        <w:rPr>
          <w:rFonts w:ascii="Calibri" w:hAnsi="Calibri" w:cs="Calibri"/>
          <w:sz w:val="22"/>
          <w:szCs w:val="22"/>
        </w:rPr>
      </w:pPr>
      <w:r w:rsidRPr="007C5442">
        <w:rPr>
          <w:rFonts w:ascii="Calibri" w:hAnsi="Calibri" w:cs="Calibri"/>
          <w:sz w:val="22"/>
          <w:szCs w:val="22"/>
        </w:rPr>
        <w:t>This submission considers whether the reforms set out in the White Paper will improve children’s media and digital literacy education and identifies where further action is needed for the reforms to achieve the Government’s objectives.</w:t>
      </w:r>
      <w:r w:rsidRPr="007C5442">
        <w:rPr>
          <w:rFonts w:ascii="Calibri" w:hAnsi="Calibri" w:cs="Calibri"/>
          <w:sz w:val="22"/>
          <w:szCs w:val="22"/>
        </w:rPr>
        <w:br/>
      </w:r>
    </w:p>
    <w:p w:rsidR="00AD7D66" w:rsidRPr="007C5442" w:rsidP="00574169">
      <w:pPr>
        <w:pStyle w:val="NormalWeb"/>
        <w:numPr>
          <w:ilvl w:val="0"/>
          <w:numId w:val="16"/>
        </w:numPr>
        <w:spacing w:after="0" w:afterAutospacing="0"/>
        <w:rPr>
          <w:rFonts w:ascii="Calibri" w:hAnsi="Calibri" w:cs="Calibri"/>
          <w:sz w:val="22"/>
          <w:szCs w:val="22"/>
        </w:rPr>
      </w:pPr>
      <w:r w:rsidRPr="007C5442">
        <w:rPr>
          <w:rFonts w:ascii="Calibri" w:hAnsi="Calibri" w:cs="Calibri"/>
          <w:sz w:val="22"/>
          <w:szCs w:val="22"/>
        </w:rPr>
        <w:t>Here we define media and digital literacy as encompassing the following areas which, taken together, enable children to flourish in digital environments: being able to evaluate information and distinguish between what is true and false online; being able to create and share digital content responsibly and safely; and having the awareness and ability to protect themselves from the risks of being online.</w:t>
      </w:r>
      <w:r w:rsidRPr="007C5442">
        <w:rPr>
          <w:rFonts w:ascii="Calibri" w:hAnsi="Calibri" w:cs="Calibri"/>
          <w:sz w:val="22"/>
          <w:szCs w:val="22"/>
        </w:rPr>
        <w:br/>
      </w:r>
    </w:p>
    <w:p w:rsidR="00AD7D66" w:rsidRPr="007C5442" w:rsidP="00574169">
      <w:pPr>
        <w:pStyle w:val="NormalWeb"/>
        <w:numPr>
          <w:ilvl w:val="0"/>
          <w:numId w:val="16"/>
        </w:numPr>
        <w:spacing w:after="0" w:afterAutospacing="0"/>
        <w:rPr>
          <w:rFonts w:ascii="Calibri" w:hAnsi="Calibri" w:cs="Calibri"/>
          <w:sz w:val="22"/>
          <w:szCs w:val="22"/>
        </w:rPr>
      </w:pPr>
      <w:r w:rsidRPr="007C5442">
        <w:rPr>
          <w:rFonts w:ascii="Calibri" w:hAnsi="Calibri" w:cs="Calibri"/>
          <w:sz w:val="22"/>
          <w:szCs w:val="22"/>
        </w:rPr>
        <w:t>The White Paper’s commitment to embed media and digital literacy across the curriculum is a</w:t>
      </w:r>
      <w:r w:rsidRPr="007C5442">
        <w:rPr>
          <w:rFonts w:ascii="Calibri" w:hAnsi="Calibri" w:cs="Calibri"/>
          <w:sz w:val="22"/>
          <w:szCs w:val="22"/>
        </w:rPr>
        <w:t xml:space="preserve"> welcome</w:t>
      </w:r>
      <w:r w:rsidRPr="007C5442">
        <w:rPr>
          <w:rFonts w:ascii="Calibri" w:hAnsi="Calibri" w:cs="Calibri"/>
          <w:sz w:val="22"/>
          <w:szCs w:val="22"/>
        </w:rPr>
        <w:t xml:space="preserve"> </w:t>
      </w:r>
      <w:r w:rsidRPr="007C5442">
        <w:rPr>
          <w:rFonts w:ascii="Calibri" w:hAnsi="Calibri" w:cs="Calibri"/>
          <w:sz w:val="22"/>
          <w:szCs w:val="22"/>
        </w:rPr>
        <w:t xml:space="preserve">and </w:t>
      </w:r>
      <w:r w:rsidRPr="007C5442">
        <w:rPr>
          <w:rFonts w:ascii="Calibri" w:hAnsi="Calibri" w:cs="Calibri"/>
          <w:sz w:val="22"/>
          <w:szCs w:val="22"/>
        </w:rPr>
        <w:t xml:space="preserve">significant step forward. However, curriculum reform alone will not deliver consistently high-quality </w:t>
      </w:r>
      <w:r w:rsidRPr="007C5442">
        <w:rPr>
          <w:rFonts w:ascii="Calibri" w:hAnsi="Calibri" w:cs="Calibri"/>
          <w:sz w:val="22"/>
          <w:szCs w:val="22"/>
        </w:rPr>
        <w:t>teaching</w:t>
      </w:r>
      <w:r w:rsidRPr="007C5442">
        <w:rPr>
          <w:rFonts w:ascii="Calibri" w:hAnsi="Calibri" w:cs="Calibri"/>
          <w:sz w:val="22"/>
          <w:szCs w:val="22"/>
        </w:rPr>
        <w:t xml:space="preserve">. Its success will depend on trained and supported </w:t>
      </w:r>
      <w:r w:rsidRPr="007C5442">
        <w:rPr>
          <w:rFonts w:ascii="Calibri" w:hAnsi="Calibri" w:cs="Calibri"/>
          <w:sz w:val="22"/>
          <w:szCs w:val="22"/>
        </w:rPr>
        <w:t>teachers</w:t>
      </w:r>
      <w:r w:rsidRPr="007C5442">
        <w:rPr>
          <w:rFonts w:ascii="Calibri" w:hAnsi="Calibri" w:cs="Calibri"/>
          <w:sz w:val="22"/>
          <w:szCs w:val="22"/>
        </w:rPr>
        <w:t xml:space="preserve">, up-to-date resources, assessment and accountability, and effective </w:t>
      </w:r>
      <w:r w:rsidRPr="007C5442">
        <w:rPr>
          <w:rFonts w:ascii="Calibri" w:hAnsi="Calibri" w:cs="Calibri"/>
          <w:sz w:val="22"/>
          <w:szCs w:val="22"/>
        </w:rPr>
        <w:t>coord</w:t>
      </w:r>
      <w:r w:rsidRPr="007C5442">
        <w:rPr>
          <w:rFonts w:ascii="Calibri" w:hAnsi="Calibri" w:cs="Calibri"/>
          <w:sz w:val="22"/>
          <w:szCs w:val="22"/>
        </w:rPr>
        <w:t xml:space="preserve">ination between the Department for Education, </w:t>
      </w:r>
      <w:r w:rsidRPr="007C5442">
        <w:rPr>
          <w:rFonts w:ascii="Calibri" w:hAnsi="Calibri" w:cs="Calibri"/>
          <w:sz w:val="22"/>
          <w:szCs w:val="22"/>
        </w:rPr>
        <w:t xml:space="preserve">wider government departments including the Department for </w:t>
      </w:r>
      <w:r w:rsidRPr="007C5442">
        <w:rPr>
          <w:rFonts w:ascii="Calibri" w:hAnsi="Calibri" w:cs="Calibri"/>
          <w:sz w:val="22"/>
          <w:szCs w:val="22"/>
        </w:rPr>
        <w:t>Digital, Culture, Media and Sport</w:t>
      </w:r>
      <w:r w:rsidRPr="007C5442">
        <w:rPr>
          <w:rFonts w:ascii="Calibri" w:hAnsi="Calibri" w:cs="Calibri"/>
          <w:sz w:val="22"/>
          <w:szCs w:val="22"/>
        </w:rPr>
        <w:t>, Ofcom and local services.</w:t>
      </w:r>
      <w:r w:rsidRPr="007C5442">
        <w:rPr>
          <w:rFonts w:ascii="Calibri" w:hAnsi="Calibri" w:cs="Calibri"/>
          <w:sz w:val="22"/>
          <w:szCs w:val="22"/>
        </w:rPr>
        <w:br/>
      </w:r>
    </w:p>
    <w:p w:rsidR="00AD7D66" w:rsidRPr="007C5442" w:rsidP="00574169">
      <w:pPr>
        <w:pStyle w:val="NormalWeb"/>
        <w:numPr>
          <w:ilvl w:val="0"/>
          <w:numId w:val="16"/>
        </w:numPr>
        <w:spacing w:after="0"/>
        <w:rPr>
          <w:rFonts w:ascii="Calibri" w:hAnsi="Calibri" w:cs="Calibri"/>
          <w:sz w:val="22"/>
          <w:szCs w:val="22"/>
        </w:rPr>
      </w:pPr>
      <w:r w:rsidRPr="007C5442">
        <w:rPr>
          <w:rFonts w:ascii="Calibri" w:hAnsi="Calibri" w:cs="Calibri"/>
          <w:sz w:val="22"/>
          <w:szCs w:val="22"/>
        </w:rPr>
        <w:t>In summary, Internet Matters recommends that the Government</w:t>
      </w:r>
      <w:r w:rsidRPr="007C5442">
        <w:rPr>
          <w:rFonts w:ascii="Calibri" w:hAnsi="Calibri" w:cs="Calibri"/>
          <w:sz w:val="22"/>
          <w:szCs w:val="22"/>
        </w:rPr>
        <w:t xml:space="preserve"> </w:t>
      </w:r>
      <w:r w:rsidRPr="007C5442">
        <w:rPr>
          <w:rFonts w:ascii="Calibri" w:hAnsi="Calibri" w:cs="Calibri"/>
          <w:sz w:val="22"/>
          <w:szCs w:val="22"/>
        </w:rPr>
        <w:t>take action</w:t>
      </w:r>
      <w:r w:rsidRPr="007C5442">
        <w:rPr>
          <w:rFonts w:ascii="Calibri" w:hAnsi="Calibri" w:cs="Calibri"/>
          <w:sz w:val="22"/>
          <w:szCs w:val="22"/>
        </w:rPr>
        <w:t xml:space="preserve"> in the following areas</w:t>
      </w:r>
      <w:r w:rsidRPr="007C5442">
        <w:rPr>
          <w:rFonts w:ascii="Calibri" w:hAnsi="Calibri" w:cs="Calibri"/>
          <w:sz w:val="22"/>
          <w:szCs w:val="22"/>
        </w:rPr>
        <w:t>:</w:t>
      </w:r>
      <w:r w:rsidRPr="007C5442">
        <w:rPr>
          <w:rFonts w:ascii="Calibri" w:hAnsi="Calibri" w:cs="Calibri"/>
          <w:sz w:val="22"/>
          <w:szCs w:val="22"/>
        </w:rPr>
        <w:br/>
      </w:r>
    </w:p>
    <w:p w:rsidR="00AD7D66" w:rsidRPr="007C5442" w:rsidP="005A3273">
      <w:pPr>
        <w:pStyle w:val="NormalWeb"/>
        <w:numPr>
          <w:ilvl w:val="0"/>
          <w:numId w:val="16"/>
        </w:numPr>
        <w:spacing w:after="0"/>
        <w:rPr>
          <w:rFonts w:ascii="Calibri" w:hAnsi="Calibri" w:cs="Calibri"/>
          <w:i/>
          <w:iCs/>
          <w:sz w:val="22"/>
          <w:szCs w:val="22"/>
        </w:rPr>
      </w:pPr>
      <w:r w:rsidRPr="007C5442">
        <w:rPr>
          <w:rFonts w:ascii="Calibri" w:hAnsi="Calibri" w:cs="Calibri"/>
          <w:i/>
          <w:iCs/>
          <w:sz w:val="22"/>
          <w:szCs w:val="22"/>
        </w:rPr>
        <w:t>Curriculum</w:t>
      </w:r>
      <w:r w:rsidRPr="007C5442">
        <w:rPr>
          <w:rFonts w:ascii="Calibri" w:hAnsi="Calibri" w:cs="Calibri"/>
          <w:i/>
          <w:iCs/>
          <w:sz w:val="22"/>
          <w:szCs w:val="22"/>
        </w:rPr>
        <w:t>,</w:t>
      </w:r>
      <w:r w:rsidRPr="007C5442">
        <w:rPr>
          <w:rFonts w:ascii="Calibri" w:hAnsi="Calibri" w:cs="Calibri"/>
          <w:i/>
          <w:iCs/>
          <w:sz w:val="22"/>
          <w:szCs w:val="22"/>
        </w:rPr>
        <w:t xml:space="preserve"> progression</w:t>
      </w:r>
      <w:r w:rsidRPr="007C5442">
        <w:rPr>
          <w:rFonts w:ascii="Calibri" w:hAnsi="Calibri" w:cs="Calibri"/>
          <w:i/>
          <w:iCs/>
          <w:sz w:val="22"/>
          <w:szCs w:val="22"/>
        </w:rPr>
        <w:t xml:space="preserve"> and participation</w:t>
      </w:r>
    </w:p>
    <w:p w:rsidR="00AD7D66" w:rsidRPr="007C5442" w:rsidP="005A3273">
      <w:pPr>
        <w:pStyle w:val="NormalWeb"/>
        <w:numPr>
          <w:ilvl w:val="1"/>
          <w:numId w:val="16"/>
        </w:numPr>
        <w:spacing w:after="0"/>
        <w:rPr>
          <w:rFonts w:ascii="Calibri" w:hAnsi="Calibri" w:cs="Calibri"/>
          <w:i/>
          <w:iCs/>
          <w:sz w:val="22"/>
          <w:szCs w:val="22"/>
        </w:rPr>
      </w:pPr>
      <w:r w:rsidRPr="007C5442">
        <w:rPr>
          <w:rFonts w:ascii="Calibri" w:hAnsi="Calibri" w:cs="Calibri"/>
          <w:sz w:val="22"/>
          <w:szCs w:val="22"/>
        </w:rPr>
        <w:t>Develop a media and digital literacy framework, setting out clear and appropriately sequenced expectations for every key stage.</w:t>
      </w:r>
    </w:p>
    <w:p w:rsidR="00AD7D66" w:rsidRPr="007C5442" w:rsidP="005A3273">
      <w:pPr>
        <w:pStyle w:val="NormalWeb"/>
        <w:numPr>
          <w:ilvl w:val="1"/>
          <w:numId w:val="16"/>
        </w:numPr>
        <w:spacing w:after="0" w:afterAutospacing="0"/>
        <w:rPr>
          <w:rFonts w:ascii="Calibri" w:hAnsi="Calibri" w:cs="Calibri"/>
          <w:sz w:val="22"/>
          <w:szCs w:val="22"/>
        </w:rPr>
      </w:pPr>
      <w:r w:rsidRPr="007C5442">
        <w:rPr>
          <w:rFonts w:ascii="Calibri" w:hAnsi="Calibri" w:cs="Calibri"/>
          <w:sz w:val="22"/>
          <w:szCs w:val="22"/>
        </w:rPr>
        <w:t xml:space="preserve">Ensure media and digital literacy </w:t>
      </w:r>
      <w:r w:rsidRPr="007C5442">
        <w:rPr>
          <w:rFonts w:ascii="Calibri" w:hAnsi="Calibri" w:cs="Calibri"/>
          <w:sz w:val="22"/>
          <w:szCs w:val="22"/>
        </w:rPr>
        <w:t>continues</w:t>
      </w:r>
      <w:r w:rsidRPr="007C5442">
        <w:rPr>
          <w:rFonts w:ascii="Calibri" w:hAnsi="Calibri" w:cs="Calibri"/>
          <w:sz w:val="22"/>
          <w:szCs w:val="22"/>
        </w:rPr>
        <w:t xml:space="preserve"> after Key Stage 4 across all major post-16 pathways, rather than depending on the qualifications selected by individual learners.</w:t>
      </w:r>
    </w:p>
    <w:p w:rsidR="00AD7D66" w:rsidRPr="007C5442" w:rsidP="005A3273">
      <w:pPr>
        <w:pStyle w:val="NormalWeb"/>
        <w:numPr>
          <w:ilvl w:val="1"/>
          <w:numId w:val="16"/>
        </w:numPr>
        <w:spacing w:after="0" w:afterAutospacing="0"/>
        <w:rPr>
          <w:rFonts w:ascii="Calibri" w:hAnsi="Calibri" w:cs="Calibri"/>
          <w:sz w:val="22"/>
          <w:szCs w:val="22"/>
        </w:rPr>
      </w:pPr>
      <w:r w:rsidRPr="007C5442">
        <w:rPr>
          <w:rFonts w:ascii="Calibri" w:hAnsi="Calibri" w:cs="Calibri"/>
          <w:sz w:val="22"/>
          <w:szCs w:val="22"/>
        </w:rPr>
        <w:t>Provide interim support for newly enfranchised 16- and 17-year-olds before the revised curriculum is introduced in 2028.</w:t>
      </w:r>
      <w:r w:rsidRPr="007C5442">
        <w:rPr>
          <w:rFonts w:ascii="Calibri" w:hAnsi="Calibri" w:cs="Calibri"/>
          <w:sz w:val="22"/>
          <w:szCs w:val="22"/>
        </w:rPr>
        <w:br/>
      </w:r>
    </w:p>
    <w:p w:rsidR="00AD7D66" w:rsidRPr="007C5442" w:rsidP="00574169">
      <w:pPr>
        <w:pStyle w:val="NormalWeb"/>
        <w:numPr>
          <w:ilvl w:val="0"/>
          <w:numId w:val="16"/>
        </w:numPr>
        <w:spacing w:after="0"/>
        <w:rPr>
          <w:rFonts w:ascii="Calibri" w:hAnsi="Calibri" w:cs="Calibri"/>
          <w:i/>
          <w:iCs/>
          <w:sz w:val="22"/>
          <w:szCs w:val="22"/>
        </w:rPr>
      </w:pPr>
      <w:r w:rsidRPr="007C5442">
        <w:rPr>
          <w:rFonts w:ascii="Calibri" w:hAnsi="Calibri" w:cs="Calibri"/>
          <w:i/>
          <w:iCs/>
          <w:sz w:val="22"/>
          <w:szCs w:val="22"/>
        </w:rPr>
        <w:t>Support for schools and teachers</w:t>
      </w:r>
    </w:p>
    <w:p w:rsidR="00AD7D66" w:rsidRPr="007C5442" w:rsidP="005A3273">
      <w:pPr>
        <w:pStyle w:val="NormalWeb"/>
        <w:numPr>
          <w:ilvl w:val="1"/>
          <w:numId w:val="16"/>
        </w:numPr>
        <w:spacing w:after="0"/>
        <w:rPr>
          <w:rFonts w:ascii="Calibri" w:hAnsi="Calibri" w:cs="Calibri"/>
          <w:sz w:val="22"/>
          <w:szCs w:val="22"/>
        </w:rPr>
      </w:pPr>
      <w:r w:rsidRPr="007C5442">
        <w:rPr>
          <w:rFonts w:ascii="Calibri" w:hAnsi="Calibri" w:cs="Calibri"/>
          <w:sz w:val="22"/>
          <w:szCs w:val="22"/>
        </w:rPr>
        <w:t xml:space="preserve">Include foundational media, digital and AI literacy in Initial Teacher Training </w:t>
      </w:r>
      <w:r w:rsidRPr="007C5442">
        <w:rPr>
          <w:rFonts w:ascii="Calibri" w:hAnsi="Calibri" w:cs="Calibri"/>
          <w:sz w:val="22"/>
          <w:szCs w:val="22"/>
        </w:rPr>
        <w:t xml:space="preserve">(ITT) </w:t>
      </w:r>
      <w:r w:rsidRPr="007C5442">
        <w:rPr>
          <w:rFonts w:ascii="Calibri" w:hAnsi="Calibri" w:cs="Calibri"/>
          <w:sz w:val="22"/>
          <w:szCs w:val="22"/>
        </w:rPr>
        <w:t>and the Teacher Training Entitlement</w:t>
      </w:r>
      <w:r w:rsidRPr="007C5442">
        <w:rPr>
          <w:rFonts w:ascii="Calibri" w:hAnsi="Calibri" w:cs="Calibri"/>
          <w:sz w:val="22"/>
          <w:szCs w:val="22"/>
        </w:rPr>
        <w:t xml:space="preserve"> (TTE)</w:t>
      </w:r>
      <w:r w:rsidRPr="007C5442">
        <w:rPr>
          <w:rFonts w:ascii="Calibri" w:hAnsi="Calibri" w:cs="Calibri"/>
          <w:sz w:val="22"/>
          <w:szCs w:val="22"/>
        </w:rPr>
        <w:t xml:space="preserve">, supported by </w:t>
      </w:r>
      <w:r w:rsidRPr="007C5442">
        <w:rPr>
          <w:rFonts w:ascii="Calibri" w:hAnsi="Calibri" w:cs="Calibri"/>
          <w:sz w:val="22"/>
          <w:szCs w:val="22"/>
        </w:rPr>
        <w:t>C</w:t>
      </w:r>
      <w:r w:rsidRPr="007C5442">
        <w:rPr>
          <w:rFonts w:ascii="Calibri" w:hAnsi="Calibri" w:cs="Calibri"/>
          <w:sz w:val="22"/>
          <w:szCs w:val="22"/>
        </w:rPr>
        <w:t xml:space="preserve">ontinuing </w:t>
      </w:r>
      <w:r w:rsidRPr="007C5442">
        <w:rPr>
          <w:rFonts w:ascii="Calibri" w:hAnsi="Calibri" w:cs="Calibri"/>
          <w:sz w:val="22"/>
          <w:szCs w:val="22"/>
        </w:rPr>
        <w:t>P</w:t>
      </w:r>
      <w:r w:rsidRPr="007C5442">
        <w:rPr>
          <w:rFonts w:ascii="Calibri" w:hAnsi="Calibri" w:cs="Calibri"/>
          <w:sz w:val="22"/>
          <w:szCs w:val="22"/>
        </w:rPr>
        <w:t xml:space="preserve">rofessional </w:t>
      </w:r>
      <w:r w:rsidRPr="007C5442">
        <w:rPr>
          <w:rFonts w:ascii="Calibri" w:hAnsi="Calibri" w:cs="Calibri"/>
          <w:sz w:val="22"/>
          <w:szCs w:val="22"/>
        </w:rPr>
        <w:t>D</w:t>
      </w:r>
      <w:r w:rsidRPr="007C5442">
        <w:rPr>
          <w:rFonts w:ascii="Calibri" w:hAnsi="Calibri" w:cs="Calibri"/>
          <w:sz w:val="22"/>
          <w:szCs w:val="22"/>
        </w:rPr>
        <w:t xml:space="preserve">evelopment </w:t>
      </w:r>
      <w:r w:rsidRPr="007C5442">
        <w:rPr>
          <w:rFonts w:ascii="Calibri" w:hAnsi="Calibri" w:cs="Calibri"/>
          <w:sz w:val="22"/>
          <w:szCs w:val="22"/>
        </w:rPr>
        <w:t xml:space="preserve">(CPD) </w:t>
      </w:r>
      <w:r w:rsidRPr="007C5442">
        <w:rPr>
          <w:rFonts w:ascii="Calibri" w:hAnsi="Calibri" w:cs="Calibri"/>
          <w:sz w:val="22"/>
          <w:szCs w:val="22"/>
        </w:rPr>
        <w:t>for teachers and relevant support staff.</w:t>
      </w:r>
    </w:p>
    <w:p w:rsidR="00AD7D66" w:rsidRPr="007C5442" w:rsidP="005A3273">
      <w:pPr>
        <w:pStyle w:val="NormalWeb"/>
        <w:numPr>
          <w:ilvl w:val="1"/>
          <w:numId w:val="16"/>
        </w:numPr>
        <w:spacing w:after="0"/>
        <w:rPr>
          <w:rFonts w:ascii="Calibri" w:hAnsi="Calibri" w:cs="Calibri"/>
          <w:sz w:val="22"/>
          <w:szCs w:val="22"/>
        </w:rPr>
      </w:pPr>
      <w:r w:rsidRPr="007C5442">
        <w:rPr>
          <w:rFonts w:ascii="Calibri" w:hAnsi="Calibri" w:cs="Calibri"/>
          <w:sz w:val="22"/>
          <w:szCs w:val="22"/>
        </w:rPr>
        <w:t>Give schools access to a central collection of quality-assured and regularly updated teaching resources, including materials suitable for schools with limited technology.</w:t>
      </w:r>
    </w:p>
    <w:p w:rsidR="00AD7D66" w:rsidRPr="007C5442" w:rsidP="005A3273">
      <w:pPr>
        <w:pStyle w:val="NormalWeb"/>
        <w:numPr>
          <w:ilvl w:val="1"/>
          <w:numId w:val="16"/>
        </w:numPr>
        <w:spacing w:after="0"/>
        <w:rPr>
          <w:rFonts w:ascii="Calibri" w:hAnsi="Calibri" w:cs="Calibri"/>
          <w:sz w:val="22"/>
          <w:szCs w:val="22"/>
        </w:rPr>
      </w:pPr>
      <w:r w:rsidRPr="007C5442">
        <w:rPr>
          <w:rFonts w:ascii="Calibri" w:hAnsi="Calibri" w:cs="Calibri"/>
          <w:sz w:val="22"/>
          <w:szCs w:val="22"/>
        </w:rPr>
        <w:t>Establish a process for regularly updating curriculum guidance, teacher training and teaching resources as technologies and children’s experiences change.</w:t>
      </w:r>
      <w:r w:rsidRPr="007C5442">
        <w:rPr>
          <w:rFonts w:ascii="Calibri" w:hAnsi="Calibri" w:cs="Calibri"/>
          <w:sz w:val="22"/>
          <w:szCs w:val="22"/>
        </w:rPr>
        <w:br/>
      </w:r>
    </w:p>
    <w:p w:rsidR="00AD7D66" w:rsidRPr="007C5442" w:rsidP="00574169">
      <w:pPr>
        <w:pStyle w:val="NormalWeb"/>
        <w:numPr>
          <w:ilvl w:val="0"/>
          <w:numId w:val="16"/>
        </w:numPr>
        <w:spacing w:after="0" w:afterAutospacing="0"/>
        <w:rPr>
          <w:rFonts w:ascii="Calibri" w:hAnsi="Calibri" w:cs="Calibri"/>
          <w:i/>
          <w:iCs/>
          <w:sz w:val="22"/>
          <w:szCs w:val="22"/>
        </w:rPr>
      </w:pPr>
      <w:r w:rsidRPr="007C5442">
        <w:rPr>
          <w:rFonts w:ascii="Calibri" w:hAnsi="Calibri" w:cs="Calibri"/>
          <w:i/>
          <w:iCs/>
          <w:sz w:val="22"/>
          <w:szCs w:val="22"/>
        </w:rPr>
        <w:t>Assessment, delivery and accountability</w:t>
      </w:r>
    </w:p>
    <w:p w:rsidR="00AD7D66" w:rsidRPr="007C5442" w:rsidP="004B1801">
      <w:pPr>
        <w:pStyle w:val="NormalWeb"/>
        <w:numPr>
          <w:ilvl w:val="1"/>
          <w:numId w:val="16"/>
        </w:numPr>
        <w:spacing w:after="0"/>
        <w:rPr>
          <w:rFonts w:ascii="Calibri" w:hAnsi="Calibri" w:cs="Calibri"/>
          <w:sz w:val="22"/>
          <w:szCs w:val="22"/>
        </w:rPr>
      </w:pPr>
      <w:r w:rsidRPr="007C5442">
        <w:rPr>
          <w:rFonts w:ascii="Calibri" w:hAnsi="Calibri" w:cs="Calibri"/>
          <w:sz w:val="22"/>
          <w:szCs w:val="22"/>
        </w:rPr>
        <w:t>Establish proportionate expectations for the assessment of pupils’ media and digital literacy and for Ofsted’s evaluation of the quality and coherence of schools’ provision.</w:t>
      </w:r>
    </w:p>
    <w:p w:rsidR="00AD7D66" w:rsidRPr="007C5442" w:rsidP="004B1801">
      <w:pPr>
        <w:pStyle w:val="NormalWeb"/>
        <w:numPr>
          <w:ilvl w:val="1"/>
          <w:numId w:val="16"/>
        </w:numPr>
        <w:spacing w:after="0"/>
        <w:rPr>
          <w:rFonts w:ascii="Calibri" w:hAnsi="Calibri" w:cs="Calibri"/>
          <w:sz w:val="22"/>
          <w:szCs w:val="22"/>
        </w:rPr>
      </w:pPr>
      <w:r w:rsidRPr="007C5442">
        <w:rPr>
          <w:rFonts w:ascii="Calibri" w:hAnsi="Calibri" w:cs="Calibri"/>
          <w:sz w:val="22"/>
          <w:szCs w:val="22"/>
        </w:rPr>
        <w:t>Establish a clear cross-government delivery and accountability mechanism involving DfE, D</w:t>
      </w:r>
      <w:r w:rsidRPr="007C5442">
        <w:rPr>
          <w:rFonts w:ascii="Calibri" w:hAnsi="Calibri" w:cs="Calibri"/>
          <w:sz w:val="22"/>
          <w:szCs w:val="22"/>
        </w:rPr>
        <w:t>CMS</w:t>
      </w:r>
      <w:r w:rsidRPr="007C5442">
        <w:rPr>
          <w:rFonts w:ascii="Calibri" w:hAnsi="Calibri" w:cs="Calibri"/>
          <w:sz w:val="22"/>
          <w:szCs w:val="22"/>
        </w:rPr>
        <w:t xml:space="preserve"> and Ofcom.</w:t>
      </w:r>
      <w:r w:rsidRPr="007C5442">
        <w:rPr>
          <w:rFonts w:ascii="Calibri" w:hAnsi="Calibri" w:cs="Calibri"/>
          <w:sz w:val="22"/>
          <w:szCs w:val="22"/>
        </w:rPr>
        <w:br/>
      </w:r>
    </w:p>
    <w:p w:rsidR="00AD7D66" w:rsidRPr="007C5442" w:rsidP="00574169">
      <w:pPr>
        <w:pStyle w:val="NormalWeb"/>
        <w:numPr>
          <w:ilvl w:val="0"/>
          <w:numId w:val="16"/>
        </w:numPr>
        <w:spacing w:after="0"/>
        <w:rPr>
          <w:rFonts w:ascii="Calibri" w:hAnsi="Calibri" w:cs="Calibri"/>
          <w:i/>
          <w:iCs/>
          <w:sz w:val="22"/>
          <w:szCs w:val="22"/>
        </w:rPr>
      </w:pPr>
      <w:r w:rsidRPr="007C5442">
        <w:rPr>
          <w:rFonts w:ascii="Calibri" w:hAnsi="Calibri" w:cs="Calibri"/>
          <w:i/>
          <w:iCs/>
          <w:sz w:val="22"/>
          <w:szCs w:val="22"/>
        </w:rPr>
        <w:t>Families, inclusion and local support</w:t>
      </w:r>
    </w:p>
    <w:p w:rsidR="00AD7D66" w:rsidRPr="007C5442" w:rsidP="004A5C7E">
      <w:pPr>
        <w:pStyle w:val="NormalWeb"/>
        <w:numPr>
          <w:ilvl w:val="1"/>
          <w:numId w:val="16"/>
        </w:numPr>
        <w:spacing w:after="0"/>
        <w:rPr>
          <w:rFonts w:ascii="Calibri" w:hAnsi="Calibri" w:cs="Calibri"/>
          <w:sz w:val="22"/>
          <w:szCs w:val="22"/>
        </w:rPr>
      </w:pPr>
      <w:r w:rsidRPr="007C5442">
        <w:rPr>
          <w:rFonts w:ascii="Calibri" w:hAnsi="Calibri" w:cs="Calibri"/>
          <w:sz w:val="22"/>
          <w:szCs w:val="22"/>
        </w:rPr>
        <w:t>Provide parents and carers with practical support to develop their own media and digital literacy and support their children’s online safety and wellbeing.</w:t>
      </w:r>
    </w:p>
    <w:p w:rsidR="00AD7D66" w:rsidRPr="007C5442" w:rsidP="004A5C7E">
      <w:pPr>
        <w:pStyle w:val="NormalWeb"/>
        <w:numPr>
          <w:ilvl w:val="1"/>
          <w:numId w:val="16"/>
        </w:numPr>
        <w:spacing w:after="0"/>
        <w:rPr>
          <w:rFonts w:ascii="Calibri" w:hAnsi="Calibri" w:cs="Calibri"/>
          <w:sz w:val="22"/>
          <w:szCs w:val="22"/>
        </w:rPr>
      </w:pPr>
      <w:r w:rsidRPr="007C5442">
        <w:rPr>
          <w:rFonts w:ascii="Calibri" w:hAnsi="Calibri" w:cs="Calibri"/>
          <w:sz w:val="22"/>
          <w:szCs w:val="22"/>
        </w:rPr>
        <w:t>Make media and digital literacy an explicit part of local partnership and shared-accountability arrangements, particularly for children in care, care leavers and other groups requiring support beyond the classroom</w:t>
      </w:r>
      <w:r w:rsidRPr="007C5442">
        <w:rPr>
          <w:rFonts w:ascii="Calibri" w:hAnsi="Calibri" w:cs="Calibri"/>
          <w:sz w:val="22"/>
          <w:szCs w:val="22"/>
        </w:rPr>
        <w:t>.</w:t>
      </w:r>
    </w:p>
    <w:p w:rsidR="00AD7D66" w:rsidRPr="007C5442" w:rsidP="004A5C7E">
      <w:pPr>
        <w:pStyle w:val="NormalWeb"/>
        <w:numPr>
          <w:ilvl w:val="1"/>
          <w:numId w:val="16"/>
        </w:numPr>
        <w:spacing w:after="0"/>
        <w:rPr>
          <w:rFonts w:ascii="Calibri" w:hAnsi="Calibri" w:cs="Calibri"/>
          <w:sz w:val="22"/>
          <w:szCs w:val="22"/>
        </w:rPr>
      </w:pPr>
      <w:r w:rsidRPr="007C5442">
        <w:rPr>
          <w:rFonts w:ascii="Calibri" w:hAnsi="Calibri" w:cs="Calibri"/>
          <w:sz w:val="22"/>
          <w:szCs w:val="22"/>
        </w:rPr>
        <w:t>Identify digital inclusion and media and digital literacy provision as eligible and encouraged uses of targeted disadvantage funding.</w:t>
      </w:r>
      <w:r w:rsidRPr="007C5442">
        <w:rPr>
          <w:rFonts w:ascii="Calibri" w:hAnsi="Calibri" w:cs="Calibri"/>
          <w:sz w:val="22"/>
          <w:szCs w:val="22"/>
        </w:rPr>
        <w:br/>
      </w:r>
    </w:p>
    <w:p w:rsidR="00AD7D66" w:rsidRPr="007C5442" w:rsidP="00574169">
      <w:pPr>
        <w:pStyle w:val="Heading2"/>
        <w:numPr>
          <w:ilvl w:val="0"/>
          <w:numId w:val="16"/>
        </w:numPr>
        <w:rPr>
          <w:rFonts w:ascii="Calibri" w:hAnsi="Calibri" w:cs="Calibri"/>
          <w:sz w:val="22"/>
          <w:szCs w:val="22"/>
        </w:rPr>
      </w:pPr>
      <w:r w:rsidRPr="007C5442">
        <w:rPr>
          <w:rFonts w:ascii="Calibri" w:hAnsi="Calibri" w:cs="Calibri"/>
          <w:sz w:val="22"/>
          <w:szCs w:val="22"/>
        </w:rPr>
        <w:t>The Government’s ambition to raise attainment, including reducing the disadvantage gap.</w:t>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Internet Matters welcomes the Government’s recognition that disadvantage must be identified accurately and that resources should be directed towards the children and schools facing the greatest barriers.</w:t>
      </w:r>
      <w:r w:rsidRPr="007C5442">
        <w:rPr>
          <w:rFonts w:ascii="Calibri" w:hAnsi="Calibri" w:cs="Calibri"/>
          <w:sz w:val="22"/>
          <w:szCs w:val="22"/>
        </w:rPr>
        <w:t xml:space="preserve"> Our research indicates that media and digital literacy education is itself an area of socio-economic disadvantage.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Just</w:t>
      </w:r>
      <w:r w:rsidRPr="007C5442">
        <w:rPr>
          <w:rFonts w:ascii="Calibri" w:hAnsi="Calibri" w:cs="Calibri"/>
          <w:sz w:val="22"/>
          <w:szCs w:val="22"/>
        </w:rPr>
        <w:t xml:space="preserve"> 48% of children in households earning £10,000</w:t>
      </w:r>
      <w:r w:rsidRPr="007C5442">
        <w:rPr>
          <w:rFonts w:ascii="Calibri" w:hAnsi="Calibri" w:cs="Calibri"/>
          <w:sz w:val="22"/>
          <w:szCs w:val="22"/>
        </w:rPr>
        <w:t xml:space="preserve"> to </w:t>
      </w:r>
      <w:r w:rsidRPr="007C5442">
        <w:rPr>
          <w:rFonts w:ascii="Calibri" w:hAnsi="Calibri" w:cs="Calibri"/>
          <w:sz w:val="22"/>
          <w:szCs w:val="22"/>
        </w:rPr>
        <w:t>£</w:t>
      </w:r>
      <w:r w:rsidRPr="007C5442">
        <w:rPr>
          <w:rFonts w:ascii="Calibri" w:hAnsi="Calibri" w:cs="Calibri"/>
          <w:sz w:val="22"/>
          <w:szCs w:val="22"/>
        </w:rPr>
        <w:t xml:space="preserve">50,000 </w:t>
      </w:r>
      <w:r w:rsidRPr="007C5442">
        <w:rPr>
          <w:rFonts w:ascii="Calibri" w:hAnsi="Calibri" w:cs="Calibri"/>
          <w:sz w:val="22"/>
          <w:szCs w:val="22"/>
        </w:rPr>
        <w:t xml:space="preserve">report </w:t>
      </w:r>
      <w:r w:rsidRPr="007C5442">
        <w:rPr>
          <w:rFonts w:ascii="Calibri" w:hAnsi="Calibri" w:cs="Calibri"/>
          <w:sz w:val="22"/>
          <w:szCs w:val="22"/>
        </w:rPr>
        <w:t>hav</w:t>
      </w:r>
      <w:r w:rsidRPr="007C5442">
        <w:rPr>
          <w:rFonts w:ascii="Calibri" w:hAnsi="Calibri" w:cs="Calibri"/>
          <w:sz w:val="22"/>
          <w:szCs w:val="22"/>
        </w:rPr>
        <w:t>ing</w:t>
      </w:r>
      <w:r w:rsidRPr="007C5442">
        <w:rPr>
          <w:rFonts w:ascii="Calibri" w:hAnsi="Calibri" w:cs="Calibri"/>
          <w:sz w:val="22"/>
          <w:szCs w:val="22"/>
        </w:rPr>
        <w:t xml:space="preserve"> spoken to their school or teachers about AI in general</w:t>
      </w:r>
      <w:r w:rsidRPr="007C5442">
        <w:rPr>
          <w:rFonts w:ascii="Calibri" w:hAnsi="Calibri" w:cs="Calibri"/>
          <w:sz w:val="22"/>
          <w:szCs w:val="22"/>
        </w:rPr>
        <w:t>,</w:t>
      </w:r>
      <w:r w:rsidRPr="007C5442">
        <w:rPr>
          <w:rFonts w:ascii="Calibri" w:hAnsi="Calibri" w:cs="Calibri"/>
          <w:sz w:val="22"/>
          <w:szCs w:val="22"/>
        </w:rPr>
        <w:t xml:space="preserve"> compared to 64% in those households earning</w:t>
      </w:r>
      <w:r w:rsidRPr="007C5442">
        <w:rPr>
          <w:rFonts w:ascii="Calibri" w:hAnsi="Calibri" w:cs="Calibri"/>
          <w:sz w:val="22"/>
          <w:szCs w:val="22"/>
        </w:rPr>
        <w:t xml:space="preserve"> more than</w:t>
      </w:r>
      <w:r w:rsidRPr="007C5442">
        <w:rPr>
          <w:rFonts w:ascii="Calibri" w:hAnsi="Calibri" w:cs="Calibri"/>
          <w:sz w:val="22"/>
          <w:szCs w:val="22"/>
        </w:rPr>
        <w:t xml:space="preserve"> £50,00</w:t>
      </w:r>
      <w:r w:rsidRPr="007C5442">
        <w:rPr>
          <w:rFonts w:ascii="Calibri" w:hAnsi="Calibri" w:cs="Calibri"/>
          <w:sz w:val="22"/>
          <w:szCs w:val="22"/>
        </w:rPr>
        <w:t>0</w:t>
      </w:r>
      <w:r w:rsidRPr="007C5442">
        <w:rPr>
          <w:rFonts w:ascii="Calibri" w:hAnsi="Calibri" w:cs="Calibri"/>
          <w:sz w:val="22"/>
          <w:szCs w:val="22"/>
        </w:rPr>
        <w:t>.</w:t>
      </w:r>
      <w:r>
        <w:rPr>
          <w:rStyle w:val="FootnoteReference"/>
          <w:rFonts w:ascii="Calibri" w:hAnsi="Calibri" w:cs="Calibri"/>
          <w:sz w:val="22"/>
          <w:szCs w:val="22"/>
        </w:rPr>
        <w:footnoteReference w:id="2"/>
      </w:r>
      <w:r w:rsidRPr="007C5442">
        <w:rPr>
          <w:rFonts w:ascii="Calibri" w:hAnsi="Calibri" w:cs="Calibri"/>
          <w:sz w:val="22"/>
          <w:szCs w:val="22"/>
        </w:rPr>
        <w:t xml:space="preserve"> Similarly, children and young people from higher income households are more likely to report that their school or teacher has spoken to them about how to tell whether online news is true (66% cf. 49%).</w:t>
      </w:r>
      <w:r>
        <w:rPr>
          <w:rStyle w:val="FootnoteReference"/>
          <w:rFonts w:ascii="Calibri" w:hAnsi="Calibri" w:cs="Calibri"/>
          <w:sz w:val="22"/>
          <w:szCs w:val="22"/>
        </w:rPr>
        <w:footnoteReference w:id="3"/>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These disparities are particularly concerning because inequalities in school provision are compounded by differences in the support children receive at home. For example, nearly three-quarters of parents from the highest income brackets (72%) have spoken to their child about AI, compared to less than half (43%) of parents from the lowest income households. Parents from lower income households are also less likely to be aware of their child’s use of AI: a third (34%) of parents from lower income households a</w:t>
      </w:r>
      <w:r w:rsidRPr="007C5442">
        <w:rPr>
          <w:rFonts w:ascii="Calibri" w:hAnsi="Calibri" w:cs="Calibri"/>
          <w:sz w:val="22"/>
          <w:szCs w:val="22"/>
        </w:rPr>
        <w:t xml:space="preserve">re not sure whether their child has used a chatbot, </w:t>
      </w:r>
      <w:r w:rsidRPr="007C5442">
        <w:rPr>
          <w:rFonts w:ascii="Calibri" w:hAnsi="Calibri" w:cs="Calibri"/>
          <w:sz w:val="22"/>
          <w:szCs w:val="22"/>
        </w:rPr>
        <w:t>compared to 12% of parents from the highest income households.</w:t>
      </w:r>
      <w:r>
        <w:rPr>
          <w:rStyle w:val="FootnoteReference"/>
          <w:rFonts w:ascii="Calibri" w:hAnsi="Calibri" w:cs="Calibri"/>
          <w:sz w:val="22"/>
          <w:szCs w:val="22"/>
        </w:rPr>
        <w:footnoteReference w:id="4"/>
      </w:r>
      <w:r w:rsidRPr="007C5442">
        <w:rPr>
          <w:rFonts w:ascii="Calibri" w:hAnsi="Calibri" w:cs="Calibri"/>
          <w:sz w:val="22"/>
          <w:szCs w:val="22"/>
        </w:rPr>
        <w:t> Schools therefore have an especially important role in ensuring that children who receive less support at home are not left without the skills needed to navigate online environments safely and critically.</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However, schools’ ability to provide this education consistently is constrained by fragmented guidance, uneven access to teacher training and high-quality resources, differences in technological capacity, and insufficiently clear assessment and accountability expectations. We discuss these barriers in greater detail in the following sections.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Children from lower-income households may also face more limited access to technology itself. They are more likely to rely on shared or older devices, experience unreliable connectivity, and have fewer opportunities to receive support from digitally confident adults. These circumstances can restrict their participation in digital learning as well as shape the environments in which they encounter online risks. Disparities in access and education can therefore reinforce one another.</w:t>
      </w:r>
      <w:r>
        <w:rPr>
          <w:rStyle w:val="FootnoteReference"/>
          <w:rFonts w:ascii="Calibri" w:hAnsi="Calibri" w:cs="Calibri"/>
          <w:sz w:val="22"/>
          <w:szCs w:val="22"/>
        </w:rPr>
        <w:footnoteReference w:id="5"/>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We therefore recommend that measures to improve digital inclusion and </w:t>
      </w:r>
      <w:r w:rsidRPr="007C5442">
        <w:rPr>
          <w:rFonts w:ascii="Calibri" w:hAnsi="Calibri" w:cs="Calibri"/>
          <w:sz w:val="22"/>
          <w:szCs w:val="22"/>
        </w:rPr>
        <w:t>media</w:t>
      </w:r>
      <w:r w:rsidRPr="007C5442">
        <w:rPr>
          <w:rFonts w:ascii="Calibri" w:hAnsi="Calibri" w:cs="Calibri"/>
          <w:sz w:val="22"/>
          <w:szCs w:val="22"/>
        </w:rPr>
        <w:t xml:space="preserve"> and digital literacy provision are identified as eligible and encouraged uses of targeted disadvantage funding.</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This could include support for:</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Access to appropriate devices and reliable connectivity.</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Teacher training and CPD.</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High quality, up-to-date resources to teach media and digital literacy.</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Support for teaching in schools with limited technological capacity.</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Evidence-based media literacy interventions that can be evaluated and scaled.</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Outreach to and support for parents and carers to develop their media and digital literacy skills.</w:t>
      </w:r>
      <w:r w:rsidRPr="007C5442">
        <w:rPr>
          <w:rFonts w:ascii="Calibri" w:hAnsi="Calibri" w:cs="Calibri"/>
          <w:sz w:val="22"/>
          <w:szCs w:val="22"/>
        </w:rPr>
        <w:br/>
      </w:r>
    </w:p>
    <w:p w:rsidR="00AD7D66" w:rsidRPr="007C5442" w:rsidP="004A5C7E">
      <w:pPr>
        <w:pStyle w:val="ListParagraph"/>
        <w:numPr>
          <w:ilvl w:val="0"/>
          <w:numId w:val="16"/>
        </w:numPr>
        <w:rPr>
          <w:rFonts w:ascii="Calibri" w:hAnsi="Calibri" w:cs="Calibri"/>
          <w:sz w:val="22"/>
          <w:szCs w:val="22"/>
        </w:rPr>
      </w:pPr>
      <w:r w:rsidRPr="007C5442">
        <w:rPr>
          <w:rFonts w:ascii="Calibri" w:hAnsi="Calibri" w:cs="Calibri"/>
          <w:sz w:val="22"/>
          <w:szCs w:val="22"/>
        </w:rPr>
        <w:t>We further recommend that the Government monitor whether the delivery of the White Paper narrows or widens differences in media and digital literacy outcomes between children from different socio-economic groups.</w:t>
      </w:r>
      <w:r w:rsidRPr="007C5442">
        <w:rPr>
          <w:rFonts w:ascii="Calibri" w:hAnsi="Calibri" w:cs="Calibri"/>
          <w:sz w:val="22"/>
          <w:szCs w:val="22"/>
        </w:rPr>
        <w:br/>
      </w:r>
    </w:p>
    <w:p w:rsidR="00AD7D66" w:rsidRPr="007C5442" w:rsidP="00574169">
      <w:pPr>
        <w:pStyle w:val="Heading2"/>
        <w:numPr>
          <w:ilvl w:val="0"/>
          <w:numId w:val="16"/>
        </w:numPr>
        <w:rPr>
          <w:rFonts w:ascii="Calibri" w:hAnsi="Calibri" w:cs="Calibri"/>
          <w:sz w:val="22"/>
          <w:szCs w:val="22"/>
        </w:rPr>
      </w:pPr>
      <w:r w:rsidRPr="007C5442">
        <w:rPr>
          <w:rFonts w:ascii="Calibri" w:hAnsi="Calibri" w:cs="Calibri"/>
          <w:sz w:val="22"/>
          <w:szCs w:val="22"/>
        </w:rPr>
        <w:t xml:space="preserve">How essential skills can be more effectively integrated into the curriculum </w:t>
      </w:r>
      <w:r w:rsidRPr="007C5442">
        <w:rPr>
          <w:rFonts w:ascii="Calibri" w:hAnsi="Calibri" w:cs="Calibri"/>
          <w:sz w:val="22"/>
          <w:szCs w:val="22"/>
        </w:rPr>
        <w:t>in order to</w:t>
      </w:r>
      <w:r w:rsidRPr="007C5442">
        <w:rPr>
          <w:rFonts w:ascii="Calibri" w:hAnsi="Calibri" w:cs="Calibri"/>
          <w:sz w:val="22"/>
          <w:szCs w:val="22"/>
        </w:rPr>
        <w:t xml:space="preserve"> raise attainment and reduce the number of young people not in education, employment or training (NEET).</w:t>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 xml:space="preserve">Integrating media and digital literacy as essential skills </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The White Paper recognises that children need the knowledge and skills to participate in a society and labour market increasingly shaped by digital technologies and AI. It also commits the Government to embedding media and digital literacy across the curriculum and refers to the Post-16 Education and Skills White Paper’s objective of giving people the skills required to adapt to the digital age.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Internet Matters welcomes these steps. We believe that media and digital literacy, alongside literacy and numeracy, should be treated as an essential foundation for future life, study, work and democratic participation.</w:t>
      </w:r>
      <w:r>
        <w:rPr>
          <w:rStyle w:val="FootnoteReference"/>
          <w:rFonts w:ascii="Calibri" w:hAnsi="Calibri" w:cs="Calibri"/>
          <w:sz w:val="22"/>
          <w:szCs w:val="22"/>
        </w:rPr>
        <w:footnoteReference w:id="6"/>
      </w:r>
      <w:r w:rsidRPr="007C5442">
        <w:rPr>
          <w:rFonts w:ascii="Calibri" w:hAnsi="Calibri" w:cs="Calibri"/>
          <w:sz w:val="22"/>
          <w:szCs w:val="22"/>
        </w:rPr>
        <w:t xml:space="preserve"> Internet Matters’ ‘A Vision for Media Literacy’, published in June 2024, sets out this case in more detail.</w:t>
      </w:r>
      <w:r>
        <w:rPr>
          <w:rStyle w:val="FootnoteReference"/>
          <w:rFonts w:ascii="Calibri" w:hAnsi="Calibri" w:cs="Calibri"/>
          <w:sz w:val="22"/>
          <w:szCs w:val="22"/>
        </w:rPr>
        <w:footnoteReference w:id="7"/>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Media and digital literacy </w:t>
      </w:r>
      <w:r w:rsidRPr="007C5442">
        <w:rPr>
          <w:rFonts w:ascii="Calibri" w:hAnsi="Calibri" w:cs="Calibri"/>
          <w:sz w:val="22"/>
          <w:szCs w:val="22"/>
        </w:rPr>
        <w:t>encompasses</w:t>
      </w:r>
      <w:r w:rsidRPr="007C5442">
        <w:rPr>
          <w:rFonts w:ascii="Calibri" w:hAnsi="Calibri" w:cs="Calibri"/>
          <w:sz w:val="22"/>
          <w:szCs w:val="22"/>
        </w:rPr>
        <w:t xml:space="preserve"> the knowledge and skills young people need to evaluate information and distinguish between what is true and false online; create and share digital content responsibly and safely; and be aware of and protect themselves from the risks of being online.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Strengthening media and digital literacy is not a substitute for action on the structural causes of disadvantage or NEET status. It is, however, an increasingly important set of capabilities</w:t>
      </w:r>
      <w:r w:rsidRPr="007C5442">
        <w:rPr>
          <w:rFonts w:ascii="Calibri" w:hAnsi="Calibri" w:cs="Calibri"/>
          <w:sz w:val="22"/>
          <w:szCs w:val="22"/>
        </w:rPr>
        <w:t>: it supports young people to get the best out of online life, to use digital tools critically and independently, and to build skills that are increasingly expected by employers.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The National Foundation for Educational Research’s 2025 report, ‘The skills imperative 2035’ found that information literacy - the ability to gather, process and use information, including in a digital context - will be one of the six most important skills for employment by 2035.</w:t>
      </w:r>
      <w:r>
        <w:rPr>
          <w:rStyle w:val="FootnoteReference"/>
          <w:rFonts w:ascii="Calibri" w:hAnsi="Calibri" w:cs="Calibri"/>
          <w:sz w:val="22"/>
          <w:szCs w:val="22"/>
        </w:rPr>
        <w:footnoteReference w:id="8"/>
      </w:r>
      <w:r w:rsidRPr="007C5442">
        <w:rPr>
          <w:rFonts w:ascii="Calibri" w:hAnsi="Calibri" w:cs="Calibri"/>
          <w:sz w:val="22"/>
          <w:szCs w:val="22"/>
        </w:rPr>
        <w:t xml:space="preserve"> Similarly, the Skills England annual skills </w:t>
      </w:r>
      <w:r w:rsidRPr="007C5442">
        <w:rPr>
          <w:rFonts w:ascii="Calibri" w:hAnsi="Calibri" w:cs="Calibri"/>
          <w:sz w:val="22"/>
          <w:szCs w:val="22"/>
        </w:rPr>
        <w:t>report 2026 finds that demand for priority jobs in the digital sector will continue to grow, and that employers value digital literacy highly and look for it especially in young people starting out in the labour market.</w:t>
      </w:r>
      <w:r>
        <w:rPr>
          <w:rStyle w:val="FootnoteReference"/>
          <w:rFonts w:ascii="Calibri" w:hAnsi="Calibri" w:cs="Calibri"/>
          <w:sz w:val="22"/>
          <w:szCs w:val="22"/>
        </w:rPr>
        <w:footnoteReference w:id="9"/>
      </w:r>
      <w:r w:rsidRPr="007C5442">
        <w:rPr>
          <w:rFonts w:ascii="Calibri" w:hAnsi="Calibri" w:cs="Calibri"/>
          <w:sz w:val="22"/>
          <w:szCs w:val="22"/>
        </w:rPr>
        <w:t xml:space="preserve">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Improving curriculum delivery</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Despite its importance, media and digital literacy education remains fragmented and inconsistently delivered. It is spread across many subjects including Computing, Citizenship, English and Relationships, Sex and Health Education, alongside out-of-class sessions such as assemblies, with little coordination or sequencing between them.</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We believe that a cross-curricular approach is right. However, for it to work well, schools need clarity about who is responsible for teaching and coordinating media and digital literacy, how learning should be sequenced, and what children should know at each stage. At present, the absence of a single framework means that delivery relies heavily on the confidence, priorities </w:t>
      </w:r>
      <w:r w:rsidRPr="007C5442">
        <w:rPr>
          <w:rFonts w:ascii="Calibri" w:hAnsi="Calibri" w:cs="Calibri"/>
          <w:sz w:val="22"/>
          <w:szCs w:val="22"/>
        </w:rPr>
        <w:t>and resources of individual schools and teachers.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The White Paper addresses part of this problem through its commitment to strengthen media and digital literacy in the revised curriculum. It does not, however, fully explain how learning will be sequenced across subjects, how responsibilities will be allocated or how schools will be supported to provide coherent progression between key stages.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We therefore recommend that the Government publish a national media and digital literacy framework. This should:</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Set out clear expectations for every key stage.</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Identify where different competencies should be taught across the curriculum.</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Establish coherent sequencing between subjects and year groups.</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Support teachers to identify pupils’ starting points.</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Ensure, wherever possible, that children receive education about technologies and risks before they begin using them or experience harm.</w:t>
      </w:r>
    </w:p>
    <w:p w:rsidR="00AD7D66" w:rsidRPr="007C5442" w:rsidP="004A5C7E">
      <w:pPr>
        <w:pStyle w:val="ListParagraph"/>
        <w:numPr>
          <w:ilvl w:val="1"/>
          <w:numId w:val="16"/>
        </w:numPr>
        <w:rPr>
          <w:rFonts w:ascii="Calibri" w:hAnsi="Calibri" w:cs="Calibri"/>
          <w:sz w:val="22"/>
          <w:szCs w:val="22"/>
        </w:rPr>
      </w:pPr>
      <w:r w:rsidRPr="007C5442">
        <w:rPr>
          <w:rFonts w:ascii="Calibri" w:hAnsi="Calibri" w:cs="Calibri"/>
          <w:sz w:val="22"/>
          <w:szCs w:val="22"/>
        </w:rPr>
        <w:t>Provide a baseline for updating guidance and resources as technologies and children’s experiences change.</w:t>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Clear expectations about what should be taught, where and when must be accompanied by the training, resources and technological capacity teachers need to deliver the curriculum effectively. We discuss these requirements further in our response on workforce reforms.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Ensuring learning after Key Stage 4</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The White Paper also does not explain how media and digital literacy will be maintained after Key Stage 4 for learners who do not choose a directly relevant qualification.</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This is particularly important as the Government simplifies the post-16 qualification landscape through A Levels, T Levels, V Levels and new Level 2 pathways. The simplification of qualification routes should not result in access to essential media and digital literacy skills being reliant on a learner’s chosen subjects or pathway.</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Media and digital literacy should therefore be embedded within all major post-16 pathways. This will become even more important under the Government’s planned restrictions on under-16s’ access to certain social media services, as many young people may begin using certain social media services for the first time at 16. We recommend that the Government set out what all young people will be expected to learn about critical information literacy, artificial intelligence, data and privacy, digital participation a</w:t>
      </w:r>
      <w:r w:rsidRPr="007C5442">
        <w:rPr>
          <w:rFonts w:ascii="Calibri" w:hAnsi="Calibri" w:cs="Calibri"/>
          <w:sz w:val="22"/>
          <w:szCs w:val="22"/>
        </w:rPr>
        <w:t>nd online safety between the ages of 16 and 19.</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Assessment and oversight</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 order to</w:t>
      </w:r>
      <w:r w:rsidRPr="007C5442">
        <w:rPr>
          <w:rFonts w:ascii="Calibri" w:hAnsi="Calibri" w:cs="Calibri"/>
          <w:sz w:val="22"/>
          <w:szCs w:val="22"/>
        </w:rPr>
        <w:t xml:space="preserve"> ensure that media and digital literacy education is effectively integrated into the curriculum, it must also have assessment and oversight.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Internet Matters’ qualitative research with English primary schools, conducted in 2021, found that there was little in the way of official or formal assessment being carried out in primary schools, and some schools were conducting no assessment at all on media and digital literacy.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This creates several problems. Firstly, teachers and schools may be less able to determine pupils’ levels of media and digital literacy or identify gaps in their knowledge and skills. Secondly, areas of the curriculum that are not assessed or examined may receive less time and institutional attention. This has an impact on all levels of the school system, from what is taught in the classroom to what is prioritised in teacher training such as CPD.</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We therefore recommend that the Government establish proportionate expectations for schools to assess pupils’ media and digital literacy. Assessment should help teachers identify pupils’ starting points, monitor progression and address gaps in their knowledge and skills.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Within this, there is a role for Ofsted to play. At present, Ofsted’s Education Inspection Framework (EIF) toolkits do not assess media and digital literacy comprehensively beyond aspects related to safeguarding and severe online harms. For example, the current toolkits do not include any reference to mis- and disinformation.</w:t>
      </w:r>
      <w:r>
        <w:rPr>
          <w:rStyle w:val="FootnoteReference"/>
          <w:rFonts w:ascii="Calibri" w:hAnsi="Calibri" w:cs="Calibri"/>
          <w:sz w:val="22"/>
          <w:szCs w:val="22"/>
        </w:rPr>
        <w:footnoteReference w:id="10"/>
      </w:r>
      <w:r w:rsidRPr="007C5442">
        <w:rPr>
          <w:rFonts w:ascii="Calibri" w:hAnsi="Calibri" w:cs="Calibri"/>
          <w:sz w:val="22"/>
          <w:szCs w:val="22"/>
        </w:rPr>
        <w:t xml:space="preserve">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Updated inspection toolkits which assess schools’ efforts to develop pupils’ media and digital literacy would help keep these skills high on the agenda. Ofsted has stated that it intends to update its inspection materials annually and that its toolkits will reflect changes to DfE guidance.</w:t>
      </w:r>
      <w:r>
        <w:rPr>
          <w:rStyle w:val="FootnoteReference"/>
          <w:rFonts w:ascii="Calibri" w:hAnsi="Calibri" w:cs="Calibri"/>
          <w:sz w:val="22"/>
          <w:szCs w:val="22"/>
        </w:rPr>
        <w:footnoteReference w:id="11"/>
      </w:r>
      <w:r w:rsidRPr="007C5442">
        <w:rPr>
          <w:rFonts w:ascii="Calibri" w:hAnsi="Calibri" w:cs="Calibri"/>
          <w:sz w:val="22"/>
          <w:szCs w:val="22"/>
        </w:rPr>
        <w:t xml:space="preserve"> This provides a practical mechanism for incorporating expectations relating to media and digital literacy and keeping them up to date as technologies and children’s experiences change.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Ofsted has stated that it intends to update its education inspection materials annually and that its toolkits will reflect changes to DfE statutory and non-statutory guidance. This provides a practical mechanism through which expectations relating to media and digital literacy could be incorporated and kept up to date as technologies and children’s experiences change.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Given the pace of technological change and the evolution of online harms, inspectors will need appropriate knowledge and training to assess schools’ media and digital literacy provision effectively. We therefore recommend that Ofsted work with Ofcom to develop relevant training for inspectors.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 summary, we recommend that the Government should:</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Publish a national media and digital literacy framework with expectations for every key stage.</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Explain how media and digital literacy will be sequenced across relevant subjects.</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Embed media and digital literacy across all main post-16 pathways.</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 xml:space="preserve">Support Ofsted to evaluate schools’ delivery of media and digital literacy </w:t>
      </w:r>
      <w:r w:rsidRPr="007C5442">
        <w:rPr>
          <w:rFonts w:ascii="Calibri" w:hAnsi="Calibri" w:cs="Calibri"/>
          <w:sz w:val="22"/>
          <w:szCs w:val="22"/>
        </w:rPr>
        <w:t>education, and</w:t>
      </w:r>
      <w:r w:rsidRPr="007C5442">
        <w:rPr>
          <w:rFonts w:ascii="Calibri" w:hAnsi="Calibri" w:cs="Calibri"/>
          <w:sz w:val="22"/>
          <w:szCs w:val="22"/>
        </w:rPr>
        <w:t xml:space="preserve"> provide adequate training for inspectors.</w:t>
      </w:r>
      <w:r w:rsidRPr="007C5442">
        <w:rPr>
          <w:rFonts w:ascii="Calibri" w:hAnsi="Calibri" w:cs="Calibri"/>
          <w:sz w:val="22"/>
          <w:szCs w:val="22"/>
        </w:rPr>
        <w:br/>
      </w:r>
    </w:p>
    <w:p w:rsidR="00AD7D66" w:rsidRPr="007C5442" w:rsidP="00574169">
      <w:pPr>
        <w:pStyle w:val="Heading2"/>
        <w:numPr>
          <w:ilvl w:val="0"/>
          <w:numId w:val="16"/>
        </w:numPr>
        <w:shd w:val="clear" w:color="auto" w:fill="FFFFFF" w:themeFill="background1"/>
        <w:rPr>
          <w:rFonts w:ascii="Calibri" w:hAnsi="Calibri" w:cs="Calibri"/>
          <w:i w:val="0"/>
          <w:iCs w:val="0"/>
          <w:sz w:val="22"/>
          <w:szCs w:val="22"/>
        </w:rPr>
      </w:pPr>
      <w:r w:rsidRPr="007C5442">
        <w:rPr>
          <w:rFonts w:ascii="Calibri" w:hAnsi="Calibri" w:cs="Calibri"/>
          <w:sz w:val="22"/>
          <w:szCs w:val="22"/>
        </w:rPr>
        <w:t>The impact on local collaboration between schools and wider children’s services.</w:t>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The White Paper outlines that schools cannot meet children’s needs in isolation and proposes stronger local partnership and collective accountability between schools, trusts, local authorities, health, safeguarding and wider children’s services. Media and digital literacy should form part of this joined-up local offer, particularly for children whose needs are unlikely to be met through classroom teaching alone.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However, the White Paper does not make media and digital literacy an explicit part of its proposed local partnership and shared-accountability arrangements.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This risks leaving local authorities, trusts, schools and children’s services without clarity about who is responsible for coordinating support outside the classroom, and without impetus to do so. This is particularly significant for children in care, care leavers, children in residential settings and other groups who may need trusted, sustained and specialist interventions.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Previous research and projects conducted by Internet Matters show the benefits of collaboration across local communities and initiatives.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Internet Matters developed the Bee Smart programme, alongside Greater Manchester Combined Authority (GMCA) and researchers from the University of East Anglia. The programme developed a media literacy intervention to improve care-leavers’ media literacy skills and </w:t>
      </w:r>
      <w:r w:rsidRPr="007C5442">
        <w:rPr>
          <w:rFonts w:ascii="Calibri" w:hAnsi="Calibri" w:cs="Calibri"/>
          <w:sz w:val="22"/>
          <w:szCs w:val="22"/>
        </w:rPr>
        <w:t>knowledge, and</w:t>
      </w:r>
      <w:r w:rsidRPr="007C5442">
        <w:rPr>
          <w:rFonts w:ascii="Calibri" w:hAnsi="Calibri" w:cs="Calibri"/>
          <w:sz w:val="22"/>
          <w:szCs w:val="22"/>
        </w:rPr>
        <w:t xml:space="preserve"> tested its efficacy and scalability.</w:t>
      </w:r>
      <w:r>
        <w:rPr>
          <w:rStyle w:val="FootnoteReference"/>
          <w:rFonts w:ascii="Calibri" w:hAnsi="Calibri" w:cs="Calibri"/>
          <w:sz w:val="22"/>
          <w:szCs w:val="22"/>
        </w:rPr>
        <w:footnoteReference w:id="12"/>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We developed the intervention through focus groups and desk-based research, and then co-developed training resources, including four videos which included online safety tips and insights. Over the course of several months our Digital Champions, comprised of dedicated personal advisers, care leavers and local graduates, delivered online safety sessions in their home boroughs using the online content created by Internet Matters.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Bee Smart’s innovative peer-to-peer delivery model allowed our Digital Champions to effectively communicate key online safety topics in a relatable manner, recognising that delivery of projects is often best when it is given by local, relatable practitioners. As one care leaver explained: “Not all care leavers want to listen to professionals, whereas they’d listen to me.”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The Bee Smart evaluation found evidence of improvement in several aspects of participants’ media and digital literacy. Care leaver Digital Champions, who received at least five hours of </w:t>
      </w:r>
      <w:r w:rsidRPr="007C5442">
        <w:rPr>
          <w:rFonts w:ascii="Calibri" w:hAnsi="Calibri" w:cs="Calibri"/>
          <w:sz w:val="22"/>
          <w:szCs w:val="22"/>
        </w:rPr>
        <w:t xml:space="preserve">training and subsequently delivered sessions to others, significantly improved their scores on the programme’s Media Literacy Quiz, including compared with the control group. Digital Champions and project beneficiaries also showed significant improvements in technical and </w:t>
      </w:r>
      <w:r w:rsidRPr="007C5442">
        <w:rPr>
          <w:rFonts w:ascii="Calibri" w:hAnsi="Calibri" w:cs="Calibri"/>
          <w:sz w:val="22"/>
          <w:szCs w:val="22"/>
        </w:rPr>
        <w:t>operational digital skills from their starting points.</w:t>
      </w:r>
      <w:r>
        <w:rPr>
          <w:rStyle w:val="FootnoteReference"/>
          <w:rFonts w:ascii="Calibri" w:hAnsi="Calibri" w:cs="Calibri"/>
          <w:sz w:val="22"/>
          <w:szCs w:val="22"/>
        </w:rPr>
        <w:footnoteReference w:id="13"/>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Internet Matters’ Taking Care Online programme provides further evidence of the role that wider children’s services can play.</w:t>
      </w:r>
      <w:r>
        <w:rPr>
          <w:rStyle w:val="FootnoteReference"/>
          <w:rFonts w:ascii="Calibri" w:hAnsi="Calibri" w:cs="Calibri"/>
          <w:sz w:val="22"/>
          <w:szCs w:val="22"/>
        </w:rPr>
        <w:footnoteReference w:id="14"/>
      </w:r>
      <w:r w:rsidRPr="007C5442">
        <w:rPr>
          <w:rFonts w:ascii="Calibri" w:hAnsi="Calibri" w:cs="Calibri"/>
          <w:sz w:val="22"/>
          <w:szCs w:val="22"/>
        </w:rPr>
        <w:t xml:space="preserve"> Commissioned by Ofcom in 2024, the programme provided free, CPD-accredited media and digital literacy training to more than 150 staff working in residential children’s homes. The training equipped frontline staff with practical knowledge and skills to understand children’s relationships with technology, manage online risks, support healthy relationships around technology and develop children’s digital skills.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The majority of</w:t>
      </w:r>
      <w:r w:rsidRPr="007C5442">
        <w:rPr>
          <w:rFonts w:ascii="Calibri" w:hAnsi="Calibri" w:cs="Calibri"/>
          <w:sz w:val="22"/>
          <w:szCs w:val="22"/>
        </w:rPr>
        <w:t xml:space="preserve"> participants reported increased knowledge, skills and confidence following the training. They reported feeling more confident to support children to develop their media and digital literacy and learnt practical approaches they could implement in their settings.</w:t>
      </w:r>
      <w:r>
        <w:rPr>
          <w:rStyle w:val="FootnoteReference"/>
          <w:rFonts w:ascii="Calibri" w:hAnsi="Calibri" w:cs="Calibri"/>
          <w:sz w:val="22"/>
          <w:szCs w:val="22"/>
        </w:rPr>
        <w:footnoteReference w:id="15"/>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Taken together, Bee Smart and Taking Care Online demonstrate that effective media and digital literacy support for children in and leaving care requires more than just at-school support. Vulnerable groups, such as care leavers, benefit from tailored, trusted, local delivery models, while the professionals around them need appropriate training, practical resources and organisational support.</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We therefore recommend that the DfE should include media and digital literacy in its new local partnership and shared-accountability arrangements, particularly for children in care, care leavers and other groups whose needs cannot be met through universal classroom provision alone. Local authorities should have a clear role in convening schools, trusts, children’s services and specialist organisations, supported by sustainable funding and shared outcome measures.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 summary, we recommend that the Government should:</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Make media and digital literacy an explicit part of local partnership and shared-accountability arrangements.</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Support tailored and sustained media and digital literacy interventions for children in care, care leavers and other groups whose needs cannot be met through universal classroom provision alone.</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Equip frontline professionals with the confidence and knowledge to support children’s media and digital literacy through training, practical resources and organisational support.</w:t>
      </w:r>
    </w:p>
    <w:p w:rsidR="00AD7D66" w:rsidRPr="007C5442" w:rsidP="00574169">
      <w:pPr>
        <w:pStyle w:val="Heading2"/>
        <w:numPr>
          <w:ilvl w:val="0"/>
          <w:numId w:val="16"/>
        </w:numPr>
        <w:rPr>
          <w:rFonts w:ascii="Calibri" w:hAnsi="Calibri" w:cs="Calibri"/>
          <w:sz w:val="22"/>
          <w:szCs w:val="22"/>
        </w:rPr>
      </w:pPr>
      <w:r w:rsidRPr="007C5442">
        <w:rPr>
          <w:rFonts w:ascii="Calibri" w:hAnsi="Calibri" w:cs="Calibri"/>
          <w:sz w:val="22"/>
          <w:szCs w:val="22"/>
        </w:rPr>
        <w:t>Workforce reforms</w:t>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The White Paper outlines that high-quality teaching depends on a well-supported workforce. It acknowledges that fragmented guidance and a lack of support </w:t>
      </w:r>
      <w:r w:rsidRPr="007C5442">
        <w:rPr>
          <w:rFonts w:ascii="Calibri" w:hAnsi="Calibri" w:cs="Calibri"/>
          <w:sz w:val="22"/>
          <w:szCs w:val="22"/>
        </w:rPr>
        <w:t>makes</w:t>
      </w:r>
      <w:r w:rsidRPr="007C5442">
        <w:rPr>
          <w:rFonts w:ascii="Calibri" w:hAnsi="Calibri" w:cs="Calibri"/>
          <w:sz w:val="22"/>
          <w:szCs w:val="22"/>
        </w:rPr>
        <w:t xml:space="preserve"> teachers’ work more difficult and commits to improvements, such as creating a single, easy-to-use repository for school guidance, and making that guidance shorter, clearer and easier to use. It also proposes a digital version of the revised national curriculum that will show connections across subjects and key stages.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We welcome these commitments, which have the potential to reduce workload and improve children’s media and digital literacy education.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Alongside improved guidance, teachers and support staff need better access to resources and training. This would support effective delivery while also contributing to staff wellbeing and job satisfaction.</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Guidance</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Internet Matters research found that the guidance for teaching media and digital literacy is currently spread across at least 13 statutory and non-statutory documents, and that this is a key driver of teachers not knowing what elements of media and digital literacy to teach, where and when.</w:t>
      </w:r>
      <w:r>
        <w:rPr>
          <w:rStyle w:val="FootnoteReference"/>
          <w:rFonts w:ascii="Calibri" w:hAnsi="Calibri" w:cs="Calibri"/>
          <w:sz w:val="22"/>
          <w:szCs w:val="22"/>
        </w:rPr>
        <w:footnoteReference w:id="16"/>
      </w:r>
      <w:r w:rsidRPr="007C5442">
        <w:rPr>
          <w:rFonts w:ascii="Calibri" w:hAnsi="Calibri" w:cs="Calibri"/>
          <w:sz w:val="22"/>
          <w:szCs w:val="22"/>
        </w:rPr>
        <w:t xml:space="preserve"> This is happening because its teaching is split across many core and non-core subjects, as well as ad hoc sessions.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This is resulting in educational inconsistencies and is leading to poor sequencing between key stages and across schools, which makes teachers’ jobs harder as children often arrive in new year groups or schools with vastly different levels of media and digital literacy competencies.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We therefore recommend that the Government should publish a media and digital literacy framework, modelled on the national 'reading framework’. This could draw inspiration from pre-existing media and digital literacy frameworks, such as the UK Council for Internet Safety’s ‘Education for a Connected World – 2020 edition’, which creates a competencies framework by key stage. The media and digital literacy framework should consolidate existing guidance to clarify expectations on schools. It should also provid</w:t>
      </w:r>
      <w:r w:rsidRPr="007C5442">
        <w:rPr>
          <w:rFonts w:ascii="Calibri" w:hAnsi="Calibri" w:cs="Calibri"/>
          <w:sz w:val="22"/>
          <w:szCs w:val="22"/>
        </w:rPr>
        <w:t xml:space="preserve">e schools with an overview of research on the importance of developing strong media and digital literacy </w:t>
      </w:r>
      <w:r w:rsidRPr="007C5442">
        <w:rPr>
          <w:rFonts w:ascii="Calibri" w:hAnsi="Calibri" w:cs="Calibri"/>
          <w:sz w:val="22"/>
          <w:szCs w:val="22"/>
        </w:rPr>
        <w:t xml:space="preserve">skills, best practice approaches to teaching media and digital literacy, and advice for engaging parents on media and digital literacy. In the framework, sequencing should reflect the ages at which children are likely to encounter </w:t>
      </w:r>
      <w:r w:rsidRPr="007C5442">
        <w:rPr>
          <w:rFonts w:ascii="Calibri" w:hAnsi="Calibri" w:cs="Calibri"/>
          <w:sz w:val="22"/>
          <w:szCs w:val="22"/>
        </w:rPr>
        <w:t>particular technologies</w:t>
      </w:r>
      <w:r w:rsidRPr="007C5442">
        <w:rPr>
          <w:rFonts w:ascii="Calibri" w:hAnsi="Calibri" w:cs="Calibri"/>
          <w:sz w:val="22"/>
          <w:szCs w:val="22"/>
        </w:rPr>
        <w:t xml:space="preserve">, content and risks. Wherever possible, pupils should receive relevant education before - not only after - </w:t>
      </w:r>
      <w:r w:rsidRPr="007C5442">
        <w:rPr>
          <w:rFonts w:ascii="Calibri" w:hAnsi="Calibri" w:cs="Calibri"/>
          <w:sz w:val="22"/>
          <w:szCs w:val="22"/>
        </w:rPr>
        <w:t>they</w:t>
      </w:r>
      <w:r w:rsidRPr="007C5442">
        <w:rPr>
          <w:rFonts w:ascii="Calibri" w:hAnsi="Calibri" w:cs="Calibri"/>
          <w:sz w:val="22"/>
          <w:szCs w:val="22"/>
        </w:rPr>
        <w:t xml:space="preserve"> begin using a service or experience a form of harm.</w:t>
      </w:r>
      <w:r>
        <w:rPr>
          <w:rStyle w:val="FootnoteReference"/>
          <w:rFonts w:ascii="Calibri" w:hAnsi="Calibri" w:cs="Calibri"/>
          <w:sz w:val="22"/>
          <w:szCs w:val="22"/>
        </w:rPr>
        <w:footnoteReference w:id="17"/>
      </w:r>
      <w:r w:rsidRPr="007C5442">
        <w:rPr>
          <w:rFonts w:ascii="Calibri" w:hAnsi="Calibri" w:cs="Calibri"/>
          <w:sz w:val="22"/>
          <w:szCs w:val="22"/>
        </w:rPr>
        <w:t xml:space="preserve"> When developing the framework, DfE should work closely with the teams responsible for media literacy in DCMS and Ofcom, drawing on their expertise and the latest evidence about effective approaches to media literacy.</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Guidance should also make recommendations for technologies to use, such as AI chatbots. Children tell us that different teachers often have differing views on AI chatbot use, particularly in relation to schoolwork.</w:t>
      </w:r>
      <w:r>
        <w:rPr>
          <w:rStyle w:val="FootnoteReference"/>
          <w:rFonts w:ascii="Calibri" w:hAnsi="Calibri" w:cs="Calibri"/>
          <w:sz w:val="22"/>
          <w:szCs w:val="22"/>
        </w:rPr>
        <w:footnoteReference w:id="18"/>
      </w:r>
      <w:r w:rsidRPr="007C5442">
        <w:rPr>
          <w:rFonts w:ascii="Calibri" w:hAnsi="Calibri" w:cs="Calibri"/>
          <w:sz w:val="22"/>
          <w:szCs w:val="22"/>
        </w:rPr>
        <w:t xml:space="preserve"> This means children may receive mixed messages about when AI use is appropriate, what responsible use looks like, and how to manage risks such as inaccuracy, privacy and over-reliance – and also means that teachers are currently being left to work it out themselves.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Teachers and support staff also need clear guidance and training on their own use of AI. This should cover appropriate uses in lesson planning, resource creation and assessment, alongside risks relating to accuracy, bias, privacy, intellectual property, safeguarding and over-reliance. Without guidance, schools may develop significantly different expectations, increasing uncertainty for staff and producing inconsistent experiences for pupils and risking the reinforcement of existing inequalities in education</w:t>
      </w:r>
      <w:r w:rsidRPr="007C5442">
        <w:rPr>
          <w:rFonts w:ascii="Calibri" w:hAnsi="Calibri" w:cs="Calibri"/>
          <w:sz w:val="22"/>
          <w:szCs w:val="22"/>
        </w:rPr>
        <w:t>al outcomes.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Resources</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Our research also finds that at </w:t>
      </w:r>
      <w:r w:rsidRPr="007C5442">
        <w:rPr>
          <w:rFonts w:ascii="Calibri" w:hAnsi="Calibri" w:cs="Calibri"/>
          <w:sz w:val="22"/>
          <w:szCs w:val="22"/>
        </w:rPr>
        <w:t>present,</w:t>
      </w:r>
      <w:r w:rsidRPr="007C5442">
        <w:rPr>
          <w:rFonts w:ascii="Calibri" w:hAnsi="Calibri" w:cs="Calibri"/>
          <w:sz w:val="22"/>
          <w:szCs w:val="22"/>
        </w:rPr>
        <w:t xml:space="preserve"> many teachers do not have access to high-quality resources to teach media and digital literacy.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 interviews we conducted in 2024, teachers noted that the resources they used went out of date quickly, failing to keep pace with changes in the technology and platforms used by children.</w:t>
      </w:r>
      <w:r>
        <w:rPr>
          <w:rStyle w:val="FootnoteReference"/>
          <w:rFonts w:ascii="Calibri" w:hAnsi="Calibri" w:cs="Calibri"/>
          <w:sz w:val="22"/>
          <w:szCs w:val="22"/>
        </w:rPr>
        <w:footnoteReference w:id="19"/>
      </w:r>
      <w:r w:rsidRPr="007C5442">
        <w:rPr>
          <w:rFonts w:ascii="Calibri" w:hAnsi="Calibri" w:cs="Calibri"/>
          <w:sz w:val="22"/>
          <w:szCs w:val="22"/>
        </w:rPr>
        <w:t xml:space="preserve">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 a 2023 Internet Matters survey of teachers in English secondary schools, 21% of teachers said that lacking relevant resources was one of the biggest challenges to teaching media and digital literacy. Just 36% of teachers rated the resources they had used in the past year as good or excellent.</w:t>
      </w:r>
      <w:r>
        <w:rPr>
          <w:rStyle w:val="FootnoteReference"/>
          <w:rFonts w:ascii="Calibri" w:hAnsi="Calibri" w:cs="Calibri"/>
          <w:sz w:val="22"/>
          <w:szCs w:val="22"/>
        </w:rPr>
        <w:footnoteReference w:id="20"/>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Primary school teachers also spoke of an additional challenge in finding resources which dealt with topics and platforms which were supposedly off-limits to children, but which they knew were being accessed. Examples included adult content and WhatsApp. Resources based around the curriculum did not cover platforms such as these.</w:t>
      </w:r>
      <w:r>
        <w:rPr>
          <w:rStyle w:val="FootnoteReference"/>
          <w:rFonts w:ascii="Calibri" w:hAnsi="Calibri" w:cs="Calibri"/>
          <w:sz w:val="22"/>
          <w:szCs w:val="22"/>
        </w:rPr>
        <w:footnoteReference w:id="21"/>
      </w:r>
      <w:r w:rsidRPr="007C5442">
        <w:rPr>
          <w:rFonts w:ascii="Calibri" w:hAnsi="Calibri" w:cs="Calibri"/>
          <w:sz w:val="22"/>
          <w:szCs w:val="22"/>
        </w:rPr>
        <w:t xml:space="preserve"> This challenge is especially relevant now, given the upcoming changes to children’s access to popular social media platforms and the lack of clarity around how comprehensively this will be enforced.</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Alongside </w:t>
      </w:r>
      <w:r w:rsidRPr="007C5442">
        <w:rPr>
          <w:rFonts w:ascii="Calibri" w:hAnsi="Calibri" w:cs="Calibri"/>
          <w:sz w:val="22"/>
          <w:szCs w:val="22"/>
        </w:rPr>
        <w:t>this, and</w:t>
      </w:r>
      <w:r w:rsidRPr="007C5442">
        <w:rPr>
          <w:rFonts w:ascii="Calibri" w:hAnsi="Calibri" w:cs="Calibri"/>
          <w:sz w:val="22"/>
          <w:szCs w:val="22"/>
        </w:rPr>
        <w:t xml:space="preserve"> reflecting wider financial and resource pressures in the sector, often teachers are required to teach media and digital literacy skills in an analogue way, due to schools lacking the technological hardware to deliver teaching online. This can limit the breadth of what teachers are able to cover and prevent them from using available online </w:t>
      </w:r>
      <w:r w:rsidRPr="007C5442">
        <w:rPr>
          <w:rFonts w:ascii="Calibri" w:hAnsi="Calibri" w:cs="Calibri"/>
          <w:sz w:val="22"/>
          <w:szCs w:val="22"/>
        </w:rPr>
        <w:t xml:space="preserve">resources. Outdated or a lack of technology limits teachers’ abilities to teach media and digital literacy in a practical way: some schools do not have reliable </w:t>
      </w:r>
      <w:r w:rsidRPr="007C5442">
        <w:rPr>
          <w:rFonts w:ascii="Calibri" w:hAnsi="Calibri" w:cs="Calibri"/>
          <w:sz w:val="22"/>
          <w:szCs w:val="22"/>
        </w:rPr>
        <w:t xml:space="preserve">wi-fi, enough laptops or the capacity to afford subscriptions to EdTech platforms.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These problems are exacerbated by the limited time that teachers </w:t>
      </w:r>
      <w:r w:rsidRPr="007C5442">
        <w:rPr>
          <w:rFonts w:ascii="Calibri" w:hAnsi="Calibri" w:cs="Calibri"/>
          <w:sz w:val="22"/>
          <w:szCs w:val="22"/>
        </w:rPr>
        <w:t>have to</w:t>
      </w:r>
      <w:r w:rsidRPr="007C5442">
        <w:rPr>
          <w:rFonts w:ascii="Calibri" w:hAnsi="Calibri" w:cs="Calibri"/>
          <w:sz w:val="22"/>
          <w:szCs w:val="22"/>
        </w:rPr>
        <w:t xml:space="preserve"> research and update their teaching materials, as well as a lack of guidance for teachers to know what good quality media and digital literacy resources look like.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A notable example of the curriculum and resources not keeping pace with emerging threats and AI is explored in our October 2024 report, ‘The new face of digital abuse: Children’s experiences of nude deepfakes’.</w:t>
      </w:r>
      <w:r>
        <w:rPr>
          <w:rStyle w:val="FootnoteReference"/>
          <w:rFonts w:ascii="Calibri" w:hAnsi="Calibri" w:cs="Calibri"/>
          <w:sz w:val="22"/>
          <w:szCs w:val="22"/>
        </w:rPr>
        <w:footnoteReference w:id="22"/>
      </w:r>
      <w:r w:rsidRPr="007C5442">
        <w:rPr>
          <w:rFonts w:ascii="Calibri" w:hAnsi="Calibri" w:cs="Calibri"/>
          <w:sz w:val="22"/>
          <w:szCs w:val="22"/>
        </w:rPr>
        <w:t xml:space="preserve"> The report found that there has been a 400% annual rise in AI-generated, sexually explicit images, and that over half a million children (13%) already had experience with one, yet just 6% of children had been taught about them in school.</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Schools cannot develop children’s media and digital literacy in isolation. Our research consistently finds that parents and carers play a central role in children’s online lives.</w:t>
      </w:r>
      <w:r>
        <w:rPr>
          <w:rStyle w:val="FootnoteReference"/>
          <w:rFonts w:ascii="Calibri" w:hAnsi="Calibri" w:cs="Calibri"/>
          <w:sz w:val="22"/>
          <w:szCs w:val="22"/>
        </w:rPr>
        <w:footnoteReference w:id="23"/>
      </w:r>
      <w:r w:rsidRPr="007C5442">
        <w:rPr>
          <w:rFonts w:ascii="Calibri" w:hAnsi="Calibri" w:cs="Calibri"/>
          <w:sz w:val="22"/>
          <w:szCs w:val="22"/>
        </w:rPr>
        <w:t xml:space="preserve"> However, teachers report difficulties in engaging families and may lack suitable materials to support these conversations.</w:t>
      </w:r>
      <w:r>
        <w:rPr>
          <w:rStyle w:val="FootnoteReference"/>
          <w:rFonts w:ascii="Calibri" w:hAnsi="Calibri" w:cs="Calibri"/>
          <w:sz w:val="22"/>
          <w:szCs w:val="22"/>
        </w:rPr>
        <w:footnoteReference w:id="24"/>
      </w:r>
      <w:r w:rsidRPr="007C5442">
        <w:rPr>
          <w:rFonts w:ascii="Calibri" w:hAnsi="Calibri" w:cs="Calibri"/>
          <w:sz w:val="22"/>
          <w:szCs w:val="22"/>
        </w:rPr>
        <w:t xml:space="preserve"> Schools therefore need practical resources that can be shared with parents and used to reinforce learning at home.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To remedy this, and to improve the workplace for teachers, the DfE should create a clear, easy-to-access repository of relevant resources to teach media and digital literacy. This should be kept up to date with emerging threats and trends such that teachers are able to access resources that keep children engaged and prepare them to safely participate in changing online spaces. These resources should be developed with teachers, children and organisations with specialist expertise, including third-sector orga</w:t>
      </w:r>
      <w:r w:rsidRPr="007C5442">
        <w:rPr>
          <w:rFonts w:ascii="Calibri" w:hAnsi="Calibri" w:cs="Calibri"/>
          <w:sz w:val="22"/>
          <w:szCs w:val="22"/>
        </w:rPr>
        <w:t xml:space="preserve">nisations, to ensure they reflect emerging technologies, trends and harms. They should include resources that can be delivered with and actively reinforced by parents. Additionally, there should be options for teachers who, due to a lack of resources, are required to teach media and digital literacy through non-digital or semi-digital (e.g. with shared laptops or limited access to the internet) environments.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This repository could be delivered through an expansion of Oak National Academy’s current offering, could sit within the planned single home for guidance that the White Paper outlines, or could be set up as an entirely new repository.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Teacher training</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We also know that many teachers suffer from a lack of training. According to interviews we conducted in 2021, nearly 1 in 3 teachers (30%) cited a lack of relevant training as a barrier to effective online safety education and over half of teachers indicated that there was at least one </w:t>
      </w:r>
      <w:r w:rsidRPr="007C5442">
        <w:rPr>
          <w:rFonts w:ascii="Calibri" w:hAnsi="Calibri" w:cs="Calibri"/>
          <w:sz w:val="22"/>
          <w:szCs w:val="22"/>
        </w:rPr>
        <w:t xml:space="preserve">area of online </w:t>
      </w:r>
      <w:r w:rsidRPr="007C5442">
        <w:rPr>
          <w:rFonts w:ascii="Calibri" w:hAnsi="Calibri" w:cs="Calibri"/>
          <w:sz w:val="22"/>
          <w:szCs w:val="22"/>
        </w:rPr>
        <w:t>safety</w:t>
      </w:r>
      <w:r w:rsidRPr="007C5442">
        <w:rPr>
          <w:rFonts w:ascii="Calibri" w:hAnsi="Calibri" w:cs="Calibri"/>
          <w:sz w:val="22"/>
          <w:szCs w:val="22"/>
        </w:rPr>
        <w:t xml:space="preserve"> they felt less confident on.</w:t>
      </w:r>
      <w:r>
        <w:rPr>
          <w:rStyle w:val="FootnoteReference"/>
          <w:rFonts w:ascii="Calibri" w:hAnsi="Calibri" w:cs="Calibri"/>
          <w:sz w:val="22"/>
          <w:szCs w:val="22"/>
        </w:rPr>
        <w:footnoteReference w:id="25"/>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This is perhaps unsurprising, as at present media and digital literacy is not delivered as a standard part of initial teacher training (ITT).</w:t>
      </w:r>
      <w:r>
        <w:rPr>
          <w:rStyle w:val="FootnoteReference"/>
          <w:rFonts w:ascii="Calibri" w:hAnsi="Calibri" w:cs="Calibri"/>
          <w:sz w:val="22"/>
          <w:szCs w:val="22"/>
        </w:rPr>
        <w:footnoteReference w:id="26"/>
      </w:r>
      <w:r w:rsidRPr="007C5442">
        <w:rPr>
          <w:rFonts w:ascii="Calibri" w:hAnsi="Calibri" w:cs="Calibri"/>
          <w:sz w:val="22"/>
          <w:szCs w:val="22"/>
        </w:rPr>
        <w:t xml:space="preserve"> While those training on subjects more closely linked to media and digital literacy including Computing, English, Media Studies and Citizenship will likely cover some of the competencies, outside of these subjects there is little emphasis on media and digital literacy.</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Currently, media and digital literacy training for teachers is primarily delivered through CPD. While CPD is vital for keeping skills relevant and for building confidence and greater understanding of subject areas, there are challenges in relying on CPD as the primary mode of delivery for training.</w:t>
      </w:r>
      <w:r>
        <w:rPr>
          <w:rStyle w:val="FootnoteReference"/>
          <w:rFonts w:ascii="Calibri" w:hAnsi="Calibri" w:cs="Calibri"/>
          <w:sz w:val="22"/>
          <w:szCs w:val="22"/>
        </w:rPr>
        <w:footnoteReference w:id="27"/>
      </w:r>
      <w:r w:rsidRPr="007C5442">
        <w:rPr>
          <w:rFonts w:ascii="Calibri" w:hAnsi="Calibri" w:cs="Calibri"/>
          <w:sz w:val="22"/>
          <w:szCs w:val="22"/>
        </w:rPr>
        <w:t xml:space="preserve"> Choices around CPD are often determined by what a school’s senior leadership team decides to invest time and resource in, or what funding is available. Our research suggests that while some schools do ensure media and digital literacy is included as part of compulsory CPD, this is not the case for many. Furthermore, many schools incorporate media and digital literacy training with safeguarding training, limiting the scope of what is covered.</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We recommend that foundational media and digital literacy is incorporated into all ITT and explicitly included within TTE. CPD should enable teachers to keep pace with emerging technologies and harms. Support staff who are often expected to support in-classroom delivery of lessons, such as teaching assistants, librarians, pastoral staff, careers staff and designated safeguarding leads, should also be given access to this training.</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Conclusion</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Fragmented guidance and outdated resources increase workload because teachers must locate, assess, adapt and update material themselves. Inconsistent expectations also make curriculum sequencing and collaboration between teachers and schools more difficult.</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Following the findings of the Curriculum and Assessment Review, the Government has committed to embedding media and digital literacy into the Curriculum, through expanding digital literacy education in the Computing curriculum and better integrating media and digital literacy into subjects such as Citizenship, which will now be mandatory from primary school onwards. Without the guidance, training and resources outlined above, there is a risk that the revised curriculum will place additional expectations on </w:t>
      </w:r>
      <w:r w:rsidRPr="007C5442">
        <w:rPr>
          <w:rFonts w:ascii="Calibri" w:hAnsi="Calibri" w:cs="Calibri"/>
          <w:sz w:val="22"/>
          <w:szCs w:val="22"/>
        </w:rPr>
        <w:t>an already stretched workforce.</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Clearer guidance, comprehensive training and better access to resources will save teachers the significant time and effort that is currently required to upskill themselves and self-source relevant and engaging resources. It will enable them to be more confident when teaching </w:t>
      </w:r>
      <w:r w:rsidRPr="007C5442">
        <w:rPr>
          <w:rFonts w:ascii="Calibri" w:hAnsi="Calibri" w:cs="Calibri"/>
          <w:sz w:val="22"/>
          <w:szCs w:val="22"/>
        </w:rPr>
        <w:t>media and digital literacy.</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In summary, we recommend that the Government should:</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Publish a national media and digital literacy framework that consolidates existing guidance and clarifies what should be taught, where and at each stage.</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Ensure that the framework is regularly updated to reflect changes in technologies, platforms, risks and children’s experiences.</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Provide schools with a central repository of high quality, regularly updated teaching resources, including materials suitable for non-digital and limited-device classroom environments.</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Incorporate foundational media, digital and AI literacy into all ITT and TTE.</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Provide CPD that enables teachers and relevant support staff to keep pace with emerging technologies and harms.</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Give teachers and support staff clear guidance on the appropriate, critical and safe use of AI in their own professional practice.</w:t>
      </w:r>
    </w:p>
    <w:p w:rsidR="00AD7D66" w:rsidRPr="007C5442" w:rsidP="004A5C7E">
      <w:pPr>
        <w:numPr>
          <w:ilvl w:val="1"/>
          <w:numId w:val="16"/>
        </w:numPr>
        <w:rPr>
          <w:rFonts w:ascii="Calibri" w:hAnsi="Calibri" w:cs="Calibri"/>
          <w:sz w:val="22"/>
          <w:szCs w:val="22"/>
        </w:rPr>
      </w:pPr>
      <w:r w:rsidRPr="007C5442">
        <w:rPr>
          <w:rFonts w:ascii="Calibri" w:hAnsi="Calibri" w:cs="Calibri"/>
          <w:sz w:val="22"/>
          <w:szCs w:val="22"/>
        </w:rPr>
        <w:t>Provide practical resources that schools can use to support parents and carers, reducing the expectation that teachers manage children’s digital lives alone.</w:t>
      </w:r>
    </w:p>
    <w:p w:rsidR="00AD7D66" w:rsidRPr="007C5442" w:rsidP="00574169">
      <w:pPr>
        <w:pStyle w:val="Heading2"/>
        <w:numPr>
          <w:ilvl w:val="0"/>
          <w:numId w:val="16"/>
        </w:numPr>
        <w:shd w:val="clear" w:color="auto" w:fill="FFFFFF" w:themeFill="background1"/>
        <w:rPr>
          <w:rFonts w:ascii="Calibri" w:hAnsi="Calibri" w:cs="Calibri"/>
          <w:i w:val="0"/>
          <w:iCs w:val="0"/>
          <w:sz w:val="22"/>
          <w:szCs w:val="22"/>
        </w:rPr>
      </w:pPr>
      <w:r w:rsidRPr="007C5442">
        <w:rPr>
          <w:rFonts w:ascii="Calibri" w:hAnsi="Calibri" w:cs="Calibri"/>
          <w:sz w:val="22"/>
          <w:szCs w:val="22"/>
        </w:rPr>
        <w:t xml:space="preserve">How the reforms set out in the White Paper align with other Government policies affecting children and young people, including the National Youth Strategy and proposals to extend voting rights to 16 and 17-year-olds. </w:t>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The reforms set out in the White Paper aim to modernise England’s education system </w:t>
      </w:r>
      <w:r w:rsidRPr="007C5442">
        <w:rPr>
          <w:rFonts w:ascii="Calibri" w:hAnsi="Calibri" w:cs="Calibri"/>
          <w:sz w:val="22"/>
          <w:szCs w:val="22"/>
        </w:rPr>
        <w:t>in order to</w:t>
      </w:r>
      <w:r w:rsidRPr="007C5442">
        <w:rPr>
          <w:rFonts w:ascii="Calibri" w:hAnsi="Calibri" w:cs="Calibri"/>
          <w:sz w:val="22"/>
          <w:szCs w:val="22"/>
        </w:rPr>
        <w:t xml:space="preserve"> ensure that every child is set up to achieve and thrive. </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However, the White Paper does not explicitly outline or make clear how DfE’s educational reforms will be coordinated with wider government work, including DCMS’s responsibility for media literacy policy, Ofcom’s statutory media literacy functions, the Government’s proposals to extend voting rights to 16- and 17-year-olds, and wider changes affecting children’s access to online services.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i/>
          <w:iCs/>
          <w:sz w:val="22"/>
          <w:szCs w:val="22"/>
        </w:rPr>
      </w:pPr>
      <w:r w:rsidRPr="007C5442">
        <w:rPr>
          <w:rFonts w:ascii="Calibri" w:hAnsi="Calibri" w:cs="Calibri"/>
          <w:i/>
          <w:iCs/>
          <w:sz w:val="22"/>
          <w:szCs w:val="22"/>
        </w:rPr>
        <w:t>Votes at 16</w:t>
      </w:r>
      <w:r w:rsidRPr="007C5442">
        <w:rPr>
          <w:rFonts w:ascii="Calibri" w:hAnsi="Calibri" w:cs="Calibri"/>
          <w:i/>
          <w:iCs/>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The National Youth Strategy identifies ensuring young people have the information and support required to participate in democratic life as a cross-government responsibility.</w:t>
      </w:r>
      <w:r>
        <w:rPr>
          <w:rStyle w:val="FootnoteReference"/>
          <w:rFonts w:ascii="Calibri" w:hAnsi="Calibri" w:cs="Calibri"/>
          <w:sz w:val="22"/>
          <w:szCs w:val="22"/>
        </w:rPr>
        <w:footnoteReference w:id="28"/>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 xml:space="preserve">While the White Paper strengthens Citizenship education and civic engagement, it does not explain how these reforms will be coordinated or sequenced with the proposal to extend voting </w:t>
      </w:r>
      <w:r w:rsidRPr="007C5442">
        <w:rPr>
          <w:rFonts w:ascii="Calibri" w:hAnsi="Calibri" w:cs="Calibri"/>
          <w:sz w:val="22"/>
          <w:szCs w:val="22"/>
        </w:rPr>
        <w:t>rights to 16- and 17-year-olds.</w:t>
      </w:r>
      <w:r w:rsidRPr="007C5442">
        <w:rPr>
          <w:rFonts w:ascii="Calibri" w:hAnsi="Calibri" w:cs="Calibri"/>
          <w:sz w:val="22"/>
          <w:szCs w:val="22"/>
        </w:rPr>
        <w:br/>
      </w:r>
    </w:p>
    <w:p w:rsidR="00AD7D66" w:rsidRPr="007C5442" w:rsidP="00574169">
      <w:pPr>
        <w:pStyle w:val="ListParagraph"/>
        <w:numPr>
          <w:ilvl w:val="0"/>
          <w:numId w:val="16"/>
        </w:numPr>
        <w:rPr>
          <w:rFonts w:ascii="Calibri" w:hAnsi="Calibri" w:cs="Calibri"/>
          <w:sz w:val="22"/>
          <w:szCs w:val="22"/>
        </w:rPr>
      </w:pPr>
      <w:r w:rsidRPr="007C5442">
        <w:rPr>
          <w:rFonts w:ascii="Calibri" w:hAnsi="Calibri" w:cs="Calibri"/>
          <w:sz w:val="22"/>
          <w:szCs w:val="22"/>
        </w:rPr>
        <w:t>This is particularly concerning given that the positive reforms to the curriculum to support democratic engagement, such as the teaching of Citizenship from primary school onwards, will not come into effect until 2028. Depending on the electoral timetable, newly enfranchised young people will likely be eligible to vote before the strengthened curriculum has been taught.</w:t>
      </w:r>
      <w:r w:rsidRPr="007C5442">
        <w:rPr>
          <w:rFonts w:ascii="Calibri" w:hAnsi="Calibri" w:cs="Calibri"/>
          <w:sz w:val="22"/>
          <w:szCs w:val="22"/>
        </w:rPr>
        <w:br/>
      </w:r>
    </w:p>
    <w:p w:rsidR="00AD7D66" w:rsidRPr="007C5442" w:rsidP="00EE039C">
      <w:pPr>
        <w:pStyle w:val="ListParagraph"/>
        <w:numPr>
          <w:ilvl w:val="0"/>
          <w:numId w:val="16"/>
        </w:numPr>
        <w:rPr>
          <w:rFonts w:ascii="Calibri" w:hAnsi="Calibri" w:cs="Calibri"/>
          <w:sz w:val="22"/>
          <w:szCs w:val="22"/>
        </w:rPr>
      </w:pPr>
      <w:r w:rsidRPr="007C5442">
        <w:rPr>
          <w:rFonts w:ascii="Calibri" w:hAnsi="Calibri" w:cs="Calibri"/>
          <w:sz w:val="22"/>
          <w:szCs w:val="22"/>
        </w:rPr>
        <w:t>Recent Internet Matters research shows why media and digital literacy is a critical aspect of preparing young people to vote. We found that 78% of young people had encountered political or current-affairs information online.</w:t>
      </w:r>
      <w:r>
        <w:rPr>
          <w:rStyle w:val="FootnoteReference"/>
          <w:rFonts w:ascii="Calibri" w:hAnsi="Calibri" w:cs="Calibri"/>
          <w:sz w:val="22"/>
          <w:szCs w:val="22"/>
        </w:rPr>
        <w:footnoteReference w:id="29"/>
      </w:r>
      <w:r w:rsidRPr="007C5442">
        <w:rPr>
          <w:rFonts w:ascii="Calibri" w:hAnsi="Calibri" w:cs="Calibri"/>
          <w:sz w:val="22"/>
          <w:szCs w:val="22"/>
        </w:rPr>
        <w:t xml:space="preserve"> </w:t>
      </w:r>
      <w:r w:rsidRPr="007C5442">
        <w:rPr>
          <w:rFonts w:ascii="Calibri" w:hAnsi="Calibri" w:cs="Calibri"/>
          <w:sz w:val="22"/>
          <w:szCs w:val="22"/>
        </w:rPr>
        <w:t>However, only 53% of these young people felt confident distinguishing true from false political information, while more than 60% said they tend to ignore politicians and political parties because they do not know whether to trust them. Overall, 75% of young people thought schools should do more to teach evaluation of political information.</w:t>
      </w:r>
      <w:r>
        <w:rPr>
          <w:rStyle w:val="FootnoteReference"/>
          <w:rFonts w:ascii="Calibri" w:hAnsi="Calibri" w:cs="Calibri"/>
          <w:sz w:val="22"/>
          <w:szCs w:val="22"/>
        </w:rPr>
        <w:footnoteReference w:id="30"/>
      </w:r>
      <w:r w:rsidRPr="007C5442">
        <w:rPr>
          <w:rFonts w:ascii="Calibri" w:hAnsi="Calibri" w:cs="Calibri"/>
          <w:sz w:val="22"/>
          <w:szCs w:val="22"/>
        </w:rPr>
        <w:br/>
      </w: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 xml:space="preserve">We therefore recommend that the DfE urgently outline how it will prepare young voters ahead of the 2028 curriculum reform. </w:t>
      </w:r>
      <w:r w:rsidRPr="007C5442">
        <w:rPr>
          <w:rFonts w:ascii="Calibri" w:hAnsi="Calibri" w:cs="Calibri"/>
          <w:sz w:val="22"/>
          <w:szCs w:val="22"/>
        </w:rPr>
        <w:br/>
      </w: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Future curriculum updates</w:t>
      </w:r>
    </w:p>
    <w:p w:rsidR="00AD7D66" w:rsidRPr="007C5442" w:rsidP="000B23A9">
      <w:pPr>
        <w:pStyle w:val="ListParagraph"/>
        <w:rPr>
          <w:rFonts w:ascii="Calibri" w:hAnsi="Calibri" w:cs="Calibri"/>
          <w:sz w:val="22"/>
          <w:szCs w:val="22"/>
        </w:rPr>
      </w:pP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 xml:space="preserve">Although the White Paper includes cross-government collaboration in areas such as AI, health and children’s services, it does not set out how the DfE will coordinate with the departments and regulator responsible for wider media literacy policy. Responsibility for the Government’s media literacy work previously sat principally with DSIT and </w:t>
      </w:r>
      <w:r w:rsidRPr="007C5442">
        <w:rPr>
          <w:rFonts w:ascii="Calibri" w:hAnsi="Calibri" w:cs="Calibri"/>
          <w:sz w:val="22"/>
          <w:szCs w:val="22"/>
        </w:rPr>
        <w:t xml:space="preserve">has </w:t>
      </w:r>
      <w:r w:rsidRPr="007C5442">
        <w:rPr>
          <w:rFonts w:ascii="Calibri" w:hAnsi="Calibri" w:cs="Calibri"/>
          <w:sz w:val="22"/>
          <w:szCs w:val="22"/>
        </w:rPr>
        <w:t>transferred to DCMS following the July 2026 changes. DfE should work with DCMS and Ofcom to ensure that the curriculum, teacher training and teaching resources remain up to date with emerging technologies and the risks present in children’s online lives. Additionally, Ofcom’s statutory media literacy functions and its role as the online safety regulator give it significant evidence and expertise that could strengthen DfE’s delivery.</w:t>
      </w:r>
      <w:r w:rsidRPr="007C5442">
        <w:rPr>
          <w:rFonts w:ascii="Calibri" w:hAnsi="Calibri" w:cs="Calibri"/>
          <w:sz w:val="22"/>
          <w:szCs w:val="22"/>
        </w:rPr>
        <w:br/>
      </w: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Furthermore, the Government’s announced changes to children’s access to social</w:t>
      </w:r>
      <w:r w:rsidRPr="007C5442">
        <w:rPr>
          <w:rFonts w:ascii="Calibri" w:hAnsi="Calibri" w:cs="Calibri"/>
          <w:sz w:val="22"/>
          <w:szCs w:val="22"/>
        </w:rPr>
        <w:t xml:space="preserve"> </w:t>
      </w:r>
      <w:r w:rsidRPr="007C5442">
        <w:rPr>
          <w:rFonts w:ascii="Calibri" w:hAnsi="Calibri" w:cs="Calibri"/>
          <w:sz w:val="22"/>
          <w:szCs w:val="22"/>
        </w:rPr>
        <w:t>media services and functionalit</w:t>
      </w:r>
      <w:r w:rsidRPr="007C5442">
        <w:rPr>
          <w:rFonts w:ascii="Calibri" w:hAnsi="Calibri" w:cs="Calibri"/>
          <w:sz w:val="22"/>
          <w:szCs w:val="22"/>
        </w:rPr>
        <w:t>ies</w:t>
      </w:r>
      <w:r w:rsidRPr="007C5442">
        <w:rPr>
          <w:rFonts w:ascii="Calibri" w:hAnsi="Calibri" w:cs="Calibri"/>
          <w:sz w:val="22"/>
          <w:szCs w:val="22"/>
        </w:rPr>
        <w:t xml:space="preserve"> will materially alter the environments in which young people communicate, encounter information and experience online risks. The</w:t>
      </w:r>
      <w:r w:rsidRPr="007C5442">
        <w:rPr>
          <w:rFonts w:ascii="Calibri" w:hAnsi="Calibri" w:cs="Calibri"/>
          <w:sz w:val="22"/>
          <w:szCs w:val="22"/>
        </w:rPr>
        <w:t xml:space="preserve"> planned</w:t>
      </w:r>
      <w:r w:rsidRPr="007C5442">
        <w:rPr>
          <w:rFonts w:ascii="Calibri" w:hAnsi="Calibri" w:cs="Calibri"/>
          <w:sz w:val="22"/>
          <w:szCs w:val="22"/>
        </w:rPr>
        <w:t xml:space="preserve"> restrictions on access for under-16s are expected to take effect from spring 2027, alongside further protections affecting features available to older teenagers.</w:t>
      </w:r>
      <w:r w:rsidRPr="007C5442">
        <w:rPr>
          <w:rFonts w:ascii="Calibri" w:hAnsi="Calibri" w:cs="Calibri"/>
          <w:sz w:val="22"/>
          <w:szCs w:val="22"/>
        </w:rPr>
        <w:br/>
      </w: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These measures may also change where children spend time online, including possible movement towards messaging services, gaming environments, forums and emerging platforms. DfE should therefore work with </w:t>
      </w:r>
      <w:r w:rsidRPr="007C5442">
        <w:rPr>
          <w:rFonts w:ascii="Calibri" w:hAnsi="Calibri" w:cs="Calibri"/>
          <w:sz w:val="22"/>
          <w:szCs w:val="22"/>
        </w:rPr>
        <w:t>DCMS</w:t>
      </w:r>
      <w:r w:rsidRPr="007C5442">
        <w:rPr>
          <w:rFonts w:ascii="Calibri" w:hAnsi="Calibri" w:cs="Calibri"/>
          <w:sz w:val="22"/>
          <w:szCs w:val="22"/>
        </w:rPr>
        <w:t xml:space="preserve"> and Ofcom on an ongoing basis to monitor changes in children’s behaviour and ensure that curriculum content, school guidance and teaching </w:t>
      </w:r>
      <w:r w:rsidRPr="007C5442">
        <w:rPr>
          <w:rFonts w:ascii="Calibri" w:hAnsi="Calibri" w:cs="Calibri"/>
          <w:sz w:val="22"/>
          <w:szCs w:val="22"/>
        </w:rPr>
        <w:t>resources remain relevant.</w:t>
      </w:r>
      <w:r w:rsidRPr="007C5442">
        <w:rPr>
          <w:rFonts w:ascii="Calibri" w:hAnsi="Calibri" w:cs="Calibri"/>
          <w:sz w:val="22"/>
          <w:szCs w:val="22"/>
        </w:rPr>
        <w:br/>
      </w: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This </w:t>
      </w:r>
      <w:r w:rsidRPr="007C5442">
        <w:rPr>
          <w:rFonts w:ascii="Calibri" w:hAnsi="Calibri" w:cs="Calibri"/>
          <w:sz w:val="22"/>
          <w:szCs w:val="22"/>
        </w:rPr>
        <w:t>coord</w:t>
      </w:r>
      <w:r w:rsidRPr="007C5442">
        <w:rPr>
          <w:rFonts w:ascii="Calibri" w:hAnsi="Calibri" w:cs="Calibri"/>
          <w:sz w:val="22"/>
          <w:szCs w:val="22"/>
        </w:rPr>
        <w:t>ination should continue after the programmes of study have been finalised. A periodically updated media and digital literacy framework and resource collection would allow teaching to respond to changes in technologies and children’s online experiences without requiring the statutory curriculum itself to be repeatedly rewritten.</w:t>
      </w:r>
      <w:r w:rsidRPr="007C5442">
        <w:rPr>
          <w:rFonts w:ascii="Calibri" w:hAnsi="Calibri" w:cs="Calibri"/>
          <w:sz w:val="22"/>
          <w:szCs w:val="22"/>
        </w:rPr>
        <w:br/>
      </w: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Finally, both the NYS and White Paper acknowledge the importance of supporting parents and carers to develop their own media and digital literacy. Our research consistently finds that parents, carers and other trusted adults play a central role in children’s online lives. However, teachers can struggle to engage families and may lack suitable materials to support these conversations</w:t>
      </w:r>
      <w:r w:rsidRPr="007C5442">
        <w:rPr>
          <w:rFonts w:ascii="Calibri" w:hAnsi="Calibri" w:cs="Calibri"/>
          <w:sz w:val="22"/>
          <w:szCs w:val="22"/>
        </w:rPr>
        <w:t>. The Government’s local partnership arrangements and national resource offer should therefore include practical, accessible support that schools and wider children’s services can share with families</w:t>
      </w:r>
      <w:r w:rsidRPr="007C5442">
        <w:rPr>
          <w:rFonts w:ascii="Calibri" w:hAnsi="Calibri" w:cs="Calibri"/>
          <w:sz w:val="22"/>
          <w:szCs w:val="22"/>
        </w:rPr>
        <w:t>.</w:t>
      </w:r>
      <w:r w:rsidRPr="007C5442">
        <w:rPr>
          <w:rFonts w:ascii="Calibri" w:hAnsi="Calibri" w:cs="Calibri"/>
          <w:sz w:val="22"/>
          <w:szCs w:val="22"/>
        </w:rPr>
        <w:br/>
      </w:r>
    </w:p>
    <w:p w:rsidR="00AD7D66" w:rsidRPr="007C5442" w:rsidP="00CF19BA">
      <w:pPr>
        <w:pStyle w:val="ListParagraph"/>
        <w:numPr>
          <w:ilvl w:val="0"/>
          <w:numId w:val="16"/>
        </w:numPr>
        <w:rPr>
          <w:rFonts w:ascii="Calibri" w:hAnsi="Calibri" w:cs="Calibri"/>
          <w:sz w:val="22"/>
          <w:szCs w:val="22"/>
        </w:rPr>
      </w:pPr>
      <w:r w:rsidRPr="007C5442">
        <w:rPr>
          <w:rFonts w:ascii="Calibri" w:hAnsi="Calibri" w:cs="Calibri"/>
          <w:sz w:val="22"/>
          <w:szCs w:val="22"/>
        </w:rPr>
        <w:t xml:space="preserve">The White Paper’s commitment to strengthen media and digital literacy is welcome, but curriculum reform alone will not guarantee consistently high-quality education. </w:t>
      </w:r>
      <w:r w:rsidRPr="007C5442">
        <w:rPr>
          <w:rFonts w:ascii="Calibri" w:hAnsi="Calibri" w:cs="Calibri"/>
          <w:sz w:val="22"/>
          <w:szCs w:val="22"/>
        </w:rPr>
        <w:t>Successful d</w:t>
      </w:r>
      <w:r w:rsidRPr="007C5442">
        <w:rPr>
          <w:rFonts w:ascii="Calibri" w:hAnsi="Calibri" w:cs="Calibri"/>
          <w:sz w:val="22"/>
          <w:szCs w:val="22"/>
        </w:rPr>
        <w:t xml:space="preserve">elivery will depend on a national framework, </w:t>
      </w:r>
      <w:r w:rsidRPr="007C5442">
        <w:rPr>
          <w:rFonts w:ascii="Calibri" w:hAnsi="Calibri" w:cs="Calibri"/>
          <w:sz w:val="22"/>
          <w:szCs w:val="22"/>
        </w:rPr>
        <w:t>well-</w:t>
      </w:r>
      <w:r w:rsidRPr="007C5442">
        <w:rPr>
          <w:rFonts w:ascii="Calibri" w:hAnsi="Calibri" w:cs="Calibri"/>
          <w:sz w:val="22"/>
          <w:szCs w:val="22"/>
        </w:rPr>
        <w:t xml:space="preserve">trained staff, </w:t>
      </w:r>
      <w:r w:rsidRPr="007C5442">
        <w:rPr>
          <w:rFonts w:ascii="Calibri" w:hAnsi="Calibri" w:cs="Calibri"/>
          <w:sz w:val="22"/>
          <w:szCs w:val="22"/>
        </w:rPr>
        <w:t xml:space="preserve">high-quality </w:t>
      </w:r>
      <w:r w:rsidRPr="007C5442">
        <w:rPr>
          <w:rFonts w:ascii="Calibri" w:hAnsi="Calibri" w:cs="Calibri"/>
          <w:sz w:val="22"/>
          <w:szCs w:val="22"/>
        </w:rPr>
        <w:t>resources, assessment</w:t>
      </w:r>
      <w:r w:rsidRPr="007C5442">
        <w:rPr>
          <w:rFonts w:ascii="Calibri" w:hAnsi="Calibri" w:cs="Calibri"/>
          <w:sz w:val="22"/>
          <w:szCs w:val="22"/>
        </w:rPr>
        <w:t xml:space="preserve"> and oversight</w:t>
      </w:r>
      <w:r w:rsidRPr="007C5442">
        <w:rPr>
          <w:rFonts w:ascii="Calibri" w:hAnsi="Calibri" w:cs="Calibri"/>
          <w:sz w:val="22"/>
          <w:szCs w:val="22"/>
        </w:rPr>
        <w:t xml:space="preserve">, strong local partnerships, continued post-16 provision and clear cross-government accountability. Without </w:t>
      </w:r>
      <w:r w:rsidRPr="007C5442">
        <w:rPr>
          <w:rFonts w:ascii="Calibri" w:hAnsi="Calibri" w:cs="Calibri"/>
          <w:sz w:val="22"/>
          <w:szCs w:val="22"/>
        </w:rPr>
        <w:t>these elements</w:t>
      </w:r>
      <w:r w:rsidRPr="007C5442">
        <w:rPr>
          <w:rFonts w:ascii="Calibri" w:hAnsi="Calibri" w:cs="Calibri"/>
          <w:sz w:val="22"/>
          <w:szCs w:val="22"/>
        </w:rPr>
        <w:t>, provision will remain dependent on the capacity and priorities of individual schools, risking the continuation of the inequalities the White Paper seeks to reduce.</w:t>
      </w:r>
      <w:r w:rsidRPr="007C5442">
        <w:rPr>
          <w:rFonts w:ascii="Calibri" w:hAnsi="Calibri" w:cs="Calibri"/>
          <w:sz w:val="22"/>
          <w:szCs w:val="22"/>
        </w:rPr>
        <w:br/>
      </w:r>
    </w:p>
    <w:p w:rsidR="00AD7D66" w:rsidRPr="007C5442" w:rsidP="0093055F">
      <w:pPr>
        <w:pStyle w:val="ListParagraph"/>
        <w:numPr>
          <w:ilvl w:val="0"/>
          <w:numId w:val="16"/>
        </w:numPr>
        <w:rPr>
          <w:rFonts w:ascii="Calibri" w:hAnsi="Calibri" w:cs="Calibri"/>
          <w:sz w:val="22"/>
          <w:szCs w:val="22"/>
        </w:rPr>
      </w:pPr>
      <w:r w:rsidRPr="007C5442">
        <w:rPr>
          <w:rFonts w:ascii="Calibri" w:hAnsi="Calibri" w:cs="Calibri"/>
          <w:sz w:val="22"/>
          <w:szCs w:val="22"/>
        </w:rPr>
        <w:t>In summary, we recommend that the Government should:</w:t>
      </w:r>
    </w:p>
    <w:p w:rsidR="00AD7D66" w:rsidRPr="007C5442" w:rsidP="00CF19BA">
      <w:pPr>
        <w:pStyle w:val="ListParagraph"/>
        <w:numPr>
          <w:ilvl w:val="1"/>
          <w:numId w:val="17"/>
        </w:numPr>
        <w:rPr>
          <w:rFonts w:ascii="Calibri" w:hAnsi="Calibri" w:cs="Calibri"/>
          <w:sz w:val="22"/>
          <w:szCs w:val="22"/>
        </w:rPr>
      </w:pPr>
      <w:r w:rsidRPr="007C5442">
        <w:rPr>
          <w:rFonts w:ascii="Calibri" w:hAnsi="Calibri" w:cs="Calibri"/>
          <w:sz w:val="22"/>
          <w:szCs w:val="22"/>
        </w:rPr>
        <w:t>Establish a clear cross-government media literacy delivery and accountability</w:t>
      </w:r>
      <w:r w:rsidRPr="007C5442">
        <w:rPr>
          <w:rFonts w:ascii="Calibri" w:hAnsi="Calibri" w:cs="Calibri"/>
          <w:sz w:val="22"/>
          <w:szCs w:val="22"/>
        </w:rPr>
        <w:t xml:space="preserve"> framework</w:t>
      </w:r>
      <w:r w:rsidRPr="007C5442">
        <w:rPr>
          <w:rFonts w:ascii="Calibri" w:hAnsi="Calibri" w:cs="Calibri"/>
          <w:sz w:val="22"/>
          <w:szCs w:val="22"/>
        </w:rPr>
        <w:t xml:space="preserve"> involving DfE, </w:t>
      </w:r>
      <w:r w:rsidRPr="007C5442">
        <w:rPr>
          <w:rFonts w:ascii="Calibri" w:hAnsi="Calibri" w:cs="Calibri"/>
          <w:sz w:val="22"/>
          <w:szCs w:val="22"/>
        </w:rPr>
        <w:t>DCMS</w:t>
      </w:r>
      <w:r w:rsidRPr="007C5442">
        <w:rPr>
          <w:rFonts w:ascii="Calibri" w:hAnsi="Calibri" w:cs="Calibri"/>
          <w:sz w:val="22"/>
          <w:szCs w:val="22"/>
        </w:rPr>
        <w:t xml:space="preserve"> </w:t>
      </w:r>
      <w:r w:rsidRPr="007C5442">
        <w:rPr>
          <w:rFonts w:ascii="Calibri" w:hAnsi="Calibri" w:cs="Calibri"/>
          <w:sz w:val="22"/>
          <w:szCs w:val="22"/>
        </w:rPr>
        <w:t>and Ofcom.</w:t>
      </w:r>
    </w:p>
    <w:p w:rsidR="00AD7D66" w:rsidRPr="007C5442" w:rsidP="00CF19BA">
      <w:pPr>
        <w:pStyle w:val="ListParagraph"/>
        <w:numPr>
          <w:ilvl w:val="1"/>
          <w:numId w:val="17"/>
        </w:numPr>
        <w:rPr>
          <w:rFonts w:ascii="Calibri" w:hAnsi="Calibri" w:cs="Calibri"/>
          <w:sz w:val="22"/>
          <w:szCs w:val="22"/>
        </w:rPr>
      </w:pPr>
      <w:r w:rsidRPr="007C5442">
        <w:rPr>
          <w:rFonts w:ascii="Calibri" w:hAnsi="Calibri" w:cs="Calibri"/>
          <w:sz w:val="22"/>
          <w:szCs w:val="22"/>
        </w:rPr>
        <w:t>S</w:t>
      </w:r>
      <w:r w:rsidRPr="007C5442">
        <w:rPr>
          <w:rFonts w:ascii="Calibri" w:hAnsi="Calibri" w:cs="Calibri"/>
          <w:sz w:val="22"/>
          <w:szCs w:val="22"/>
        </w:rPr>
        <w:t>et out how the White Paper, the National Youth Strategy and wider media literacy policy will contribute to outcomes for children and families.</w:t>
      </w:r>
    </w:p>
    <w:p w:rsidR="00AD7D66" w:rsidRPr="007C5442" w:rsidP="00CF19BA">
      <w:pPr>
        <w:pStyle w:val="ListParagraph"/>
        <w:numPr>
          <w:ilvl w:val="1"/>
          <w:numId w:val="17"/>
        </w:numPr>
        <w:rPr>
          <w:rFonts w:ascii="Calibri" w:hAnsi="Calibri" w:cs="Calibri"/>
          <w:sz w:val="22"/>
          <w:szCs w:val="22"/>
        </w:rPr>
      </w:pPr>
      <w:r w:rsidRPr="007C5442">
        <w:rPr>
          <w:rFonts w:ascii="Calibri" w:hAnsi="Calibri" w:cs="Calibri"/>
          <w:sz w:val="22"/>
          <w:szCs w:val="22"/>
        </w:rPr>
        <w:t xml:space="preserve">Provide interim support for </w:t>
      </w:r>
      <w:r w:rsidRPr="007C5442">
        <w:rPr>
          <w:rFonts w:ascii="Calibri" w:hAnsi="Calibri" w:cs="Calibri"/>
          <w:sz w:val="22"/>
          <w:szCs w:val="22"/>
        </w:rPr>
        <w:t xml:space="preserve">16- and 17-year-olds who will become </w:t>
      </w:r>
      <w:r w:rsidRPr="007C5442">
        <w:rPr>
          <w:rFonts w:ascii="Calibri" w:hAnsi="Calibri" w:cs="Calibri"/>
          <w:sz w:val="22"/>
          <w:szCs w:val="22"/>
        </w:rPr>
        <w:t>newly enfranchised before the revised curriculum is introduced in 2028.</w:t>
      </w:r>
    </w:p>
    <w:p w:rsidR="00AD7D66" w:rsidRPr="007C5442" w:rsidP="00CF19BA">
      <w:pPr>
        <w:pStyle w:val="ListParagraph"/>
        <w:numPr>
          <w:ilvl w:val="1"/>
          <w:numId w:val="17"/>
        </w:numPr>
        <w:rPr>
          <w:rFonts w:ascii="Calibri" w:hAnsi="Calibri" w:cs="Calibri"/>
          <w:sz w:val="22"/>
          <w:szCs w:val="22"/>
        </w:rPr>
      </w:pPr>
      <w:r w:rsidRPr="007C5442">
        <w:rPr>
          <w:rFonts w:ascii="Calibri" w:hAnsi="Calibri" w:cs="Calibri"/>
          <w:sz w:val="22"/>
          <w:szCs w:val="22"/>
        </w:rPr>
        <w:t xml:space="preserve">Monitor how </w:t>
      </w:r>
      <w:r w:rsidRPr="007C5442">
        <w:rPr>
          <w:rFonts w:ascii="Calibri" w:hAnsi="Calibri" w:cs="Calibri"/>
          <w:sz w:val="22"/>
          <w:szCs w:val="22"/>
        </w:rPr>
        <w:t xml:space="preserve">restrictions </w:t>
      </w:r>
      <w:r w:rsidRPr="007C5442">
        <w:rPr>
          <w:rFonts w:ascii="Calibri" w:hAnsi="Calibri" w:cs="Calibri"/>
          <w:sz w:val="22"/>
          <w:szCs w:val="22"/>
        </w:rPr>
        <w:t xml:space="preserve">on access </w:t>
      </w:r>
      <w:r w:rsidRPr="007C5442">
        <w:rPr>
          <w:rFonts w:ascii="Calibri" w:hAnsi="Calibri" w:cs="Calibri"/>
          <w:sz w:val="22"/>
          <w:szCs w:val="22"/>
        </w:rPr>
        <w:t xml:space="preserve">to </w:t>
      </w:r>
      <w:r w:rsidRPr="007C5442">
        <w:rPr>
          <w:rFonts w:ascii="Calibri" w:hAnsi="Calibri" w:cs="Calibri"/>
          <w:sz w:val="22"/>
          <w:szCs w:val="22"/>
        </w:rPr>
        <w:t>social</w:t>
      </w:r>
      <w:r w:rsidRPr="007C5442">
        <w:rPr>
          <w:rFonts w:ascii="Calibri" w:hAnsi="Calibri" w:cs="Calibri"/>
          <w:sz w:val="22"/>
          <w:szCs w:val="22"/>
        </w:rPr>
        <w:t xml:space="preserve"> </w:t>
      </w:r>
      <w:r w:rsidRPr="007C5442">
        <w:rPr>
          <w:rFonts w:ascii="Calibri" w:hAnsi="Calibri" w:cs="Calibri"/>
          <w:sz w:val="22"/>
          <w:szCs w:val="22"/>
        </w:rPr>
        <w:t>media</w:t>
      </w:r>
      <w:r w:rsidRPr="007C5442">
        <w:rPr>
          <w:rFonts w:ascii="Calibri" w:hAnsi="Calibri" w:cs="Calibri"/>
          <w:sz w:val="22"/>
          <w:szCs w:val="22"/>
        </w:rPr>
        <w:t xml:space="preserve"> platforms</w:t>
      </w:r>
      <w:r w:rsidRPr="007C5442">
        <w:rPr>
          <w:rFonts w:ascii="Calibri" w:hAnsi="Calibri" w:cs="Calibri"/>
          <w:sz w:val="22"/>
          <w:szCs w:val="22"/>
        </w:rPr>
        <w:t xml:space="preserve"> </w:t>
      </w:r>
      <w:r w:rsidRPr="007C5442">
        <w:rPr>
          <w:rFonts w:ascii="Calibri" w:hAnsi="Calibri" w:cs="Calibri"/>
          <w:sz w:val="22"/>
          <w:szCs w:val="22"/>
        </w:rPr>
        <w:t xml:space="preserve">and </w:t>
      </w:r>
      <w:r w:rsidRPr="007C5442">
        <w:rPr>
          <w:rFonts w:ascii="Calibri" w:hAnsi="Calibri" w:cs="Calibri"/>
          <w:sz w:val="22"/>
          <w:szCs w:val="22"/>
        </w:rPr>
        <w:t>functionalit</w:t>
      </w:r>
      <w:r w:rsidRPr="007C5442">
        <w:rPr>
          <w:rFonts w:ascii="Calibri" w:hAnsi="Calibri" w:cs="Calibri"/>
          <w:sz w:val="22"/>
          <w:szCs w:val="22"/>
        </w:rPr>
        <w:t>ies</w:t>
      </w:r>
      <w:r w:rsidRPr="007C5442">
        <w:rPr>
          <w:rFonts w:ascii="Calibri" w:hAnsi="Calibri" w:cs="Calibri"/>
          <w:sz w:val="22"/>
          <w:szCs w:val="22"/>
        </w:rPr>
        <w:t xml:space="preserve"> affect where children encounter information and online risks.</w:t>
      </w:r>
    </w:p>
    <w:p w:rsidR="00AD7D66" w:rsidRPr="007C5442" w:rsidP="00CF19BA">
      <w:pPr>
        <w:pStyle w:val="ListParagraph"/>
        <w:numPr>
          <w:ilvl w:val="1"/>
          <w:numId w:val="17"/>
        </w:numPr>
        <w:rPr>
          <w:rFonts w:ascii="Calibri" w:hAnsi="Calibri" w:cs="Calibri"/>
          <w:sz w:val="22"/>
          <w:szCs w:val="22"/>
        </w:rPr>
      </w:pPr>
      <w:r w:rsidRPr="007C5442">
        <w:rPr>
          <w:rFonts w:ascii="Calibri" w:hAnsi="Calibri" w:cs="Calibri"/>
          <w:sz w:val="22"/>
          <w:szCs w:val="22"/>
        </w:rPr>
        <w:t>E</w:t>
      </w:r>
      <w:r w:rsidRPr="007C5442">
        <w:rPr>
          <w:rFonts w:ascii="Calibri" w:hAnsi="Calibri" w:cs="Calibri"/>
          <w:sz w:val="22"/>
          <w:szCs w:val="22"/>
        </w:rPr>
        <w:t>stablish a process for regularly updating curriculum guidance, teacher training and teaching resources after the programmes of study have been finalised.</w:t>
      </w:r>
    </w:p>
    <w:p w:rsidR="00AD7D66" w:rsidRPr="007C5442" w:rsidP="00CF19BA">
      <w:pPr>
        <w:pStyle w:val="ListParagraph"/>
        <w:numPr>
          <w:ilvl w:val="1"/>
          <w:numId w:val="17"/>
        </w:numPr>
        <w:rPr>
          <w:rFonts w:ascii="Calibri" w:hAnsi="Calibri" w:cs="Calibri"/>
          <w:sz w:val="22"/>
          <w:szCs w:val="22"/>
        </w:rPr>
      </w:pPr>
      <w:r w:rsidRPr="007C5442">
        <w:rPr>
          <w:rFonts w:ascii="Calibri" w:hAnsi="Calibri" w:cs="Calibri"/>
          <w:sz w:val="22"/>
          <w:szCs w:val="22"/>
        </w:rPr>
        <w:t>Equip parents, carers and trusted adults with practical support to develop their own media literacy and help children navigate online information safely and critically.</w:t>
      </w:r>
    </w:p>
    <w:p w:rsidR="007C5442" w:rsidRPr="007C5442" w:rsidP="007C5442">
      <w:pPr>
        <w:rPr>
          <w:rFonts w:ascii="Calibri" w:hAnsi="Calibri" w:cs="Calibri"/>
          <w:sz w:val="22"/>
          <w:szCs w:val="22"/>
        </w:rPr>
      </w:pPr>
    </w:p>
    <w:p w:rsidR="007C5442" w:rsidRPr="007C5442" w:rsidP="007C5442">
      <w:pPr>
        <w:rPr>
          <w:rFonts w:ascii="Calibri" w:hAnsi="Calibri" w:cs="Calibri"/>
          <w:i/>
          <w:iCs/>
          <w:sz w:val="22"/>
          <w:szCs w:val="22"/>
        </w:rPr>
      </w:pPr>
      <w:r w:rsidRPr="007C5442">
        <w:rPr>
          <w:rFonts w:ascii="Calibri" w:hAnsi="Calibri" w:cs="Calibri"/>
          <w:i/>
          <w:iCs/>
          <w:sz w:val="22"/>
          <w:szCs w:val="22"/>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D7D66" w:rsidP="00D46CE6">
      <w:pPr>
        <w:spacing w:after="0" w:line="240" w:lineRule="auto"/>
      </w:pPr>
      <w:r>
        <w:separator/>
      </w:r>
    </w:p>
  </w:footnote>
  <w:footnote w:type="continuationSeparator" w:id="1">
    <w:p w:rsidR="00AD7D66" w:rsidP="00D46CE6">
      <w:pPr>
        <w:spacing w:after="0" w:line="240" w:lineRule="auto"/>
      </w:pPr>
      <w:r>
        <w:continuationSeparator/>
      </w:r>
    </w:p>
  </w:footnote>
  <w:footnote w:id="2">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Me, Myself and AI</w:t>
      </w:r>
      <w:r>
        <w:rPr>
          <w:rFonts w:ascii="Century Gothic" w:hAnsi="Century Gothic"/>
          <w:i/>
          <w:iCs/>
        </w:rPr>
        <w:t xml:space="preserve">: </w:t>
      </w:r>
      <w:r w:rsidRPr="001E465D">
        <w:rPr>
          <w:rFonts w:ascii="Century Gothic" w:hAnsi="Century Gothic"/>
          <w:i/>
          <w:iCs/>
        </w:rPr>
        <w:t>Understanding and safeguarding children’s use of AI chatbots</w:t>
      </w:r>
      <w:r w:rsidRPr="0038473E">
        <w:rPr>
          <w:rFonts w:ascii="Century Gothic" w:hAnsi="Century Gothic"/>
          <w:i/>
          <w:iCs/>
        </w:rPr>
        <w:t xml:space="preserve"> </w:t>
      </w:r>
      <w:r w:rsidRPr="0038473E">
        <w:rPr>
          <w:rFonts w:ascii="Century Gothic" w:hAnsi="Century Gothic"/>
        </w:rPr>
        <w:t xml:space="preserve">(July 2025), </w:t>
      </w:r>
      <w:r>
        <w:fldChar w:fldCharType="begin"/>
      </w:r>
      <w:r>
        <w:instrText xml:space="preserve"> HYPERLINK "https://www.internetmatters.org/hub/research/me-myself-and-ai-chatbot-research/"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3">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1E465D">
        <w:rPr>
          <w:rFonts w:ascii="Century Gothic" w:hAnsi="Century Gothic"/>
          <w:i/>
          <w:iCs/>
        </w:rPr>
        <w:t>Informed or Overwhelmed? Understanding the impact of online news on children’s wellbeing</w:t>
      </w:r>
      <w:r w:rsidRPr="0038473E">
        <w:rPr>
          <w:rFonts w:ascii="Century Gothic" w:hAnsi="Century Gothic"/>
          <w:i/>
          <w:iCs/>
        </w:rPr>
        <w:t xml:space="preserve"> </w:t>
      </w:r>
      <w:r w:rsidRPr="0038473E">
        <w:rPr>
          <w:rFonts w:ascii="Century Gothic" w:hAnsi="Century Gothic"/>
        </w:rPr>
        <w:t xml:space="preserve">(October 2025), </w:t>
      </w:r>
      <w:r>
        <w:fldChar w:fldCharType="begin"/>
      </w:r>
      <w:r>
        <w:instrText xml:space="preserve"> HYPERLINK "https://www.internetmatters.org/hub/research/impact-online-news-childrens-wellbeing/" </w:instrText>
      </w:r>
      <w:r>
        <w:fldChar w:fldCharType="separate"/>
      </w:r>
      <w:r w:rsidRPr="0038473E">
        <w:rPr>
          <w:rStyle w:val="Hyperlink"/>
          <w:rFonts w:ascii="Century Gothic" w:hAnsi="Century Gothic"/>
        </w:rPr>
        <w:t>link</w:t>
      </w:r>
      <w:r>
        <w:fldChar w:fldCharType="end"/>
      </w:r>
      <w:r>
        <w:tab/>
      </w:r>
      <w:r w:rsidRPr="0038473E">
        <w:rPr>
          <w:rFonts w:ascii="Century Gothic" w:hAnsi="Century Gothic"/>
        </w:rPr>
        <w:t>.</w:t>
      </w:r>
    </w:p>
  </w:footnote>
  <w:footnote w:id="4">
    <w:p w:rsidR="00AD7D66" w:rsidRPr="0038473E">
      <w:pPr>
        <w:pStyle w:val="FootnoteText"/>
        <w:rPr>
          <w:rFonts w:ascii="Century Gothic" w:hAnsi="Century Gothic"/>
        </w:rPr>
      </w:pPr>
      <w:r w:rsidRPr="0038473E">
        <w:rPr>
          <w:rStyle w:val="FootnoteReference"/>
          <w:rFonts w:ascii="Century Gothic" w:hAnsi="Century Gothic"/>
        </w:rPr>
        <w:footnoteRef/>
      </w:r>
      <w:r>
        <w:rPr>
          <w:rFonts w:ascii="Century Gothic" w:hAnsi="Century Gothic"/>
        </w:rPr>
        <w:t xml:space="preserve"> </w:t>
      </w:r>
      <w:r w:rsidRPr="0038473E">
        <w:rPr>
          <w:rFonts w:ascii="Century Gothic" w:hAnsi="Century Gothic"/>
        </w:rPr>
        <w:t xml:space="preserve">Internet Matters, </w:t>
      </w:r>
      <w:r w:rsidRPr="0038473E">
        <w:rPr>
          <w:rFonts w:ascii="Century Gothic" w:hAnsi="Century Gothic"/>
          <w:i/>
          <w:iCs/>
        </w:rPr>
        <w:t>Me, Myself and AI</w:t>
      </w:r>
      <w:r>
        <w:rPr>
          <w:rFonts w:ascii="Century Gothic" w:hAnsi="Century Gothic"/>
          <w:i/>
          <w:iCs/>
        </w:rPr>
        <w:t xml:space="preserve">: </w:t>
      </w:r>
      <w:r w:rsidRPr="001E465D">
        <w:rPr>
          <w:rFonts w:ascii="Century Gothic" w:hAnsi="Century Gothic"/>
          <w:i/>
          <w:iCs/>
        </w:rPr>
        <w:t>Understanding and safeguarding children’s use of AI chatbots</w:t>
      </w:r>
      <w:r w:rsidRPr="0038473E">
        <w:rPr>
          <w:rFonts w:ascii="Century Gothic" w:hAnsi="Century Gothic"/>
          <w:i/>
          <w:iCs/>
        </w:rPr>
        <w:t xml:space="preserve"> </w:t>
      </w:r>
      <w:r w:rsidRPr="0038473E">
        <w:rPr>
          <w:rFonts w:ascii="Century Gothic" w:hAnsi="Century Gothic"/>
        </w:rPr>
        <w:t xml:space="preserve">(July 2025), </w:t>
      </w:r>
      <w:r>
        <w:fldChar w:fldCharType="begin"/>
      </w:r>
      <w:r>
        <w:instrText xml:space="preserve"> HYPERLINK "https://www.internetmatters.org/hub/research/me-myself-and-ai-chatbot-research/" </w:instrText>
      </w:r>
      <w:r>
        <w:fldChar w:fldCharType="separate"/>
      </w:r>
      <w:r w:rsidRPr="0038473E">
        <w:rPr>
          <w:rStyle w:val="Hyperlink"/>
          <w:rFonts w:ascii="Century Gothic" w:hAnsi="Century Gothic"/>
        </w:rPr>
        <w:t>link</w:t>
      </w:r>
      <w:r>
        <w:fldChar w:fldCharType="end"/>
      </w:r>
      <w:r w:rsidRPr="0038473E">
        <w:rPr>
          <w:rFonts w:ascii="Century Gothic" w:hAnsi="Century Gothic"/>
        </w:rPr>
        <w:t xml:space="preserve">. </w:t>
      </w:r>
    </w:p>
  </w:footnote>
  <w:footnote w:id="5">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Digital wellbeing on a budget: exploring the online lives of children receiving free school meals </w:t>
      </w:r>
      <w:r w:rsidRPr="0038473E">
        <w:rPr>
          <w:rFonts w:ascii="Century Gothic" w:hAnsi="Century Gothic"/>
        </w:rPr>
        <w:t xml:space="preserve">(August 2023), </w:t>
      </w:r>
      <w:r>
        <w:fldChar w:fldCharType="begin"/>
      </w:r>
      <w:r>
        <w:instrText xml:space="preserve"> HYPERLINK "https://www.internetmatters.org/hub/research/exploring-the-online-lives-of-children-receiving-free-school-meals/"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6">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A Vision for Media Literacy </w:t>
      </w:r>
      <w:r>
        <w:rPr>
          <w:rFonts w:ascii="Century Gothic" w:hAnsi="Century Gothic"/>
        </w:rPr>
        <w:t>(June 2024),</w:t>
      </w:r>
      <w:r w:rsidRPr="0038473E">
        <w:rPr>
          <w:rFonts w:ascii="Century Gothic" w:hAnsi="Century Gothic"/>
        </w:rPr>
        <w:t xml:space="preserve"> </w:t>
      </w:r>
      <w:r>
        <w:fldChar w:fldCharType="begin"/>
      </w:r>
      <w:r>
        <w:instrText xml:space="preserve"> HYPERLINK "https://www.internetmatters.org/wp-content/uploads/2024/07/A-Vision-for-Media-Literacy-report-2024.pdf"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7">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A Vision for Media Literacy </w:t>
      </w:r>
      <w:r>
        <w:rPr>
          <w:rFonts w:ascii="Century Gothic" w:hAnsi="Century Gothic"/>
        </w:rPr>
        <w:t>(June 2024),</w:t>
      </w:r>
      <w:r w:rsidRPr="0038473E">
        <w:rPr>
          <w:rFonts w:ascii="Century Gothic" w:hAnsi="Century Gothic"/>
        </w:rPr>
        <w:t xml:space="preserve"> </w:t>
      </w:r>
      <w:r>
        <w:fldChar w:fldCharType="begin"/>
      </w:r>
      <w:r>
        <w:instrText xml:space="preserve"> HYPERLINK "https://www.internetmatters.org/wp-content/uploads/2024/07/A-Vision-for-Media-Literacy-report-2024.pdf"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8">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NFER, </w:t>
      </w:r>
      <w:r w:rsidRPr="0038473E">
        <w:rPr>
          <w:rFonts w:ascii="Century Gothic" w:hAnsi="Century Gothic"/>
          <w:i/>
          <w:iCs/>
        </w:rPr>
        <w:t xml:space="preserve">The skills imperative 2035 </w:t>
      </w:r>
      <w:r w:rsidRPr="0038473E">
        <w:rPr>
          <w:rFonts w:ascii="Century Gothic" w:hAnsi="Century Gothic"/>
        </w:rPr>
        <w:t xml:space="preserve">(November 2025), </w:t>
      </w:r>
      <w:r>
        <w:fldChar w:fldCharType="begin"/>
      </w:r>
      <w:r>
        <w:instrText xml:space="preserve"> HYPERLINK "https://www.nfer.ac.uk/media/4ulc0syg/skills_imperative_2035_final_report.pdf"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9">
    <w:p w:rsidR="00AD7D66" w:rsidRPr="0038473E">
      <w:pPr>
        <w:pStyle w:val="FootnoteText"/>
        <w:rPr>
          <w:rFonts w:ascii="Century Gothic" w:hAnsi="Century Gothic"/>
        </w:rPr>
      </w:pPr>
      <w:r w:rsidRPr="0038473E">
        <w:rPr>
          <w:rStyle w:val="FootnoteReference"/>
          <w:rFonts w:ascii="Century Gothic" w:hAnsi="Century Gothic"/>
        </w:rPr>
        <w:footnoteRef/>
      </w:r>
      <w:r>
        <w:rPr>
          <w:rFonts w:ascii="Century Gothic" w:hAnsi="Century Gothic"/>
        </w:rPr>
        <w:t xml:space="preserve"> Skills England</w:t>
      </w:r>
      <w:r w:rsidRPr="0038473E">
        <w:rPr>
          <w:rFonts w:ascii="Century Gothic" w:hAnsi="Century Gothic"/>
        </w:rPr>
        <w:t xml:space="preserve">, </w:t>
      </w:r>
      <w:r w:rsidRPr="0038473E">
        <w:rPr>
          <w:rFonts w:ascii="Century Gothic" w:hAnsi="Century Gothic"/>
          <w:i/>
          <w:iCs/>
        </w:rPr>
        <w:t xml:space="preserve">Skills England annual skills report 2026 </w:t>
      </w:r>
      <w:r w:rsidRPr="0038473E">
        <w:rPr>
          <w:rFonts w:ascii="Century Gothic" w:hAnsi="Century Gothic"/>
        </w:rPr>
        <w:t>(</w:t>
      </w:r>
      <w:r>
        <w:rPr>
          <w:rFonts w:ascii="Century Gothic" w:hAnsi="Century Gothic"/>
        </w:rPr>
        <w:t xml:space="preserve">June 2026: updated </w:t>
      </w:r>
      <w:r w:rsidRPr="0038473E">
        <w:rPr>
          <w:rFonts w:ascii="Century Gothic" w:hAnsi="Century Gothic"/>
        </w:rPr>
        <w:t xml:space="preserve">July 2026), </w:t>
      </w:r>
      <w:r>
        <w:fldChar w:fldCharType="begin"/>
      </w:r>
      <w:r>
        <w:instrText xml:space="preserve"> HYPERLINK "https://www.gov.uk/government/publications/skills-england-annual-skills-report-and-sectoral-skills-needs-assessments-2026/skills-england-annual-skills-report-2026"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0">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Ofsted, </w:t>
      </w:r>
      <w:r w:rsidRPr="0038473E">
        <w:rPr>
          <w:rFonts w:ascii="Century Gothic" w:hAnsi="Century Gothic"/>
          <w:i/>
          <w:iCs/>
        </w:rPr>
        <w:t xml:space="preserve">Early years inspection: toolkit, operating guide and information </w:t>
      </w:r>
      <w:r w:rsidRPr="0038473E">
        <w:rPr>
          <w:rFonts w:ascii="Century Gothic" w:hAnsi="Century Gothic"/>
        </w:rPr>
        <w:t>(September 2025</w:t>
      </w:r>
      <w:r>
        <w:rPr>
          <w:rFonts w:ascii="Century Gothic" w:hAnsi="Century Gothic"/>
        </w:rPr>
        <w:t>: updated June 2026</w:t>
      </w:r>
      <w:r w:rsidRPr="0038473E">
        <w:rPr>
          <w:rFonts w:ascii="Century Gothic" w:hAnsi="Century Gothic"/>
        </w:rPr>
        <w:t xml:space="preserve">), </w:t>
      </w:r>
      <w:r>
        <w:fldChar w:fldCharType="begin"/>
      </w:r>
      <w:r>
        <w:instrText xml:space="preserve"> HYPERLINK "https://www.gov.uk/government/publications/early-years-inspection-toolkit-operating-guide-and-information"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1">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Ofsted, </w:t>
      </w:r>
      <w:r w:rsidRPr="0038473E">
        <w:rPr>
          <w:rFonts w:ascii="Century Gothic" w:hAnsi="Century Gothic"/>
          <w:i/>
          <w:iCs/>
        </w:rPr>
        <w:t xml:space="preserve">Inspection materials updated ahead of September 2026 </w:t>
      </w:r>
      <w:r w:rsidRPr="0038473E">
        <w:rPr>
          <w:rFonts w:ascii="Century Gothic" w:hAnsi="Century Gothic"/>
        </w:rPr>
        <w:t xml:space="preserve">(June 2026), </w:t>
      </w:r>
      <w:r>
        <w:fldChar w:fldCharType="begin"/>
      </w:r>
      <w:r>
        <w:instrText xml:space="preserve"> HYPERLINK "https://www.gov.uk/government/news/inspection-materials-updated-ahead-of-september-2026?utm_source=chatgpt.com"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2">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The Bee Smart Media Literacy Programme </w:t>
      </w:r>
      <w:r w:rsidRPr="0038473E">
        <w:rPr>
          <w:rFonts w:ascii="Century Gothic" w:hAnsi="Century Gothic"/>
        </w:rPr>
        <w:t>(202</w:t>
      </w:r>
      <w:r>
        <w:rPr>
          <w:rFonts w:ascii="Century Gothic" w:hAnsi="Century Gothic"/>
        </w:rPr>
        <w:t>4</w:t>
      </w:r>
      <w:r w:rsidRPr="0038473E">
        <w:rPr>
          <w:rFonts w:ascii="Century Gothic" w:hAnsi="Century Gothic"/>
        </w:rPr>
        <w:t xml:space="preserve">), </w:t>
      </w:r>
      <w:r>
        <w:fldChar w:fldCharType="begin"/>
      </w:r>
      <w:r>
        <w:instrText xml:space="preserve"> HYPERLINK "https://www.internetmatters.org/hub/research/bee-smart-media-literacy-programme-report/" \l "full-report"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3">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The Bee Smart Media Literacy Programme </w:t>
      </w:r>
      <w:r w:rsidRPr="0038473E">
        <w:rPr>
          <w:rFonts w:ascii="Century Gothic" w:hAnsi="Century Gothic"/>
        </w:rPr>
        <w:t>(202</w:t>
      </w:r>
      <w:r>
        <w:rPr>
          <w:rFonts w:ascii="Century Gothic" w:hAnsi="Century Gothic"/>
        </w:rPr>
        <w:t>4</w:t>
      </w:r>
      <w:r w:rsidRPr="0038473E">
        <w:rPr>
          <w:rFonts w:ascii="Century Gothic" w:hAnsi="Century Gothic"/>
        </w:rPr>
        <w:t xml:space="preserve">), </w:t>
      </w:r>
      <w:r>
        <w:fldChar w:fldCharType="begin"/>
      </w:r>
      <w:r>
        <w:instrText xml:space="preserve"> HYPERLINK "https://www.internetmatters.org/hub/research/bee-smart-media-literacy-programme-report/" \l "full-report"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4">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10 year</w:t>
      </w:r>
      <w:r w:rsidRPr="0038473E">
        <w:rPr>
          <w:rFonts w:ascii="Century Gothic" w:hAnsi="Century Gothic"/>
          <w:i/>
          <w:iCs/>
        </w:rPr>
        <w:t xml:space="preserve"> impact report 2014-2024 </w:t>
      </w:r>
      <w:r w:rsidRPr="0038473E">
        <w:rPr>
          <w:rFonts w:ascii="Century Gothic" w:hAnsi="Century Gothic"/>
        </w:rPr>
        <w:t xml:space="preserve">(January 2025), </w:t>
      </w:r>
      <w:r>
        <w:fldChar w:fldCharType="begin"/>
      </w:r>
      <w:r>
        <w:instrText xml:space="preserve"> HYPERLINK "https://www.internetmatters.org/wp-content/uploads/2025/01/10-Year-Impact-Report-2014-2024-_-Internet-Matters_latest.pdf"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5">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Ofcom, </w:t>
      </w:r>
      <w:r w:rsidRPr="0038473E">
        <w:rPr>
          <w:rFonts w:ascii="Century Gothic" w:hAnsi="Century Gothic"/>
          <w:i/>
          <w:iCs/>
        </w:rPr>
        <w:t xml:space="preserve">Taking care online: project evaluation </w:t>
      </w:r>
      <w:r w:rsidRPr="0038473E">
        <w:rPr>
          <w:rFonts w:ascii="Century Gothic" w:hAnsi="Century Gothic"/>
        </w:rPr>
        <w:t xml:space="preserve">(September 2024), </w:t>
      </w:r>
      <w:r>
        <w:fldChar w:fldCharType="begin"/>
      </w:r>
      <w:r>
        <w:instrText xml:space="preserve"> HYPERLINK "https://www.ofcom.org.uk/siteassets/resources/documents/research-and-data/media-literacy-research/making-sense-of-media/msom-trainer-report/internet-matters-is---taking-care-online-project-evaluation.pdf?v=402810"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6">
    <w:p w:rsidR="00AD7D66" w:rsidRPr="0038473E" w:rsidP="00ED36C4">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A Vision for Media Literacy </w:t>
      </w:r>
      <w:r>
        <w:rPr>
          <w:rFonts w:ascii="Century Gothic" w:hAnsi="Century Gothic"/>
        </w:rPr>
        <w:t>(June 2024),</w:t>
      </w:r>
      <w:r w:rsidRPr="0038473E">
        <w:rPr>
          <w:rFonts w:ascii="Century Gothic" w:hAnsi="Century Gothic"/>
        </w:rPr>
        <w:t xml:space="preserve"> </w:t>
      </w:r>
      <w:r>
        <w:fldChar w:fldCharType="begin"/>
      </w:r>
      <w:r>
        <w:instrText xml:space="preserve"> HYPERLINK "https://www.internetmatters.org/wp-content/uploads/2024/07/A-Vision-for-Media-Literacy-report-2024.pdf"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7">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Shifting the dial: methods to prevent ‘self-generated’ child sexual abuse among 11-13-year-olds</w:t>
      </w:r>
      <w:r w:rsidRPr="0038473E">
        <w:rPr>
          <w:rFonts w:ascii="Century Gothic" w:hAnsi="Century Gothic"/>
          <w:b/>
          <w:bCs/>
          <w:i/>
          <w:iCs/>
        </w:rPr>
        <w:t xml:space="preserve"> </w:t>
      </w:r>
      <w:r w:rsidRPr="0038473E">
        <w:rPr>
          <w:rFonts w:ascii="Century Gothic" w:hAnsi="Century Gothic"/>
        </w:rPr>
        <w:t xml:space="preserve">(May 2024), </w:t>
      </w:r>
      <w:r>
        <w:fldChar w:fldCharType="begin"/>
      </w:r>
      <w:r>
        <w:instrText xml:space="preserve"> HYPERLINK "https://www.internetmatters.org/hub/research/methods-prevent-self-generated-child-sexual-abuse-11-13s/"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8">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Me, Myself and AI</w:t>
      </w:r>
      <w:r>
        <w:rPr>
          <w:rFonts w:ascii="Century Gothic" w:hAnsi="Century Gothic"/>
          <w:i/>
          <w:iCs/>
        </w:rPr>
        <w:t xml:space="preserve">: </w:t>
      </w:r>
      <w:r w:rsidRPr="001E465D">
        <w:rPr>
          <w:rFonts w:ascii="Century Gothic" w:hAnsi="Century Gothic"/>
          <w:i/>
          <w:iCs/>
        </w:rPr>
        <w:t>Understanding and safeguarding children’s use of AI chatbots</w:t>
      </w:r>
      <w:r w:rsidRPr="0038473E">
        <w:rPr>
          <w:rFonts w:ascii="Century Gothic" w:hAnsi="Century Gothic"/>
          <w:i/>
          <w:iCs/>
        </w:rPr>
        <w:t xml:space="preserve"> </w:t>
      </w:r>
      <w:r w:rsidRPr="0038473E">
        <w:rPr>
          <w:rFonts w:ascii="Century Gothic" w:hAnsi="Century Gothic"/>
        </w:rPr>
        <w:t xml:space="preserve">(July 2025), </w:t>
      </w:r>
      <w:r>
        <w:fldChar w:fldCharType="begin"/>
      </w:r>
      <w:r>
        <w:instrText xml:space="preserve"> HYPERLINK "https://www.internetmatters.org/hub/research/me-myself-and-ai-chatbot-research/"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19">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A Vision for Media Literacy </w:t>
      </w:r>
      <w:r>
        <w:rPr>
          <w:rFonts w:ascii="Century Gothic" w:hAnsi="Century Gothic"/>
        </w:rPr>
        <w:t>(June 2024),</w:t>
      </w:r>
      <w:r w:rsidRPr="0038473E">
        <w:rPr>
          <w:rFonts w:ascii="Century Gothic" w:hAnsi="Century Gothic"/>
        </w:rPr>
        <w:t xml:space="preserve"> </w:t>
      </w:r>
      <w:r>
        <w:fldChar w:fldCharType="begin"/>
      </w:r>
      <w:r>
        <w:instrText xml:space="preserve"> HYPERLINK "https://www.internetmatters.org/wp-content/uploads/2024/07/A-Vision-for-Media-Literacy-report-2024.pdf"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0">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Data briefing: online safety in schools</w:t>
      </w:r>
      <w:r w:rsidRPr="0038473E">
        <w:rPr>
          <w:rFonts w:ascii="Century Gothic" w:hAnsi="Century Gothic"/>
        </w:rPr>
        <w:t xml:space="preserve"> (June 2023), </w:t>
      </w:r>
      <w:r>
        <w:fldChar w:fldCharType="begin"/>
      </w:r>
      <w:r>
        <w:instrText xml:space="preserve"> HYPERLINK "https://www.internetmatters.org/wp-content/uploads/2023/06/Internet-Matters-data-briefing-Online-safety-in-schools-June-2023-2_v3.pdf"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1">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Data briefing: online safety in schools</w:t>
      </w:r>
      <w:r w:rsidRPr="0038473E">
        <w:rPr>
          <w:rFonts w:ascii="Century Gothic" w:hAnsi="Century Gothic"/>
        </w:rPr>
        <w:t xml:space="preserve"> (June 2023), </w:t>
      </w:r>
      <w:r>
        <w:fldChar w:fldCharType="begin"/>
      </w:r>
      <w:r>
        <w:instrText xml:space="preserve"> HYPERLINK "https://www.internetmatters.org/wp-content/uploads/2023/06/Internet-Matters-data-briefing-Online-safety-in-schools-June-2023-2_v3.pdf"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2">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The new face of </w:t>
      </w:r>
      <w:r>
        <w:rPr>
          <w:rFonts w:ascii="Century Gothic" w:hAnsi="Century Gothic"/>
          <w:i/>
          <w:iCs/>
        </w:rPr>
        <w:t>d</w:t>
      </w:r>
      <w:r w:rsidRPr="0038473E">
        <w:rPr>
          <w:rFonts w:ascii="Century Gothic" w:hAnsi="Century Gothic"/>
          <w:i/>
          <w:iCs/>
        </w:rPr>
        <w:t xml:space="preserve">igital abuse: children’s experiences of nude deepfakes </w:t>
      </w:r>
      <w:r w:rsidRPr="0038473E">
        <w:rPr>
          <w:rFonts w:ascii="Century Gothic" w:hAnsi="Century Gothic"/>
        </w:rPr>
        <w:t xml:space="preserve">(October 2024), </w:t>
      </w:r>
      <w:r>
        <w:fldChar w:fldCharType="begin"/>
      </w:r>
      <w:r>
        <w:instrText xml:space="preserve"> HYPERLINK "https://www.internetmatters.org/hub/research/children-experiences-nude-deepfakes-research/"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3">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Digital Wellbeing Index: Year 5 index report</w:t>
      </w:r>
      <w:r w:rsidRPr="0038473E">
        <w:rPr>
          <w:rFonts w:ascii="Century Gothic" w:hAnsi="Century Gothic"/>
        </w:rPr>
        <w:t xml:space="preserve"> (March 2026), </w:t>
      </w:r>
      <w:r>
        <w:fldChar w:fldCharType="begin"/>
      </w:r>
      <w:r>
        <w:instrText xml:space="preserve"> HYPERLINK "https://www.internetmatters.org/hub/research/childrens-wellbeing-in-a-digital-world-index-report-2026/"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4">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Data briefing: online safety in schools</w:t>
      </w:r>
      <w:r w:rsidRPr="0038473E">
        <w:rPr>
          <w:rFonts w:ascii="Century Gothic" w:hAnsi="Century Gothic"/>
        </w:rPr>
        <w:t xml:space="preserve"> (June 2023), </w:t>
      </w:r>
      <w:r>
        <w:fldChar w:fldCharType="begin"/>
      </w:r>
      <w:r>
        <w:instrText xml:space="preserve"> HYPERLINK "https://www.internetmatters.org/wp-content/uploads/2023/06/Internet-Matters-data-briefing-Online-safety-in-schools-June-2023-2_v3.pdf"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5">
    <w:p w:rsidR="00AD7D66" w:rsidRPr="0038473E" w:rsidP="00ED36C4">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Data briefing: online safety in schools</w:t>
      </w:r>
      <w:r w:rsidRPr="0038473E">
        <w:rPr>
          <w:rFonts w:ascii="Century Gothic" w:hAnsi="Century Gothic"/>
        </w:rPr>
        <w:t xml:space="preserve"> (June 2023), </w:t>
      </w:r>
      <w:r>
        <w:fldChar w:fldCharType="begin"/>
      </w:r>
      <w:r>
        <w:instrText xml:space="preserve"> HYPERLINK "https://www.internetmatters.org/wp-content/uploads/2023/06/Internet-Matters-data-briefing-Online-safety-in-schools-June-2023-2_v3.pdf"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6">
    <w:p w:rsidR="00AD7D66" w:rsidRPr="0038473E" w:rsidP="00ED36C4">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A Vision for Media Literacy </w:t>
      </w:r>
      <w:r>
        <w:rPr>
          <w:rFonts w:ascii="Century Gothic" w:hAnsi="Century Gothic"/>
        </w:rPr>
        <w:t>(June 2024),</w:t>
      </w:r>
      <w:r w:rsidRPr="0038473E">
        <w:rPr>
          <w:rFonts w:ascii="Century Gothic" w:hAnsi="Century Gothic"/>
        </w:rPr>
        <w:t xml:space="preserve"> </w:t>
      </w:r>
      <w:r>
        <w:fldChar w:fldCharType="begin"/>
      </w:r>
      <w:r>
        <w:instrText xml:space="preserve"> HYPERLINK "https://www.internetmatters.org/wp-content/uploads/2024/07/A-Vision-for-Media-Literacy-report-2024.pdf"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7">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 xml:space="preserve">A Vision for Media Literacy </w:t>
      </w:r>
      <w:r>
        <w:rPr>
          <w:rFonts w:ascii="Century Gothic" w:hAnsi="Century Gothic"/>
        </w:rPr>
        <w:t>(June 2024),</w:t>
      </w:r>
      <w:r w:rsidRPr="0038473E">
        <w:rPr>
          <w:rFonts w:ascii="Century Gothic" w:hAnsi="Century Gothic"/>
        </w:rPr>
        <w:t xml:space="preserve"> </w:t>
      </w:r>
      <w:r>
        <w:fldChar w:fldCharType="begin"/>
      </w:r>
      <w:r>
        <w:instrText xml:space="preserve"> HYPERLINK "https://www.internetmatters.org/wp-content/uploads/2024/07/A-Vision-for-Media-Literacy-report-2024.pdf"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8">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Department for Culture, Media and Sport, </w:t>
      </w:r>
      <w:r w:rsidRPr="0038473E">
        <w:rPr>
          <w:rFonts w:ascii="Century Gothic" w:hAnsi="Century Gothic"/>
          <w:i/>
          <w:iCs/>
        </w:rPr>
        <w:t xml:space="preserve">Youth Matters: Your National Youth Strategy </w:t>
      </w:r>
      <w:r w:rsidRPr="0038473E">
        <w:rPr>
          <w:rFonts w:ascii="Century Gothic" w:hAnsi="Century Gothic"/>
        </w:rPr>
        <w:t xml:space="preserve">(December 2025), </w:t>
      </w:r>
      <w:r>
        <w:fldChar w:fldCharType="begin"/>
      </w:r>
      <w:r>
        <w:instrText xml:space="preserve"> HYPERLINK "https://www.gov.uk/government/publications/youth-matters-your-national-youth-strategy/youth-matters-your-national-youth-strategy"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29">
    <w:p w:rsidR="00AD7D66" w:rsidRPr="0038473E">
      <w:pPr>
        <w:pStyle w:val="FootnoteText"/>
        <w:rPr>
          <w:rFonts w:ascii="Century Gothic" w:hAnsi="Century Gothic"/>
        </w:rPr>
      </w:pPr>
      <w:r w:rsidRPr="0038473E">
        <w:rPr>
          <w:rStyle w:val="FootnoteReference"/>
          <w:rFonts w:ascii="Century Gothic" w:hAnsi="Century Gothic"/>
        </w:rPr>
        <w:footnoteRef/>
      </w:r>
      <w:r w:rsidRPr="0038473E">
        <w:rPr>
          <w:rFonts w:ascii="Century Gothic" w:hAnsi="Century Gothic"/>
        </w:rPr>
        <w:t xml:space="preserve"> Internet Matters, </w:t>
      </w:r>
      <w:r w:rsidRPr="001E465D">
        <w:rPr>
          <w:rFonts w:ascii="Century Gothic" w:hAnsi="Century Gothic"/>
          <w:i/>
          <w:iCs/>
        </w:rPr>
        <w:t>Informed or Overwhelmed? Understanding the impact of online news on children’s wellbeing</w:t>
      </w:r>
      <w:r w:rsidRPr="0038473E">
        <w:rPr>
          <w:rFonts w:ascii="Century Gothic" w:hAnsi="Century Gothic"/>
          <w:i/>
          <w:iCs/>
        </w:rPr>
        <w:t xml:space="preserve"> </w:t>
      </w:r>
      <w:r w:rsidRPr="0038473E">
        <w:rPr>
          <w:rFonts w:ascii="Century Gothic" w:hAnsi="Century Gothic"/>
        </w:rPr>
        <w:t xml:space="preserve">(October 2025), </w:t>
      </w:r>
      <w:r>
        <w:fldChar w:fldCharType="begin"/>
      </w:r>
      <w:r>
        <w:instrText xml:space="preserve"> HYPERLINK "https://www.internetmatters.org/hub/research/impact-online-news-childrens-wellbeing/"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 w:id="30">
    <w:p w:rsidR="00AD7D66" w:rsidRPr="0038473E" w:rsidP="005B6458">
      <w:pPr>
        <w:pStyle w:val="FootnoteText"/>
        <w:rPr>
          <w:rFonts w:ascii="Century Gothic" w:hAnsi="Century Gothic"/>
          <w:i/>
          <w:iCs/>
        </w:rPr>
      </w:pPr>
      <w:r w:rsidRPr="0038473E">
        <w:rPr>
          <w:rStyle w:val="FootnoteReference"/>
          <w:rFonts w:ascii="Century Gothic" w:hAnsi="Century Gothic"/>
        </w:rPr>
        <w:footnoteRef/>
      </w:r>
      <w:r w:rsidRPr="0038473E">
        <w:rPr>
          <w:rFonts w:ascii="Century Gothic" w:hAnsi="Century Gothic"/>
        </w:rPr>
        <w:t xml:space="preserve"> Internet Matters, </w:t>
      </w:r>
      <w:r w:rsidRPr="0038473E">
        <w:rPr>
          <w:rFonts w:ascii="Century Gothic" w:hAnsi="Century Gothic"/>
          <w:i/>
          <w:iCs/>
        </w:rPr>
        <w:t>Preparing</w:t>
      </w:r>
      <w:r w:rsidRPr="0038473E">
        <w:rPr>
          <w:rFonts w:ascii="Century Gothic" w:hAnsi="Century Gothic"/>
          <w:i/>
          <w:iCs/>
        </w:rPr>
        <w:t xml:space="preserve"> young people to vote in a complex, attention-driven</w:t>
      </w:r>
    </w:p>
    <w:p w:rsidR="00AD7D66" w:rsidRPr="0038473E" w:rsidP="005B6458">
      <w:pPr>
        <w:pStyle w:val="FootnoteText"/>
        <w:rPr>
          <w:rFonts w:ascii="Century Gothic" w:hAnsi="Century Gothic"/>
        </w:rPr>
      </w:pPr>
      <w:r w:rsidRPr="0038473E">
        <w:rPr>
          <w:rFonts w:ascii="Century Gothic" w:hAnsi="Century Gothic"/>
          <w:i/>
          <w:iCs/>
        </w:rPr>
        <w:t xml:space="preserve">information environment </w:t>
      </w:r>
      <w:r w:rsidRPr="0038473E">
        <w:rPr>
          <w:rFonts w:ascii="Century Gothic" w:hAnsi="Century Gothic"/>
        </w:rPr>
        <w:t xml:space="preserve">(February 2026), </w:t>
      </w:r>
      <w:r>
        <w:fldChar w:fldCharType="begin"/>
      </w:r>
      <w:r>
        <w:instrText xml:space="preserve"> HYPERLINK "https://www.internetmatters.org/hub/research/preparing-young-people-to-vote-in-a-complex-attention-driven-environment/" </w:instrText>
      </w:r>
      <w:r>
        <w:fldChar w:fldCharType="separate"/>
      </w:r>
      <w:r w:rsidRPr="0038473E">
        <w:rPr>
          <w:rStyle w:val="Hyperlink"/>
          <w:rFonts w:ascii="Century Gothic" w:hAnsi="Century Gothic"/>
        </w:rPr>
        <w:t>link</w:t>
      </w:r>
      <w:r>
        <w:fldChar w:fldCharType="end"/>
      </w:r>
      <w:r w:rsidRPr="0038473E">
        <w:rPr>
          <w:rFonts w:ascii="Century Gothic" w:hAnsi="Century Gothic"/>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117E08"/>
    <w:multiLevelType w:val="multilevel"/>
    <w:tmpl w:val="A42A8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E30F56"/>
    <w:multiLevelType w:val="multilevel"/>
    <w:tmpl w:val="09A0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557388"/>
    <w:multiLevelType w:val="hybridMultilevel"/>
    <w:tmpl w:val="EFDED0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B06483B"/>
    <w:multiLevelType w:val="hybridMultilevel"/>
    <w:tmpl w:val="79C033D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81B1787"/>
    <w:multiLevelType w:val="multilevel"/>
    <w:tmpl w:val="B908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5F6E29"/>
    <w:multiLevelType w:val="hybridMultilevel"/>
    <w:tmpl w:val="E2D0D3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B696060"/>
    <w:multiLevelType w:val="hybridMultilevel"/>
    <w:tmpl w:val="13528F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9F16939"/>
    <w:multiLevelType w:val="hybridMultilevel"/>
    <w:tmpl w:val="1C0449F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8">
    <w:nsid w:val="55A561CA"/>
    <w:multiLevelType w:val="hybridMultilevel"/>
    <w:tmpl w:val="A9A6EF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6C870C8"/>
    <w:multiLevelType w:val="hybridMultilevel"/>
    <w:tmpl w:val="E9F26A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0F14F1E"/>
    <w:multiLevelType w:val="multilevel"/>
    <w:tmpl w:val="FA0E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691498"/>
    <w:multiLevelType w:val="hybridMultilevel"/>
    <w:tmpl w:val="8A429906"/>
    <w:lvl w:ilvl="0">
      <w:start w:val="1"/>
      <w:numFmt w:val="decimal"/>
      <w:lvlText w:val="%1."/>
      <w:lvlJc w:val="left"/>
      <w:pPr>
        <w:ind w:left="502"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78A58EF"/>
    <w:multiLevelType w:val="multilevel"/>
    <w:tmpl w:val="C1B0F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960028"/>
    <w:multiLevelType w:val="multilevel"/>
    <w:tmpl w:val="C1B0F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0E7BBD"/>
    <w:multiLevelType w:val="hybridMultilevel"/>
    <w:tmpl w:val="8B5486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1336E81"/>
    <w:multiLevelType w:val="multilevel"/>
    <w:tmpl w:val="3562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C72ABB"/>
    <w:multiLevelType w:val="hybridMultilevel"/>
    <w:tmpl w:val="ECE6F6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4"/>
  </w:num>
  <w:num w:numId="4">
    <w:abstractNumId w:val="16"/>
  </w:num>
  <w:num w:numId="5">
    <w:abstractNumId w:val="0"/>
  </w:num>
  <w:num w:numId="6">
    <w:abstractNumId w:val="13"/>
  </w:num>
  <w:num w:numId="7">
    <w:abstractNumId w:val="8"/>
  </w:num>
  <w:num w:numId="8">
    <w:abstractNumId w:val="2"/>
  </w:num>
  <w:num w:numId="9">
    <w:abstractNumId w:val="10"/>
  </w:num>
  <w:num w:numId="10">
    <w:abstractNumId w:val="9"/>
  </w:num>
  <w:num w:numId="11">
    <w:abstractNumId w:val="4"/>
  </w:num>
  <w:num w:numId="12">
    <w:abstractNumId w:val="15"/>
  </w:num>
  <w:num w:numId="13">
    <w:abstractNumId w:val="1"/>
  </w:num>
  <w:num w:numId="14">
    <w:abstractNumId w:val="7"/>
  </w:num>
  <w:num w:numId="15">
    <w:abstractNumId w:val="5"/>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46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6CE6"/>
    <w:pPr>
      <w:outlineLvl w:val="1"/>
    </w:pPr>
    <w:rPr>
      <w:b/>
      <w:bCs/>
      <w:i/>
      <w:iCs/>
    </w:rPr>
  </w:style>
  <w:style w:type="paragraph" w:styleId="Heading3">
    <w:name w:val="heading 3"/>
    <w:basedOn w:val="Normal"/>
    <w:next w:val="Normal"/>
    <w:link w:val="Heading3Char"/>
    <w:uiPriority w:val="9"/>
    <w:semiHidden/>
    <w:unhideWhenUsed/>
    <w:qFormat/>
    <w:rsid w:val="00D46C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C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C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C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C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C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C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C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6CE6"/>
    <w:rPr>
      <w:b/>
      <w:bCs/>
      <w:i/>
      <w:iCs/>
    </w:rPr>
  </w:style>
  <w:style w:type="character" w:customStyle="1" w:styleId="Heading3Char">
    <w:name w:val="Heading 3 Char"/>
    <w:basedOn w:val="DefaultParagraphFont"/>
    <w:link w:val="Heading3"/>
    <w:uiPriority w:val="9"/>
    <w:semiHidden/>
    <w:rsid w:val="00D46C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C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C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C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C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C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CE6"/>
    <w:rPr>
      <w:rFonts w:eastAsiaTheme="majorEastAsia" w:cstheme="majorBidi"/>
      <w:color w:val="272727" w:themeColor="text1" w:themeTint="D8"/>
    </w:rPr>
  </w:style>
  <w:style w:type="paragraph" w:styleId="Title">
    <w:name w:val="Title"/>
    <w:basedOn w:val="Normal"/>
    <w:next w:val="Normal"/>
    <w:link w:val="TitleChar"/>
    <w:uiPriority w:val="10"/>
    <w:qFormat/>
    <w:rsid w:val="00D46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C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C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C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CE6"/>
    <w:pPr>
      <w:spacing w:before="160"/>
      <w:jc w:val="center"/>
    </w:pPr>
    <w:rPr>
      <w:i/>
      <w:iCs/>
      <w:color w:val="404040" w:themeColor="text1" w:themeTint="BF"/>
    </w:rPr>
  </w:style>
  <w:style w:type="character" w:customStyle="1" w:styleId="QuoteChar">
    <w:name w:val="Quote Char"/>
    <w:basedOn w:val="DefaultParagraphFont"/>
    <w:link w:val="Quote"/>
    <w:uiPriority w:val="29"/>
    <w:rsid w:val="00D46CE6"/>
    <w:rPr>
      <w:i/>
      <w:iCs/>
      <w:color w:val="404040" w:themeColor="text1" w:themeTint="BF"/>
    </w:rPr>
  </w:style>
  <w:style w:type="paragraph" w:styleId="ListParagraph">
    <w:name w:val="List Paragraph"/>
    <w:basedOn w:val="Normal"/>
    <w:uiPriority w:val="34"/>
    <w:qFormat/>
    <w:rsid w:val="00D46CE6"/>
    <w:pPr>
      <w:ind w:left="720"/>
      <w:contextualSpacing/>
    </w:pPr>
  </w:style>
  <w:style w:type="character" w:styleId="IntenseEmphasis">
    <w:name w:val="Intense Emphasis"/>
    <w:basedOn w:val="DefaultParagraphFont"/>
    <w:uiPriority w:val="21"/>
    <w:qFormat/>
    <w:rsid w:val="00D46CE6"/>
    <w:rPr>
      <w:i/>
      <w:iCs/>
      <w:color w:val="0F4761" w:themeColor="accent1" w:themeShade="BF"/>
    </w:rPr>
  </w:style>
  <w:style w:type="paragraph" w:styleId="IntenseQuote">
    <w:name w:val="Intense Quote"/>
    <w:basedOn w:val="Normal"/>
    <w:next w:val="Normal"/>
    <w:link w:val="IntenseQuoteChar"/>
    <w:uiPriority w:val="30"/>
    <w:qFormat/>
    <w:rsid w:val="00D46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CE6"/>
    <w:rPr>
      <w:i/>
      <w:iCs/>
      <w:color w:val="0F4761" w:themeColor="accent1" w:themeShade="BF"/>
    </w:rPr>
  </w:style>
  <w:style w:type="character" w:styleId="IntenseReference">
    <w:name w:val="Intense Reference"/>
    <w:basedOn w:val="DefaultParagraphFont"/>
    <w:uiPriority w:val="32"/>
    <w:qFormat/>
    <w:rsid w:val="00D46CE6"/>
    <w:rPr>
      <w:b/>
      <w:bCs/>
      <w:smallCaps/>
      <w:color w:val="0F4761" w:themeColor="accent1" w:themeShade="BF"/>
      <w:spacing w:val="5"/>
    </w:rPr>
  </w:style>
  <w:style w:type="paragraph" w:styleId="FootnoteText">
    <w:name w:val="footnote text"/>
    <w:basedOn w:val="Normal"/>
    <w:link w:val="FootnoteTextChar"/>
    <w:uiPriority w:val="99"/>
    <w:semiHidden/>
    <w:unhideWhenUsed/>
    <w:rsid w:val="00D46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6CE6"/>
    <w:rPr>
      <w:sz w:val="20"/>
      <w:szCs w:val="20"/>
    </w:rPr>
  </w:style>
  <w:style w:type="character" w:styleId="FootnoteReference">
    <w:name w:val="footnote reference"/>
    <w:basedOn w:val="DefaultParagraphFont"/>
    <w:uiPriority w:val="99"/>
    <w:semiHidden/>
    <w:unhideWhenUsed/>
    <w:rsid w:val="00D46CE6"/>
    <w:rPr>
      <w:vertAlign w:val="superscript"/>
    </w:rPr>
  </w:style>
  <w:style w:type="character" w:styleId="CommentReference">
    <w:name w:val="annotation reference"/>
    <w:basedOn w:val="DefaultParagraphFont"/>
    <w:uiPriority w:val="99"/>
    <w:semiHidden/>
    <w:unhideWhenUsed/>
    <w:rsid w:val="00D46CE6"/>
    <w:rPr>
      <w:sz w:val="16"/>
      <w:szCs w:val="16"/>
    </w:rPr>
  </w:style>
  <w:style w:type="paragraph" w:styleId="CommentText">
    <w:name w:val="annotation text"/>
    <w:basedOn w:val="Normal"/>
    <w:link w:val="CommentTextChar"/>
    <w:uiPriority w:val="99"/>
    <w:unhideWhenUsed/>
    <w:rsid w:val="00D46CE6"/>
    <w:pPr>
      <w:spacing w:line="240" w:lineRule="auto"/>
    </w:pPr>
    <w:rPr>
      <w:sz w:val="20"/>
      <w:szCs w:val="20"/>
    </w:rPr>
  </w:style>
  <w:style w:type="character" w:customStyle="1" w:styleId="CommentTextChar">
    <w:name w:val="Comment Text Char"/>
    <w:basedOn w:val="DefaultParagraphFont"/>
    <w:link w:val="CommentText"/>
    <w:uiPriority w:val="99"/>
    <w:rsid w:val="00D46CE6"/>
    <w:rPr>
      <w:sz w:val="20"/>
      <w:szCs w:val="20"/>
    </w:rPr>
  </w:style>
  <w:style w:type="paragraph" w:styleId="NormalWeb">
    <w:name w:val="Normal (Web)"/>
    <w:basedOn w:val="Normal"/>
    <w:uiPriority w:val="99"/>
    <w:unhideWhenUsed/>
    <w:rsid w:val="005B657D"/>
    <w:pPr>
      <w:spacing w:before="100" w:beforeAutospacing="1" w:after="100" w:afterAutospacing="1" w:line="240" w:lineRule="auto"/>
    </w:pPr>
    <w:rPr>
      <w:rFonts w:ascii="Times New Roman" w:eastAsia="Times New Roman" w:hAnsi="Times New Roman" w:cs="Times New Roman"/>
      <w:kern w:val="0"/>
      <w:lang w:eastAsia="en-GB"/>
    </w:rPr>
  </w:style>
  <w:style w:type="paragraph" w:styleId="Revision">
    <w:name w:val="Revision"/>
    <w:hidden/>
    <w:uiPriority w:val="99"/>
    <w:semiHidden/>
    <w:rsid w:val="00C32A8A"/>
    <w:pPr>
      <w:spacing w:after="0" w:line="240" w:lineRule="auto"/>
    </w:pPr>
  </w:style>
  <w:style w:type="paragraph" w:styleId="CommentSubject">
    <w:name w:val="annotation subject"/>
    <w:basedOn w:val="CommentText"/>
    <w:next w:val="CommentText"/>
    <w:link w:val="CommentSubjectChar"/>
    <w:uiPriority w:val="99"/>
    <w:semiHidden/>
    <w:unhideWhenUsed/>
    <w:rsid w:val="00C32A8A"/>
    <w:rPr>
      <w:b/>
      <w:bCs/>
    </w:rPr>
  </w:style>
  <w:style w:type="character" w:customStyle="1" w:styleId="CommentSubjectChar">
    <w:name w:val="Comment Subject Char"/>
    <w:basedOn w:val="CommentTextChar"/>
    <w:link w:val="CommentSubject"/>
    <w:uiPriority w:val="99"/>
    <w:semiHidden/>
    <w:rsid w:val="00C32A8A"/>
    <w:rPr>
      <w:b/>
      <w:bCs/>
      <w:sz w:val="20"/>
      <w:szCs w:val="20"/>
    </w:rPr>
  </w:style>
  <w:style w:type="paragraph" w:styleId="Header">
    <w:name w:val="header"/>
    <w:basedOn w:val="Normal"/>
    <w:link w:val="HeaderChar"/>
    <w:uiPriority w:val="99"/>
    <w:semiHidden/>
    <w:unhideWhenUsed/>
    <w:rsid w:val="005576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760A"/>
  </w:style>
  <w:style w:type="paragraph" w:styleId="Footer">
    <w:name w:val="footer"/>
    <w:basedOn w:val="Normal"/>
    <w:link w:val="FooterChar"/>
    <w:uiPriority w:val="99"/>
    <w:semiHidden/>
    <w:unhideWhenUsed/>
    <w:rsid w:val="005576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5760A"/>
  </w:style>
  <w:style w:type="character" w:styleId="Hyperlink">
    <w:name w:val="Hyperlink"/>
    <w:basedOn w:val="DefaultParagraphFont"/>
    <w:uiPriority w:val="99"/>
    <w:unhideWhenUsed/>
    <w:rsid w:val="00C122DE"/>
    <w:rPr>
      <w:color w:val="467886" w:themeColor="hyperlink"/>
      <w:u w:val="single"/>
    </w:rPr>
  </w:style>
  <w:style w:type="paragraph" w:styleId="EndnoteText">
    <w:name w:val="endnote text"/>
    <w:basedOn w:val="Normal"/>
    <w:link w:val="EndnoteTextChar"/>
    <w:uiPriority w:val="99"/>
    <w:semiHidden/>
    <w:unhideWhenUsed/>
    <w:rsid w:val="00251D3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1D31"/>
    <w:rPr>
      <w:sz w:val="20"/>
      <w:szCs w:val="20"/>
    </w:rPr>
  </w:style>
  <w:style w:type="character" w:styleId="EndnoteReference">
    <w:name w:val="endnote reference"/>
    <w:basedOn w:val="DefaultParagraphFont"/>
    <w:uiPriority w:val="99"/>
    <w:semiHidden/>
    <w:unhideWhenUsed/>
    <w:rsid w:val="00251D31"/>
    <w:rPr>
      <w:vertAlign w:val="superscript"/>
    </w:rPr>
  </w:style>
  <w:style w:type="character" w:customStyle="1" w:styleId="UnresolvedMention1">
    <w:name w:val="Unresolved Mention1"/>
    <w:basedOn w:val="DefaultParagraphFont"/>
    <w:uiPriority w:val="99"/>
    <w:semiHidden/>
    <w:unhideWhenUsed/>
    <w:rsid w:val="00873B77"/>
    <w:rPr>
      <w:color w:val="605E5C"/>
      <w:shd w:val="clear" w:color="auto" w:fill="E1DFDD"/>
    </w:rPr>
  </w:style>
  <w:style w:type="character" w:styleId="FollowedHyperlink">
    <w:name w:val="FollowedHyperlink"/>
    <w:basedOn w:val="DefaultParagraphFont"/>
    <w:uiPriority w:val="99"/>
    <w:semiHidden/>
    <w:unhideWhenUsed/>
    <w:rsid w:val="00A03E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bc0e59-02d6-4b42-b0b0-462b7a285c36" xsi:nil="true"/>
    <lcf76f155ced4ddcb4097134ff3c332f xmlns="75cd02d9-b783-4e3d-ab7b-e8c32f5db2e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25226D7B19CC04E8356726D947DA6F4" ma:contentTypeVersion="18" ma:contentTypeDescription="Create a new document." ma:contentTypeScope="" ma:versionID="3a5f6ca88d01484df75345335d250c84">
  <xsd:schema xmlns:xsd="http://www.w3.org/2001/XMLSchema" xmlns:xs="http://www.w3.org/2001/XMLSchema" xmlns:p="http://schemas.microsoft.com/office/2006/metadata/properties" xmlns:ns2="75cd02d9-b783-4e3d-ab7b-e8c32f5db2ed" xmlns:ns3="3dbc0e59-02d6-4b42-b0b0-462b7a285c36" targetNamespace="http://schemas.microsoft.com/office/2006/metadata/properties" ma:root="true" ma:fieldsID="d9c9e587d64866457666905d63fef4f1" ns2:_="" ns3:_="">
    <xsd:import namespace="75cd02d9-b783-4e3d-ab7b-e8c32f5db2ed"/>
    <xsd:import namespace="3dbc0e59-02d6-4b42-b0b0-462b7a285c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d02d9-b783-4e3d-ab7b-e8c32f5db2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50e48a-81cd-4bbe-8b8e-998ab68a0ed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c0e59-02d6-4b42-b0b0-462b7a285c3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945896b-ee66-49f0-a86a-29f3d3913b81}" ma:internalName="TaxCatchAll" ma:showField="CatchAllData" ma:web="3dbc0e59-02d6-4b42-b0b0-462b7a285c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898CA-9C04-4E98-8AA1-C2F20B8FFC4A}">
  <ds:schemaRefs>
    <ds:schemaRef ds:uri="http://schemas.microsoft.com/office/2006/metadata/properties"/>
    <ds:schemaRef ds:uri="http://schemas.microsoft.com/office/infopath/2007/PartnerControls"/>
    <ds:schemaRef ds:uri="3dbc0e59-02d6-4b42-b0b0-462b7a285c36"/>
    <ds:schemaRef ds:uri="75cd02d9-b783-4e3d-ab7b-e8c32f5db2ed"/>
  </ds:schemaRefs>
</ds:datastoreItem>
</file>

<file path=customXml/itemProps2.xml><?xml version="1.0" encoding="utf-8"?>
<ds:datastoreItem xmlns:ds="http://schemas.openxmlformats.org/officeDocument/2006/customXml" ds:itemID="{E2222E6D-7860-472C-B5BF-8A229754C199}">
  <ds:schemaRefs>
    <ds:schemaRef ds:uri="http://schemas.openxmlformats.org/officeDocument/2006/bibliography"/>
  </ds:schemaRefs>
</ds:datastoreItem>
</file>

<file path=customXml/itemProps3.xml><?xml version="1.0" encoding="utf-8"?>
<ds:datastoreItem xmlns:ds="http://schemas.openxmlformats.org/officeDocument/2006/customXml" ds:itemID="{B0C946A9-A3B2-4A58-B239-5F3AD8437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d02d9-b783-4e3d-ab7b-e8c32f5db2ed"/>
    <ds:schemaRef ds:uri="3dbc0e59-02d6-4b42-b0b0-462b7a285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1ECC45-4558-479F-8872-29396A969E31}">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ECA0090</dc:title>
  <cp:revision>0</cp:revision>
</cp:coreProperties>
</file>