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527D6" w:rsidRPr="008527D6" w:rsidP="008527D6">
      <w:pPr>
        <w:jc w:val="center"/>
        <w:rPr>
          <w:rFonts w:ascii="Calibri" w:hAnsi="Calibri" w:cs="Calibri"/>
          <w:b/>
          <w:bCs/>
          <w:sz w:val="22"/>
          <w:szCs w:val="22"/>
          <w:lang w:val="en-GB"/>
        </w:rPr>
      </w:pPr>
      <w:r w:rsidRPr="008527D6">
        <w:rPr>
          <w:rFonts w:ascii="Calibri" w:hAnsi="Calibri" w:cs="Calibri"/>
          <w:b/>
          <w:bCs/>
          <w:sz w:val="22"/>
          <w:szCs w:val="22"/>
          <w:lang w:val="en-GB"/>
        </w:rPr>
        <w:t xml:space="preserve">Written evidence by </w:t>
      </w:r>
      <w:r w:rsidRPr="008527D6">
        <w:rPr>
          <w:rFonts w:ascii="Calibri" w:hAnsi="Calibri" w:cs="Calibri"/>
          <w:b/>
          <w:bCs/>
          <w:sz w:val="22"/>
          <w:szCs w:val="22"/>
          <w:lang w:val="en-GB"/>
        </w:rPr>
        <w:t>STEM Learning</w:t>
      </w:r>
      <w:r w:rsidRPr="008527D6">
        <w:rPr>
          <w:rFonts w:ascii="Calibri" w:hAnsi="Calibri" w:cs="Calibri"/>
          <w:b/>
          <w:bCs/>
          <w:sz w:val="22"/>
          <w:szCs w:val="22"/>
          <w:lang w:val="en-GB"/>
        </w:rPr>
        <w:t xml:space="preserve"> (</w:t>
      </w:r>
      <w:r w:rsidRPr="008527D6">
        <w:rPr>
          <w:rFonts w:ascii="Calibri" w:hAnsi="Calibri" w:cs="Calibri"/>
          <w:b/>
          <w:bCs/>
          <w:sz w:val="22"/>
          <w:szCs w:val="22"/>
          <w:lang w:val="en-GB"/>
        </w:rPr>
        <w:t>ECA0088</w:t>
      </w:r>
      <w:r w:rsidRPr="008527D6">
        <w:rPr>
          <w:rFonts w:ascii="Calibri" w:hAnsi="Calibri" w:cs="Calibri"/>
          <w:b/>
          <w:bCs/>
          <w:sz w:val="22"/>
          <w:szCs w:val="22"/>
          <w:lang w:val="en-GB"/>
        </w:rPr>
        <w:t>)</w:t>
      </w:r>
    </w:p>
    <w:p w:rsidR="008527D6" w:rsidRPr="008527D6" w:rsidP="008527D6">
      <w:pPr>
        <w:rPr>
          <w:rFonts w:ascii="Calibri" w:hAnsi="Calibri" w:cs="Calibri"/>
          <w:b/>
          <w:bCs/>
          <w:sz w:val="22"/>
          <w:szCs w:val="22"/>
          <w:lang w:val="en-GB"/>
        </w:rPr>
      </w:pPr>
      <w:r w:rsidRPr="008527D6">
        <w:rPr>
          <w:rFonts w:ascii="Calibri" w:hAnsi="Calibri" w:cs="Calibri"/>
          <w:b/>
          <w:bCs/>
          <w:sz w:val="22"/>
          <w:szCs w:val="22"/>
          <w:lang w:val="en-GB"/>
        </w:rPr>
        <w:t>Education committee</w:t>
      </w:r>
    </w:p>
    <w:p w:rsidR="008527D6" w:rsidRPr="008527D6" w:rsidP="008527D6">
      <w:pPr>
        <w:rPr>
          <w:rFonts w:ascii="Calibri" w:hAnsi="Calibri" w:cs="Calibri"/>
          <w:b/>
          <w:bCs/>
          <w:sz w:val="22"/>
          <w:szCs w:val="22"/>
          <w:lang w:val="en-GB"/>
        </w:rPr>
      </w:pPr>
      <w:r w:rsidRPr="008527D6">
        <w:rPr>
          <w:rFonts w:ascii="Calibri" w:eastAsia="Times New Roman" w:hAnsi="Calibri" w:cs="Calibri"/>
          <w:b/>
          <w:bCs/>
          <w:sz w:val="22"/>
          <w:szCs w:val="22"/>
        </w:rPr>
        <w:t>Every Child Achieving and Thriving’ White Paper</w:t>
      </w:r>
    </w:p>
    <w:p w:rsidR="008527D6" w:rsidRPr="008527D6" w:rsidP="008527D6">
      <w:pPr>
        <w:jc w:val="center"/>
        <w:rPr>
          <w:rFonts w:ascii="Calibri" w:hAnsi="Calibri" w:cs="Calibri"/>
          <w:b/>
          <w:bCs/>
          <w:sz w:val="22"/>
          <w:szCs w:val="22"/>
          <w:lang w:val="en-GB"/>
        </w:rPr>
      </w:pPr>
    </w:p>
    <w:p w:rsidR="00000000" w:rsidRPr="008527D6" w:rsidP="008527D6">
      <w:pPr>
        <w:jc w:val="center"/>
        <w:rPr>
          <w:rFonts w:ascii="Calibri" w:hAnsi="Calibri" w:cs="Calibri"/>
          <w:b/>
          <w:bCs/>
          <w:sz w:val="22"/>
          <w:szCs w:val="22"/>
          <w:u w:val="single"/>
          <w:lang w:val="en-GB"/>
        </w:rPr>
      </w:pPr>
      <w:r w:rsidRPr="008527D6">
        <w:rPr>
          <w:rFonts w:ascii="Calibri" w:hAnsi="Calibri" w:cs="Calibri"/>
          <w:b/>
          <w:bCs/>
          <w:sz w:val="22"/>
          <w:szCs w:val="22"/>
          <w:u w:val="single"/>
          <w:lang w:val="en-GB"/>
        </w:rPr>
        <w:t>About STEM Learning</w:t>
      </w:r>
    </w:p>
    <w:p w:rsidR="00000000" w:rsidRPr="008527D6" w:rsidP="009B4F38">
      <w:pPr>
        <w:pStyle w:val="ListParagraph"/>
        <w:numPr>
          <w:ilvl w:val="0"/>
          <w:numId w:val="9"/>
        </w:numPr>
        <w:rPr>
          <w:rFonts w:ascii="Calibri" w:hAnsi="Calibri" w:cs="Calibri"/>
          <w:sz w:val="22"/>
          <w:szCs w:val="22"/>
          <w:lang w:val="en-GB"/>
        </w:rPr>
      </w:pPr>
      <w:r w:rsidRPr="008527D6">
        <w:rPr>
          <w:rFonts w:ascii="Calibri" w:hAnsi="Calibri" w:cs="Calibri"/>
          <w:sz w:val="22"/>
          <w:szCs w:val="22"/>
          <w:lang w:val="en-GB"/>
        </w:rPr>
        <w:t xml:space="preserve">STEM Learning is </w:t>
      </w:r>
      <w:r w:rsidRPr="008527D6">
        <w:rPr>
          <w:rFonts w:ascii="Calibri" w:hAnsi="Calibri" w:cs="Calibri"/>
          <w:sz w:val="22"/>
          <w:szCs w:val="22"/>
          <w:lang w:val="en-GB"/>
        </w:rPr>
        <w:t xml:space="preserve">a </w:t>
      </w:r>
      <w:r w:rsidRPr="008527D6">
        <w:rPr>
          <w:rFonts w:ascii="Calibri" w:hAnsi="Calibri" w:cs="Calibri"/>
          <w:sz w:val="22"/>
          <w:szCs w:val="22"/>
          <w:lang w:val="en-GB"/>
        </w:rPr>
        <w:t>national provider of STEM education and careers support. We work with teachers, schools, employers, universities and volunteers to improve outcomes for young people through professional development, enrichment and employer engagement.</w:t>
      </w:r>
    </w:p>
    <w:p w:rsidR="00000000" w:rsidRPr="008527D6" w:rsidP="009B4F38">
      <w:pPr>
        <w:pStyle w:val="ListParagraph"/>
        <w:numPr>
          <w:ilvl w:val="0"/>
          <w:numId w:val="9"/>
        </w:numPr>
        <w:rPr>
          <w:rFonts w:ascii="Calibri" w:hAnsi="Calibri" w:cs="Calibri"/>
          <w:sz w:val="22"/>
          <w:szCs w:val="22"/>
          <w:lang w:val="en-GB"/>
        </w:rPr>
      </w:pPr>
      <w:r w:rsidRPr="008527D6">
        <w:rPr>
          <w:rFonts w:ascii="Calibri" w:hAnsi="Calibri" w:cs="Calibri"/>
          <w:sz w:val="22"/>
          <w:szCs w:val="22"/>
          <w:lang w:val="en-GB"/>
        </w:rPr>
        <w:t>Our evidence suggests that improving attainment, reducing disadvantage and preparing young people for future employment requires sustained investment in three areas: high-quality subject-specific professional development for teachers, targeted enrichment for young people, and stronger partnerships between schools, employers and communities.</w:t>
      </w:r>
    </w:p>
    <w:p w:rsidR="00000000" w:rsidRPr="008527D6" w:rsidP="009B4F38">
      <w:pPr>
        <w:pStyle w:val="ListParagraph"/>
        <w:numPr>
          <w:ilvl w:val="0"/>
          <w:numId w:val="9"/>
        </w:numPr>
        <w:rPr>
          <w:rFonts w:ascii="Calibri" w:hAnsi="Calibri" w:cs="Calibri"/>
          <w:sz w:val="22"/>
          <w:szCs w:val="22"/>
          <w:lang w:val="en-GB"/>
        </w:rPr>
      </w:pPr>
      <w:r w:rsidRPr="008527D6">
        <w:rPr>
          <w:rFonts w:ascii="Calibri" w:hAnsi="Calibri" w:cs="Calibri"/>
          <w:sz w:val="22"/>
          <w:szCs w:val="22"/>
          <w:lang w:val="en-GB"/>
        </w:rPr>
        <w:t>These should be viewed as core components of school improvement rather than additional activity.</w:t>
      </w:r>
    </w:p>
    <w:p w:rsidR="00000000" w:rsidRPr="008527D6" w:rsidP="00697EE4">
      <w:pPr>
        <w:pStyle w:val="ListParagraph"/>
        <w:ind w:left="360"/>
        <w:rPr>
          <w:rFonts w:ascii="Calibri" w:hAnsi="Calibri" w:cs="Calibri"/>
          <w:sz w:val="22"/>
          <w:szCs w:val="22"/>
          <w:lang w:val="en-GB"/>
        </w:rPr>
      </w:pPr>
    </w:p>
    <w:p w:rsidR="00000000" w:rsidRPr="008527D6" w:rsidP="00483E64">
      <w:pPr>
        <w:rPr>
          <w:rFonts w:ascii="Calibri" w:hAnsi="Calibri" w:cs="Calibri"/>
          <w:b/>
          <w:bCs/>
          <w:sz w:val="22"/>
          <w:szCs w:val="22"/>
          <w:u w:val="single"/>
          <w:lang w:val="en-GB"/>
        </w:rPr>
      </w:pPr>
      <w:r w:rsidRPr="008527D6">
        <w:rPr>
          <w:rFonts w:ascii="Calibri" w:hAnsi="Calibri" w:cs="Calibri"/>
          <w:b/>
          <w:bCs/>
          <w:sz w:val="22"/>
          <w:szCs w:val="22"/>
          <w:u w:val="single"/>
          <w:lang w:val="en-GB"/>
        </w:rPr>
        <w:t>Raising attainment through teacher expertise</w:t>
      </w:r>
    </w:p>
    <w:p w:rsidR="00000000" w:rsidRPr="008527D6" w:rsidP="009B4F38">
      <w:pPr>
        <w:pStyle w:val="ListParagraph"/>
        <w:numPr>
          <w:ilvl w:val="0"/>
          <w:numId w:val="9"/>
        </w:numPr>
        <w:rPr>
          <w:rFonts w:ascii="Calibri" w:hAnsi="Calibri" w:cs="Calibri"/>
          <w:sz w:val="22"/>
          <w:szCs w:val="22"/>
          <w:lang w:val="en-GB"/>
        </w:rPr>
      </w:pPr>
      <w:r w:rsidRPr="008527D6">
        <w:rPr>
          <w:rFonts w:ascii="Calibri" w:hAnsi="Calibri" w:cs="Calibri"/>
          <w:sz w:val="22"/>
          <w:szCs w:val="22"/>
          <w:lang w:val="en-GB"/>
        </w:rPr>
        <w:t>High-quality teaching is one of the most effective drivers of pupil attainment. In STEM subjects, this depends not only on strong classroom practice but also on deep subject knowledge and subject-specific pedagogy.</w:t>
      </w:r>
    </w:p>
    <w:p w:rsidR="00000000" w:rsidRPr="008527D6" w:rsidP="009B4F38">
      <w:pPr>
        <w:pStyle w:val="ListParagraph"/>
        <w:numPr>
          <w:ilvl w:val="0"/>
          <w:numId w:val="9"/>
        </w:numPr>
        <w:rPr>
          <w:rFonts w:ascii="Calibri" w:hAnsi="Calibri" w:cs="Calibri"/>
          <w:sz w:val="22"/>
          <w:szCs w:val="22"/>
          <w:lang w:val="en-GB"/>
        </w:rPr>
      </w:pPr>
      <w:r w:rsidRPr="008527D6">
        <w:rPr>
          <w:rFonts w:ascii="Calibri" w:hAnsi="Calibri" w:cs="Calibri"/>
          <w:sz w:val="22"/>
          <w:szCs w:val="22"/>
          <w:lang w:val="en-GB"/>
        </w:rPr>
        <w:t>Evidence consistently shows that teacher expertise and subject-specific</w:t>
      </w:r>
      <w:r w:rsidRPr="008527D6">
        <w:rPr>
          <w:rFonts w:ascii="Calibri" w:hAnsi="Calibri" w:cs="Calibri"/>
          <w:sz w:val="22"/>
          <w:szCs w:val="22"/>
          <w:lang w:val="en-GB"/>
        </w:rPr>
        <w:t xml:space="preserve"> professional development are important drivers of attainment. </w:t>
      </w:r>
      <w:r w:rsidRPr="008527D6">
        <w:rPr>
          <w:rFonts w:ascii="Calibri" w:hAnsi="Calibri" w:cs="Calibri"/>
          <w:sz w:val="22"/>
          <w:szCs w:val="22"/>
          <w:lang w:val="en-GB"/>
        </w:rPr>
        <w:t>Evidence from STEM Learning's programmes reinforces this.</w:t>
      </w:r>
      <w:r w:rsidRPr="008527D6">
        <w:rPr>
          <w:rFonts w:ascii="Calibri" w:hAnsi="Calibri" w:cs="Calibri"/>
          <w:sz w:val="22"/>
          <w:szCs w:val="22"/>
          <w:lang w:val="en-GB"/>
        </w:rPr>
        <w:t xml:space="preserve"> In 2024/25, STEM Learning provided professional development to more than 20,200 teachers, improving teaching and learning for over 3.4 million young people. Evaluation found that 95% of teachers reported increased confidence in their teaching and professional practice following participation in STEM Learning CPD. Importantly, this translated into changes in classroom practice, with 97% making changes to their teaching approach. Teachers also reported positive impacts on learners, with 82% seeing increased pupil engagement and 76% reporting increased pupil progress or attainment </w:t>
      </w:r>
      <w:r w:rsidRPr="008527D6">
        <w:rPr>
          <w:rFonts w:ascii="Calibri" w:hAnsi="Calibri" w:cs="Calibri"/>
          <w:sz w:val="22"/>
          <w:szCs w:val="22"/>
          <w:lang w:val="en-GB"/>
        </w:rPr>
        <w:t>as a result of</w:t>
      </w:r>
      <w:r w:rsidRPr="008527D6">
        <w:rPr>
          <w:rFonts w:ascii="Calibri" w:hAnsi="Calibri" w:cs="Calibri"/>
          <w:sz w:val="22"/>
          <w:szCs w:val="22"/>
          <w:lang w:val="en-GB"/>
        </w:rPr>
        <w:t xml:space="preserve"> the CPD they attended</w:t>
      </w:r>
      <w:r w:rsidRPr="008527D6">
        <w:rPr>
          <w:rFonts w:ascii="Calibri" w:hAnsi="Calibri" w:cs="Calibri"/>
          <w:sz w:val="22"/>
          <w:szCs w:val="22"/>
          <w:lang w:val="en-GB"/>
        </w:rPr>
        <w:t>.</w:t>
      </w:r>
      <w:r>
        <w:rPr>
          <w:rStyle w:val="FootnoteReference"/>
          <w:rFonts w:ascii="Calibri" w:hAnsi="Calibri" w:cs="Calibri"/>
          <w:sz w:val="22"/>
          <w:szCs w:val="22"/>
          <w:lang w:val="en-GB"/>
        </w:rPr>
        <w:footnoteReference w:id="2"/>
      </w:r>
    </w:p>
    <w:p w:rsidR="00000000" w:rsidRPr="008527D6" w:rsidP="009B4F38">
      <w:pPr>
        <w:pStyle w:val="ListParagraph"/>
        <w:numPr>
          <w:ilvl w:val="0"/>
          <w:numId w:val="9"/>
        </w:numPr>
        <w:rPr>
          <w:rFonts w:ascii="Calibri" w:hAnsi="Calibri" w:cs="Calibri"/>
          <w:sz w:val="22"/>
          <w:szCs w:val="22"/>
          <w:lang w:val="en-GB"/>
        </w:rPr>
      </w:pPr>
      <w:r w:rsidRPr="008527D6">
        <w:rPr>
          <w:rFonts w:ascii="Calibri" w:hAnsi="Calibri" w:cs="Calibri"/>
          <w:sz w:val="22"/>
          <w:szCs w:val="22"/>
          <w:lang w:val="en-GB"/>
        </w:rPr>
        <w:t>These findings demonstrate a clear link between investment in teacher development, improvements in classroom practice and better outcomes for pupils. They also highlight the importance of sustained professional development in shortage subjects, where access to specialist teaching can be limited.</w:t>
      </w:r>
    </w:p>
    <w:p w:rsidR="00000000" w:rsidRPr="008527D6" w:rsidP="00483E64">
      <w:pPr>
        <w:rPr>
          <w:rFonts w:ascii="Calibri" w:hAnsi="Calibri" w:cs="Calibri"/>
          <w:b/>
          <w:bCs/>
          <w:sz w:val="22"/>
          <w:szCs w:val="22"/>
          <w:lang w:val="en-GB"/>
        </w:rPr>
      </w:pPr>
      <w:r w:rsidRPr="008527D6">
        <w:rPr>
          <w:rFonts w:ascii="Calibri" w:hAnsi="Calibri" w:cs="Calibri"/>
          <w:b/>
          <w:bCs/>
          <w:sz w:val="22"/>
          <w:szCs w:val="22"/>
          <w:lang w:val="en-GB"/>
        </w:rPr>
        <w:t>Recommendation</w:t>
      </w:r>
    </w:p>
    <w:p w:rsidR="00000000" w:rsidRPr="008527D6" w:rsidP="00483E64">
      <w:pPr>
        <w:pStyle w:val="ListParagraph"/>
        <w:numPr>
          <w:ilvl w:val="0"/>
          <w:numId w:val="9"/>
        </w:numPr>
        <w:rPr>
          <w:rFonts w:ascii="Calibri" w:hAnsi="Calibri" w:cs="Calibri"/>
          <w:sz w:val="22"/>
          <w:szCs w:val="22"/>
          <w:lang w:val="en-GB"/>
        </w:rPr>
      </w:pPr>
      <w:r w:rsidRPr="008527D6">
        <w:rPr>
          <w:rFonts w:ascii="Calibri" w:hAnsi="Calibri" w:cs="Calibri"/>
          <w:sz w:val="22"/>
          <w:szCs w:val="22"/>
          <w:lang w:val="en-GB"/>
        </w:rPr>
        <w:t xml:space="preserve">The proposed Teacher Training Entitlement should include sustained subject-specific professional development throughout a teacher's career, particularly in shortage subjects such as physics, </w:t>
      </w:r>
      <w:r w:rsidRPr="008527D6">
        <w:rPr>
          <w:rFonts w:ascii="Calibri" w:hAnsi="Calibri" w:cs="Calibri"/>
          <w:sz w:val="22"/>
          <w:szCs w:val="22"/>
          <w:lang w:val="en-GB"/>
        </w:rPr>
        <w:t xml:space="preserve">computing and mathematics and those that underpin the </w:t>
      </w:r>
      <w:r w:rsidRPr="008527D6">
        <w:rPr>
          <w:rFonts w:ascii="Calibri" w:hAnsi="Calibri" w:cs="Calibri"/>
          <w:sz w:val="22"/>
          <w:szCs w:val="22"/>
          <w:lang w:val="en-GB"/>
        </w:rPr>
        <w:t xml:space="preserve">government's </w:t>
      </w:r>
      <w:r w:rsidRPr="008527D6">
        <w:rPr>
          <w:rFonts w:ascii="Calibri" w:hAnsi="Calibri" w:cs="Calibri"/>
          <w:sz w:val="22"/>
          <w:szCs w:val="22"/>
          <w:lang w:val="en-GB"/>
        </w:rPr>
        <w:t xml:space="preserve">priority sectors </w:t>
      </w:r>
      <w:r w:rsidRPr="008527D6">
        <w:rPr>
          <w:rFonts w:ascii="Calibri" w:hAnsi="Calibri" w:cs="Calibri"/>
          <w:sz w:val="22"/>
          <w:szCs w:val="22"/>
          <w:lang w:val="en-GB"/>
        </w:rPr>
        <w:t>outlined in the Modern Industrial Strategy</w:t>
      </w:r>
      <w:r w:rsidRPr="008527D6">
        <w:rPr>
          <w:rFonts w:ascii="Calibri" w:hAnsi="Calibri" w:cs="Calibri"/>
          <w:sz w:val="22"/>
          <w:szCs w:val="22"/>
          <w:lang w:val="en-GB"/>
        </w:rPr>
        <w:t>.</w:t>
      </w:r>
      <w:r>
        <w:rPr>
          <w:rStyle w:val="FootnoteReference"/>
          <w:rFonts w:ascii="Calibri" w:hAnsi="Calibri" w:cs="Calibri"/>
          <w:sz w:val="22"/>
          <w:szCs w:val="22"/>
          <w:lang w:val="en-GB"/>
        </w:rPr>
        <w:footnoteReference w:id="3"/>
      </w:r>
    </w:p>
    <w:p w:rsidR="00000000" w:rsidRPr="008527D6" w:rsidP="00483E64">
      <w:pPr>
        <w:rPr>
          <w:rFonts w:ascii="Calibri" w:hAnsi="Calibri" w:cs="Calibri"/>
          <w:b/>
          <w:bCs/>
          <w:sz w:val="22"/>
          <w:szCs w:val="22"/>
          <w:u w:val="single"/>
          <w:lang w:val="en-GB"/>
        </w:rPr>
      </w:pPr>
      <w:r w:rsidRPr="008527D6">
        <w:rPr>
          <w:rFonts w:ascii="Calibri" w:hAnsi="Calibri" w:cs="Calibri"/>
          <w:b/>
          <w:bCs/>
          <w:sz w:val="22"/>
          <w:szCs w:val="22"/>
          <w:u w:val="single"/>
          <w:lang w:val="en-GB"/>
        </w:rPr>
        <w:t>Reducing disadvantage through enrichment, aspiration and belonging</w:t>
      </w:r>
    </w:p>
    <w:p w:rsidR="00000000" w:rsidRPr="008527D6" w:rsidP="0065562D">
      <w:pPr>
        <w:pStyle w:val="ListParagraph"/>
        <w:numPr>
          <w:ilvl w:val="0"/>
          <w:numId w:val="9"/>
        </w:numPr>
        <w:rPr>
          <w:rFonts w:ascii="Calibri" w:hAnsi="Calibri" w:cs="Calibri"/>
          <w:sz w:val="22"/>
          <w:szCs w:val="22"/>
          <w:lang w:val="en-GB"/>
        </w:rPr>
      </w:pPr>
      <w:r w:rsidRPr="008527D6">
        <w:rPr>
          <w:rFonts w:ascii="Calibri" w:hAnsi="Calibri" w:cs="Calibri"/>
          <w:sz w:val="22"/>
          <w:szCs w:val="22"/>
          <w:lang w:val="en-GB"/>
        </w:rPr>
        <w:t>Disadvantage is often reinforced by unequal access to enrichment, employer encounters, role models and information about future pathways. Young people from disadvantaged backgrounds are less likely to access the experiences that build confidence, aspiration and a sense of belonging in STEM.</w:t>
      </w:r>
    </w:p>
    <w:p w:rsidR="00000000" w:rsidRPr="008527D6" w:rsidP="0065562D">
      <w:pPr>
        <w:pStyle w:val="ListParagraph"/>
        <w:numPr>
          <w:ilvl w:val="0"/>
          <w:numId w:val="9"/>
        </w:numPr>
        <w:rPr>
          <w:rFonts w:ascii="Calibri" w:hAnsi="Calibri" w:cs="Calibri"/>
          <w:sz w:val="22"/>
          <w:szCs w:val="22"/>
          <w:lang w:val="en-GB"/>
        </w:rPr>
      </w:pPr>
      <w:r w:rsidRPr="008527D6">
        <w:rPr>
          <w:rFonts w:ascii="Calibri" w:hAnsi="Calibri" w:cs="Calibri"/>
          <w:sz w:val="22"/>
          <w:szCs w:val="22"/>
          <w:lang w:val="en-GB"/>
        </w:rPr>
        <w:t>The challenge is particularly important in STEM given the role STEM skills play in economic growth and the persistent skills shortages facing many sectors. STEM occupations account for approximately 9.4 million jobs across the UK, representing around 29% of total employment, yet skills shortages remain significant, with 49% of engineering and technology businesses reporting recruitment difficulties.</w:t>
      </w:r>
      <w:r>
        <w:rPr>
          <w:rStyle w:val="FootnoteReference"/>
          <w:rFonts w:ascii="Calibri" w:hAnsi="Calibri" w:cs="Calibri"/>
          <w:sz w:val="22"/>
          <w:szCs w:val="22"/>
          <w:lang w:val="en-GB"/>
        </w:rPr>
        <w:footnoteReference w:id="4"/>
      </w:r>
      <w:r w:rsidRPr="008527D6">
        <w:rPr>
          <w:rFonts w:ascii="Calibri" w:hAnsi="Calibri" w:cs="Calibri"/>
          <w:sz w:val="22"/>
          <w:szCs w:val="22"/>
          <w:lang w:val="en-GB"/>
        </w:rPr>
        <w:t xml:space="preserve"> </w:t>
      </w:r>
    </w:p>
    <w:p w:rsidR="00000000" w:rsidRPr="008527D6" w:rsidP="0065562D">
      <w:pPr>
        <w:pStyle w:val="ListParagraph"/>
        <w:numPr>
          <w:ilvl w:val="0"/>
          <w:numId w:val="9"/>
        </w:numPr>
        <w:rPr>
          <w:rFonts w:ascii="Calibri" w:hAnsi="Calibri" w:cs="Calibri"/>
          <w:sz w:val="22"/>
          <w:szCs w:val="22"/>
          <w:lang w:val="en-GB"/>
        </w:rPr>
      </w:pPr>
      <w:r w:rsidRPr="008527D6">
        <w:rPr>
          <w:rFonts w:ascii="Calibri" w:hAnsi="Calibri" w:cs="Calibri"/>
          <w:sz w:val="22"/>
          <w:szCs w:val="22"/>
          <w:lang w:val="en-GB"/>
        </w:rPr>
        <w:t>At the same time, participation and engagement remain uneven. The Science Education Tracker found that the proportion of Year 7 students who expected to continue science beyond GCSE fell from 70% in 2019 to 64% in 2023. Across Years 7-13, only 9% of students reported a strong science identity, while almost a third felt that science was "not for me".</w:t>
      </w:r>
      <w:r>
        <w:rPr>
          <w:rStyle w:val="FootnoteReference"/>
          <w:rFonts w:ascii="Calibri" w:hAnsi="Calibri" w:cs="Calibri"/>
          <w:sz w:val="22"/>
          <w:szCs w:val="22"/>
          <w:lang w:val="en-GB"/>
        </w:rPr>
        <w:footnoteReference w:id="5"/>
      </w:r>
    </w:p>
    <w:p w:rsidR="00000000" w:rsidRPr="008527D6" w:rsidP="0065562D">
      <w:pPr>
        <w:pStyle w:val="ListParagraph"/>
        <w:numPr>
          <w:ilvl w:val="0"/>
          <w:numId w:val="9"/>
        </w:numPr>
        <w:rPr>
          <w:rFonts w:ascii="Calibri" w:hAnsi="Calibri" w:cs="Calibri"/>
          <w:sz w:val="22"/>
          <w:szCs w:val="22"/>
          <w:lang w:val="en-GB"/>
        </w:rPr>
      </w:pPr>
      <w:r w:rsidRPr="008527D6">
        <w:rPr>
          <w:rFonts w:ascii="Calibri" w:hAnsi="Calibri" w:cs="Calibri"/>
          <w:sz w:val="22"/>
          <w:szCs w:val="22"/>
          <w:lang w:val="en-GB"/>
        </w:rPr>
        <w:t>High-quality enrichment can help address these challenges by connecting learning to future opportunities, improving confidence and developing essential skills.</w:t>
      </w:r>
    </w:p>
    <w:p w:rsidR="00000000" w:rsidRPr="008527D6" w:rsidP="00764752">
      <w:pPr>
        <w:pStyle w:val="ListParagraph"/>
        <w:numPr>
          <w:ilvl w:val="0"/>
          <w:numId w:val="9"/>
        </w:numPr>
        <w:rPr>
          <w:rFonts w:ascii="Calibri" w:hAnsi="Calibri" w:cs="Calibri"/>
          <w:sz w:val="22"/>
          <w:szCs w:val="22"/>
          <w:lang w:val="en-GB"/>
        </w:rPr>
      </w:pPr>
      <w:r w:rsidRPr="008527D6">
        <w:rPr>
          <w:rFonts w:ascii="Calibri" w:hAnsi="Calibri" w:cs="Calibri"/>
          <w:sz w:val="22"/>
          <w:szCs w:val="22"/>
          <w:lang w:val="en-GB"/>
        </w:rPr>
        <w:t>In 2024/25, STEM Learning delivered high-impact enrichment activities to more than 14,400 young people</w:t>
      </w:r>
      <w:r w:rsidRPr="008527D6">
        <w:rPr>
          <w:rFonts w:ascii="Calibri" w:hAnsi="Calibri" w:cs="Calibri"/>
          <w:sz w:val="22"/>
          <w:szCs w:val="22"/>
          <w:lang w:val="en-GB"/>
        </w:rPr>
        <w:t>,</w:t>
      </w:r>
      <w:r w:rsidRPr="008527D6">
        <w:rPr>
          <w:rFonts w:ascii="Calibri" w:hAnsi="Calibri" w:cs="Calibri"/>
          <w:sz w:val="22"/>
          <w:szCs w:val="22"/>
          <w:lang w:val="en-GB"/>
        </w:rPr>
        <w:t xml:space="preserve"> includ</w:t>
      </w:r>
      <w:r w:rsidRPr="008527D6">
        <w:rPr>
          <w:rFonts w:ascii="Calibri" w:hAnsi="Calibri" w:cs="Calibri"/>
          <w:sz w:val="22"/>
          <w:szCs w:val="22"/>
          <w:lang w:val="en-GB"/>
        </w:rPr>
        <w:t>ing</w:t>
      </w:r>
      <w:r w:rsidRPr="008527D6">
        <w:rPr>
          <w:rFonts w:ascii="Calibri" w:hAnsi="Calibri" w:cs="Calibri"/>
          <w:sz w:val="22"/>
          <w:szCs w:val="22"/>
          <w:lang w:val="en-GB"/>
        </w:rPr>
        <w:t xml:space="preserve"> targeted support for 6,90</w:t>
      </w:r>
      <w:r w:rsidRPr="008527D6">
        <w:rPr>
          <w:rFonts w:ascii="Calibri" w:hAnsi="Calibri" w:cs="Calibri"/>
          <w:sz w:val="22"/>
          <w:szCs w:val="22"/>
          <w:lang w:val="en-GB"/>
        </w:rPr>
        <w:t>0</w:t>
      </w:r>
      <w:r w:rsidRPr="008527D6">
        <w:rPr>
          <w:rFonts w:ascii="Calibri" w:hAnsi="Calibri" w:cs="Calibri"/>
          <w:sz w:val="22"/>
          <w:szCs w:val="22"/>
          <w:lang w:val="en-GB"/>
        </w:rPr>
        <w:t xml:space="preserve"> </w:t>
      </w:r>
      <w:r w:rsidRPr="008527D6">
        <w:rPr>
          <w:rFonts w:ascii="Calibri" w:hAnsi="Calibri" w:cs="Calibri"/>
          <w:sz w:val="22"/>
          <w:szCs w:val="22"/>
          <w:lang w:val="en-GB"/>
        </w:rPr>
        <w:t xml:space="preserve">young people from </w:t>
      </w:r>
      <w:r w:rsidRPr="008527D6">
        <w:rPr>
          <w:rFonts w:ascii="Calibri" w:hAnsi="Calibri" w:cs="Calibri"/>
          <w:sz w:val="22"/>
          <w:szCs w:val="22"/>
          <w:lang w:val="en-GB"/>
        </w:rPr>
        <w:t>under-resourced backgrounds</w:t>
      </w:r>
      <w:r w:rsidRPr="008527D6">
        <w:rPr>
          <w:rFonts w:ascii="Calibri" w:hAnsi="Calibri" w:cs="Calibri"/>
          <w:sz w:val="22"/>
          <w:szCs w:val="22"/>
          <w:lang w:val="en-GB"/>
        </w:rPr>
        <w:t>,</w:t>
      </w:r>
      <w:r>
        <w:rPr>
          <w:rStyle w:val="FootnoteReference"/>
          <w:rFonts w:ascii="Calibri" w:hAnsi="Calibri" w:cs="Calibri"/>
          <w:sz w:val="22"/>
          <w:szCs w:val="22"/>
          <w:lang w:val="en-GB"/>
        </w:rPr>
        <w:footnoteReference w:id="6"/>
      </w:r>
      <w:r w:rsidRPr="008527D6">
        <w:rPr>
          <w:rFonts w:ascii="Calibri" w:hAnsi="Calibri" w:cs="Calibri"/>
          <w:sz w:val="22"/>
          <w:szCs w:val="22"/>
          <w:lang w:val="en-GB"/>
        </w:rPr>
        <w:t xml:space="preserve"> </w:t>
      </w:r>
      <w:r w:rsidRPr="008527D6">
        <w:rPr>
          <w:rFonts w:ascii="Calibri" w:hAnsi="Calibri" w:cs="Calibri"/>
          <w:sz w:val="22"/>
          <w:szCs w:val="22"/>
          <w:lang w:val="en-GB"/>
        </w:rPr>
        <w:t>and 288 young people participated in Research Placements and Experiences.</w:t>
      </w:r>
      <w:r>
        <w:rPr>
          <w:rStyle w:val="FootnoteReference"/>
          <w:rFonts w:ascii="Calibri" w:hAnsi="Calibri" w:cs="Calibri"/>
          <w:sz w:val="22"/>
          <w:szCs w:val="22"/>
          <w:lang w:val="en-GB"/>
        </w:rPr>
        <w:footnoteReference w:id="7"/>
      </w:r>
      <w:r w:rsidRPr="008527D6">
        <w:rPr>
          <w:rFonts w:ascii="Calibri" w:hAnsi="Calibri" w:cs="Calibri"/>
          <w:sz w:val="22"/>
          <w:szCs w:val="22"/>
          <w:lang w:val="en-GB"/>
        </w:rPr>
        <w:t xml:space="preserve"> </w:t>
      </w:r>
    </w:p>
    <w:p w:rsidR="00000000" w:rsidRPr="008527D6" w:rsidP="0065562D">
      <w:pPr>
        <w:pStyle w:val="ListParagraph"/>
        <w:numPr>
          <w:ilvl w:val="0"/>
          <w:numId w:val="9"/>
        </w:numPr>
        <w:rPr>
          <w:rFonts w:ascii="Calibri" w:hAnsi="Calibri" w:cs="Calibri"/>
          <w:sz w:val="22"/>
          <w:szCs w:val="22"/>
          <w:lang w:val="en-GB"/>
        </w:rPr>
      </w:pPr>
      <w:r w:rsidRPr="008527D6">
        <w:rPr>
          <w:rFonts w:ascii="Calibri" w:hAnsi="Calibri" w:cs="Calibri"/>
          <w:sz w:val="22"/>
          <w:szCs w:val="22"/>
          <w:lang w:val="en-GB"/>
        </w:rPr>
        <w:t>Research Placements and Experiences provide disadvantaged Year 12 students, or equivalent, with the opportunity to undertake a sustained STEM project with employers, universities and research organisations.</w:t>
      </w:r>
      <w:r w:rsidRPr="008527D6">
        <w:rPr>
          <w:rFonts w:ascii="Calibri" w:hAnsi="Calibri" w:cs="Calibri"/>
          <w:sz w:val="22"/>
          <w:szCs w:val="22"/>
        </w:rPr>
        <w:t xml:space="preserve"> </w:t>
      </w:r>
      <w:r w:rsidRPr="008527D6">
        <w:rPr>
          <w:rFonts w:ascii="Calibri" w:hAnsi="Calibri" w:cs="Calibri"/>
          <w:sz w:val="22"/>
          <w:szCs w:val="22"/>
          <w:lang w:val="en-GB"/>
        </w:rPr>
        <w:t>The programme is deliberately targeted towards young people who are least likely to access these opportunities through existing family, social or professional networks. Participants are selected using widening participation criteria, including socioeconomic disadvantage, eligibility for free school meals, care experience, living in areas of disadvantage and being the first in their family to progress to higher education.</w:t>
      </w:r>
    </w:p>
    <w:p w:rsidR="00000000" w:rsidRPr="008527D6" w:rsidP="0065562D">
      <w:pPr>
        <w:pStyle w:val="ListParagraph"/>
        <w:numPr>
          <w:ilvl w:val="0"/>
          <w:numId w:val="9"/>
        </w:numPr>
        <w:rPr>
          <w:rFonts w:ascii="Calibri" w:hAnsi="Calibri" w:cs="Calibri"/>
          <w:sz w:val="22"/>
          <w:szCs w:val="22"/>
          <w:lang w:val="en-GB"/>
        </w:rPr>
      </w:pPr>
      <w:r w:rsidRPr="008527D6">
        <w:rPr>
          <w:rFonts w:ascii="Calibri" w:hAnsi="Calibri" w:cs="Calibri"/>
          <w:sz w:val="22"/>
          <w:szCs w:val="22"/>
          <w:lang w:val="en-GB"/>
        </w:rPr>
        <w:t>Evaluation of Research Placements and Experiences found that</w:t>
      </w:r>
      <w:r>
        <w:rPr>
          <w:rStyle w:val="FootnoteReference"/>
          <w:rFonts w:ascii="Calibri" w:hAnsi="Calibri" w:cs="Calibri"/>
          <w:sz w:val="22"/>
          <w:szCs w:val="22"/>
          <w:lang w:val="en-GB"/>
        </w:rPr>
        <w:footnoteReference w:id="8"/>
      </w:r>
      <w:r w:rsidRPr="008527D6">
        <w:rPr>
          <w:rFonts w:ascii="Calibri" w:hAnsi="Calibri" w:cs="Calibri"/>
          <w:sz w:val="22"/>
          <w:szCs w:val="22"/>
          <w:lang w:val="en-GB"/>
        </w:rPr>
        <w:t>:</w:t>
      </w:r>
    </w:p>
    <w:p w:rsidR="00000000" w:rsidRPr="008527D6" w:rsidP="0065562D">
      <w:pPr>
        <w:pStyle w:val="ListParagraph"/>
        <w:numPr>
          <w:ilvl w:val="1"/>
          <w:numId w:val="12"/>
        </w:numPr>
        <w:rPr>
          <w:rFonts w:ascii="Calibri" w:hAnsi="Calibri" w:cs="Calibri"/>
          <w:sz w:val="22"/>
          <w:szCs w:val="22"/>
          <w:lang w:val="en-GB"/>
        </w:rPr>
      </w:pPr>
      <w:r w:rsidRPr="008527D6">
        <w:rPr>
          <w:rFonts w:ascii="Calibri" w:hAnsi="Calibri" w:cs="Calibri"/>
          <w:sz w:val="22"/>
          <w:szCs w:val="22"/>
          <w:lang w:val="en-GB"/>
        </w:rPr>
        <w:t>94% of students were satisfied with their experience.</w:t>
      </w:r>
    </w:p>
    <w:p w:rsidR="00000000" w:rsidRPr="008527D6" w:rsidP="0065562D">
      <w:pPr>
        <w:pStyle w:val="ListParagraph"/>
        <w:numPr>
          <w:ilvl w:val="1"/>
          <w:numId w:val="12"/>
        </w:numPr>
        <w:rPr>
          <w:rFonts w:ascii="Calibri" w:hAnsi="Calibri" w:cs="Calibri"/>
          <w:sz w:val="22"/>
          <w:szCs w:val="22"/>
          <w:lang w:val="en-GB"/>
        </w:rPr>
      </w:pPr>
      <w:r w:rsidRPr="008527D6">
        <w:rPr>
          <w:rFonts w:ascii="Calibri" w:hAnsi="Calibri" w:cs="Calibri"/>
          <w:sz w:val="22"/>
          <w:szCs w:val="22"/>
          <w:lang w:val="en-GB"/>
        </w:rPr>
        <w:t>96% reported increased confidence in their abilities.</w:t>
      </w:r>
    </w:p>
    <w:p w:rsidR="00000000" w:rsidRPr="008527D6" w:rsidP="0065562D">
      <w:pPr>
        <w:pStyle w:val="ListParagraph"/>
        <w:numPr>
          <w:ilvl w:val="1"/>
          <w:numId w:val="12"/>
        </w:numPr>
        <w:rPr>
          <w:rFonts w:ascii="Calibri" w:hAnsi="Calibri" w:cs="Calibri"/>
          <w:sz w:val="22"/>
          <w:szCs w:val="22"/>
          <w:lang w:val="en-GB"/>
        </w:rPr>
      </w:pPr>
      <w:r w:rsidRPr="008527D6">
        <w:rPr>
          <w:rFonts w:ascii="Calibri" w:hAnsi="Calibri" w:cs="Calibri"/>
          <w:sz w:val="22"/>
          <w:szCs w:val="22"/>
          <w:lang w:val="en-GB"/>
        </w:rPr>
        <w:t>98% reported increased confidence in data collection and analysis.</w:t>
      </w:r>
    </w:p>
    <w:p w:rsidR="00000000" w:rsidRPr="008527D6" w:rsidP="0065562D">
      <w:pPr>
        <w:pStyle w:val="ListParagraph"/>
        <w:numPr>
          <w:ilvl w:val="1"/>
          <w:numId w:val="12"/>
        </w:numPr>
        <w:rPr>
          <w:rFonts w:ascii="Calibri" w:hAnsi="Calibri" w:cs="Calibri"/>
          <w:sz w:val="22"/>
          <w:szCs w:val="22"/>
          <w:lang w:val="en-GB"/>
        </w:rPr>
      </w:pPr>
      <w:r w:rsidRPr="008527D6">
        <w:rPr>
          <w:rFonts w:ascii="Calibri" w:hAnsi="Calibri" w:cs="Calibri"/>
          <w:sz w:val="22"/>
          <w:szCs w:val="22"/>
          <w:lang w:val="en-GB"/>
        </w:rPr>
        <w:t>91% reported improved teamwork and problem-solving skills.</w:t>
      </w:r>
    </w:p>
    <w:p w:rsidR="00000000" w:rsidRPr="008527D6" w:rsidP="0065562D">
      <w:pPr>
        <w:pStyle w:val="ListParagraph"/>
        <w:numPr>
          <w:ilvl w:val="1"/>
          <w:numId w:val="12"/>
        </w:numPr>
        <w:rPr>
          <w:rFonts w:ascii="Calibri" w:hAnsi="Calibri" w:cs="Calibri"/>
          <w:sz w:val="22"/>
          <w:szCs w:val="22"/>
          <w:lang w:val="en-GB"/>
        </w:rPr>
      </w:pPr>
      <w:r w:rsidRPr="008527D6">
        <w:rPr>
          <w:rFonts w:ascii="Calibri" w:hAnsi="Calibri" w:cs="Calibri"/>
          <w:sz w:val="22"/>
          <w:szCs w:val="22"/>
          <w:lang w:val="en-GB"/>
        </w:rPr>
        <w:t xml:space="preserve">81% said the experience influenced their </w:t>
      </w:r>
      <w:r w:rsidRPr="008527D6">
        <w:rPr>
          <w:rFonts w:ascii="Calibri" w:hAnsi="Calibri" w:cs="Calibri"/>
          <w:sz w:val="22"/>
          <w:szCs w:val="22"/>
          <w:lang w:val="en-GB"/>
        </w:rPr>
        <w:t>future plans</w:t>
      </w:r>
      <w:r w:rsidRPr="008527D6">
        <w:rPr>
          <w:rFonts w:ascii="Calibri" w:hAnsi="Calibri" w:cs="Calibri"/>
          <w:sz w:val="22"/>
          <w:szCs w:val="22"/>
          <w:lang w:val="en-GB"/>
        </w:rPr>
        <w:t>.</w:t>
      </w:r>
    </w:p>
    <w:p w:rsidR="00000000" w:rsidRPr="008527D6" w:rsidP="0065562D">
      <w:pPr>
        <w:pStyle w:val="ListParagraph"/>
        <w:numPr>
          <w:ilvl w:val="0"/>
          <w:numId w:val="9"/>
        </w:numPr>
        <w:rPr>
          <w:rFonts w:ascii="Calibri" w:hAnsi="Calibri" w:cs="Calibri"/>
          <w:sz w:val="22"/>
          <w:szCs w:val="22"/>
          <w:lang w:val="en-GB"/>
        </w:rPr>
      </w:pPr>
      <w:r w:rsidRPr="008527D6">
        <w:rPr>
          <w:rFonts w:ascii="Calibri" w:hAnsi="Calibri" w:cs="Calibri"/>
          <w:sz w:val="22"/>
          <w:szCs w:val="22"/>
          <w:lang w:val="en-GB"/>
        </w:rPr>
        <w:t>These benefits extend beyond immediate perceptions. Longitudinal evaluation found participation was associated with increased enrolment on STEM courses at higher-status institutions, a 1.2 percentage point increase in employment rates and a 3.3% increase in average earnings by age 30.</w:t>
      </w:r>
      <w:r>
        <w:rPr>
          <w:rStyle w:val="FootnoteReference"/>
          <w:rFonts w:ascii="Calibri" w:hAnsi="Calibri" w:cs="Calibri"/>
          <w:sz w:val="22"/>
          <w:szCs w:val="22"/>
          <w:lang w:val="en-GB"/>
        </w:rPr>
        <w:footnoteReference w:id="9"/>
      </w:r>
    </w:p>
    <w:p w:rsidR="00000000" w:rsidRPr="008527D6" w:rsidP="00A72D44">
      <w:pPr>
        <w:pStyle w:val="ListParagraph"/>
        <w:numPr>
          <w:ilvl w:val="0"/>
          <w:numId w:val="9"/>
        </w:numPr>
        <w:rPr>
          <w:rFonts w:ascii="Calibri" w:hAnsi="Calibri" w:cs="Calibri"/>
          <w:sz w:val="22"/>
          <w:szCs w:val="22"/>
          <w:lang w:val="en-GB"/>
        </w:rPr>
      </w:pPr>
      <w:r w:rsidRPr="008527D6">
        <w:rPr>
          <w:rFonts w:ascii="Calibri" w:hAnsi="Calibri" w:cs="Calibri"/>
          <w:sz w:val="22"/>
          <w:szCs w:val="22"/>
          <w:lang w:val="en-GB"/>
        </w:rPr>
        <w:t>This demonstrates that targeted enrichment can improve outcomes that matter for social mobility, educational progression and future employment.</w:t>
      </w:r>
    </w:p>
    <w:p w:rsidR="00000000" w:rsidRPr="008527D6" w:rsidP="00483E64">
      <w:pPr>
        <w:rPr>
          <w:rFonts w:ascii="Calibri" w:hAnsi="Calibri" w:cs="Calibri"/>
          <w:b/>
          <w:bCs/>
          <w:sz w:val="22"/>
          <w:szCs w:val="22"/>
          <w:lang w:val="en-GB"/>
        </w:rPr>
      </w:pPr>
      <w:r w:rsidRPr="008527D6">
        <w:rPr>
          <w:rFonts w:ascii="Calibri" w:hAnsi="Calibri" w:cs="Calibri"/>
          <w:b/>
          <w:bCs/>
          <w:sz w:val="22"/>
          <w:szCs w:val="22"/>
          <w:lang w:val="en-GB"/>
        </w:rPr>
        <w:t>Recommendation</w:t>
      </w:r>
    </w:p>
    <w:p w:rsidR="00000000" w:rsidRPr="008527D6" w:rsidP="36E01C3A">
      <w:pPr>
        <w:pStyle w:val="ListParagraph"/>
        <w:numPr>
          <w:ilvl w:val="0"/>
          <w:numId w:val="9"/>
        </w:numPr>
        <w:rPr>
          <w:rFonts w:ascii="Calibri" w:hAnsi="Calibri" w:cs="Calibri"/>
          <w:sz w:val="22"/>
          <w:szCs w:val="22"/>
          <w:lang w:val="en-GB"/>
        </w:rPr>
      </w:pPr>
      <w:r w:rsidRPr="008527D6">
        <w:rPr>
          <w:rFonts w:ascii="Calibri" w:hAnsi="Calibri" w:cs="Calibri"/>
          <w:sz w:val="22"/>
          <w:szCs w:val="22"/>
          <w:lang w:val="en-GB"/>
        </w:rPr>
        <w:t>Government should recognise high-quality enrichment, and in particular STEM enrichment, as a core component of educational opportunity and social mobility. Future policy should ensure that all young people have access to enrichment that develops subject knowledge, aspiration, confidence and awareness of future pathways, with particular focus on those from disadvantaged backgrounds.</w:t>
      </w:r>
    </w:p>
    <w:p w:rsidR="00000000" w:rsidRPr="008527D6" w:rsidP="00B02FAC">
      <w:pPr>
        <w:rPr>
          <w:rFonts w:ascii="Calibri" w:hAnsi="Calibri" w:cs="Calibri"/>
          <w:sz w:val="22"/>
          <w:szCs w:val="22"/>
          <w:lang w:val="en-GB"/>
        </w:rPr>
      </w:pPr>
    </w:p>
    <w:p w:rsidR="00000000" w:rsidRPr="008527D6" w:rsidP="00483E64">
      <w:pPr>
        <w:rPr>
          <w:rFonts w:ascii="Calibri" w:hAnsi="Calibri" w:cs="Calibri"/>
          <w:b/>
          <w:bCs/>
          <w:sz w:val="22"/>
          <w:szCs w:val="22"/>
          <w:u w:val="single"/>
          <w:lang w:val="en-GB"/>
        </w:rPr>
      </w:pPr>
      <w:r w:rsidRPr="008527D6">
        <w:rPr>
          <w:rFonts w:ascii="Calibri" w:hAnsi="Calibri" w:cs="Calibri"/>
          <w:b/>
          <w:bCs/>
          <w:sz w:val="22"/>
          <w:szCs w:val="22"/>
          <w:u w:val="single"/>
          <w:lang w:val="en-GB"/>
        </w:rPr>
        <w:t>Employer engagement, role models and future skills</w:t>
      </w:r>
    </w:p>
    <w:p w:rsidR="00000000" w:rsidRPr="008527D6" w:rsidP="00F321AB">
      <w:pPr>
        <w:pStyle w:val="ListParagraph"/>
        <w:numPr>
          <w:ilvl w:val="0"/>
          <w:numId w:val="9"/>
        </w:numPr>
        <w:rPr>
          <w:rFonts w:ascii="Calibri" w:hAnsi="Calibri" w:cs="Calibri"/>
          <w:sz w:val="22"/>
          <w:szCs w:val="22"/>
          <w:lang w:val="en-GB"/>
        </w:rPr>
      </w:pPr>
      <w:r w:rsidRPr="008527D6">
        <w:rPr>
          <w:rFonts w:ascii="Calibri" w:hAnsi="Calibri" w:cs="Calibri"/>
          <w:sz w:val="22"/>
          <w:szCs w:val="22"/>
          <w:lang w:val="en-GB"/>
        </w:rPr>
        <w:t>Employer engagement plays an important role in helping young people understand the relevance of what they learn in school and the opportunities available to them in the future.</w:t>
      </w:r>
    </w:p>
    <w:p w:rsidR="00000000" w:rsidRPr="008527D6" w:rsidP="00F321AB">
      <w:pPr>
        <w:pStyle w:val="ListParagraph"/>
        <w:numPr>
          <w:ilvl w:val="0"/>
          <w:numId w:val="9"/>
        </w:numPr>
        <w:rPr>
          <w:rFonts w:ascii="Calibri" w:hAnsi="Calibri" w:cs="Calibri"/>
          <w:sz w:val="22"/>
          <w:szCs w:val="22"/>
          <w:lang w:val="en-GB"/>
        </w:rPr>
      </w:pPr>
      <w:r w:rsidRPr="008527D6">
        <w:rPr>
          <w:rFonts w:ascii="Calibri" w:hAnsi="Calibri" w:cs="Calibri"/>
          <w:sz w:val="22"/>
          <w:szCs w:val="22"/>
          <w:lang w:val="en-GB"/>
        </w:rPr>
        <w:t xml:space="preserve">Access to employer role models can play an important role in improving aspiration, tackling stereotypes and helping young people understand future pathways. </w:t>
      </w:r>
      <w:r w:rsidRPr="008527D6">
        <w:rPr>
          <w:rFonts w:ascii="Calibri" w:hAnsi="Calibri" w:cs="Calibri"/>
          <w:sz w:val="22"/>
          <w:szCs w:val="22"/>
          <w:lang w:val="en-GB"/>
        </w:rPr>
        <w:t>Experience from STEM Learning's programmes demonstrates that this can be delivered at significant scale, with approximately 26,000 STEM Ambassadors who contributed more than 329,000 volunteering hours in the most recent reporting year. The network includes 13,800 active volunteers representing 3,300 employers. Around 55% are aged under 35, 48% are women and 20% come from ethnic minority backgrounds, providing young people with access to relatable and diverse role models.</w:t>
      </w:r>
      <w:r>
        <w:rPr>
          <w:rStyle w:val="FootnoteReference"/>
          <w:rFonts w:ascii="Calibri" w:hAnsi="Calibri" w:cs="Calibri"/>
          <w:sz w:val="22"/>
          <w:szCs w:val="22"/>
          <w:lang w:val="en-GB"/>
        </w:rPr>
        <w:footnoteReference w:id="10"/>
      </w:r>
    </w:p>
    <w:p w:rsidR="00000000" w:rsidRPr="008527D6" w:rsidP="00F321AB">
      <w:pPr>
        <w:pStyle w:val="ListParagraph"/>
        <w:numPr>
          <w:ilvl w:val="0"/>
          <w:numId w:val="9"/>
        </w:numPr>
        <w:rPr>
          <w:rFonts w:ascii="Calibri" w:hAnsi="Calibri" w:cs="Calibri"/>
          <w:sz w:val="22"/>
          <w:szCs w:val="22"/>
          <w:lang w:val="en-GB"/>
        </w:rPr>
      </w:pPr>
      <w:r w:rsidRPr="008527D6">
        <w:rPr>
          <w:rFonts w:ascii="Calibri" w:hAnsi="Calibri" w:cs="Calibri"/>
          <w:sz w:val="22"/>
          <w:szCs w:val="22"/>
          <w:lang w:val="en-GB"/>
        </w:rPr>
        <w:t>STEM Ambassadors are particularly valuable in addressing issues of aspiration and belonging among groups that remain underrepresented in STEM. Women currently make up only 2</w:t>
      </w:r>
      <w:r w:rsidRPr="008527D6">
        <w:rPr>
          <w:rFonts w:ascii="Calibri" w:hAnsi="Calibri" w:cs="Calibri"/>
          <w:sz w:val="22"/>
          <w:szCs w:val="22"/>
          <w:lang w:val="en-GB"/>
        </w:rPr>
        <w:t>7.6% of the UK STEM workforce</w:t>
      </w:r>
      <w:r w:rsidRPr="008527D6">
        <w:rPr>
          <w:rFonts w:ascii="Calibri" w:hAnsi="Calibri" w:cs="Calibri"/>
          <w:sz w:val="22"/>
          <w:szCs w:val="22"/>
          <w:lang w:val="en-GB"/>
        </w:rPr>
        <w:t>.</w:t>
      </w:r>
      <w:r>
        <w:rPr>
          <w:rStyle w:val="FootnoteReference"/>
          <w:rFonts w:ascii="Calibri" w:hAnsi="Calibri" w:cs="Calibri"/>
          <w:sz w:val="22"/>
          <w:szCs w:val="22"/>
          <w:lang w:val="en-GB"/>
        </w:rPr>
        <w:footnoteReference w:id="11"/>
      </w:r>
    </w:p>
    <w:p w:rsidR="00000000" w:rsidRPr="008527D6" w:rsidP="00F321AB">
      <w:pPr>
        <w:pStyle w:val="ListParagraph"/>
        <w:numPr>
          <w:ilvl w:val="0"/>
          <w:numId w:val="9"/>
        </w:numPr>
        <w:rPr>
          <w:rFonts w:ascii="Calibri" w:hAnsi="Calibri" w:cs="Calibri"/>
          <w:sz w:val="22"/>
          <w:szCs w:val="22"/>
          <w:lang w:val="en-GB"/>
        </w:rPr>
      </w:pPr>
      <w:r w:rsidRPr="008527D6">
        <w:rPr>
          <w:rFonts w:ascii="Calibri" w:hAnsi="Calibri" w:cs="Calibri"/>
          <w:sz w:val="22"/>
          <w:szCs w:val="22"/>
          <w:lang w:val="en-GB"/>
        </w:rPr>
        <w:t>Developing essential skills is also increasingly important. Research cited in STEM Learning's Impact Report found that learners with strong essential skills, including teamwork, communication, creativity and adaptability, are significantly more likely to adopt emerging technologies such as AI, earn higher wages and feel more confident navigating technological change.</w:t>
      </w:r>
    </w:p>
    <w:p w:rsidR="00000000" w:rsidRPr="008527D6" w:rsidP="00483E64">
      <w:pPr>
        <w:pStyle w:val="ListParagraph"/>
        <w:numPr>
          <w:ilvl w:val="0"/>
          <w:numId w:val="9"/>
        </w:numPr>
        <w:rPr>
          <w:rFonts w:ascii="Calibri" w:hAnsi="Calibri" w:cs="Calibri"/>
          <w:sz w:val="22"/>
          <w:szCs w:val="22"/>
          <w:lang w:val="en-GB"/>
        </w:rPr>
      </w:pPr>
      <w:r w:rsidRPr="008527D6">
        <w:rPr>
          <w:rFonts w:ascii="Calibri" w:hAnsi="Calibri" w:cs="Calibri"/>
          <w:sz w:val="22"/>
          <w:szCs w:val="22"/>
          <w:lang w:val="en-GB"/>
        </w:rPr>
        <w:t>Without targeted intervention, there is a risk that access to emerging technologies becomes another source of educational inequality.</w:t>
      </w:r>
      <w:r>
        <w:rPr>
          <w:rStyle w:val="FootnoteReference"/>
          <w:rFonts w:ascii="Calibri" w:hAnsi="Calibri" w:cs="Calibri"/>
          <w:sz w:val="22"/>
          <w:szCs w:val="22"/>
          <w:lang w:val="en-GB"/>
        </w:rPr>
        <w:footnoteReference w:id="12"/>
      </w:r>
    </w:p>
    <w:p w:rsidR="00000000" w:rsidRPr="008527D6" w:rsidP="00A72D44">
      <w:pPr>
        <w:rPr>
          <w:rFonts w:ascii="Calibri" w:hAnsi="Calibri" w:cs="Calibri"/>
          <w:sz w:val="22"/>
          <w:szCs w:val="22"/>
          <w:lang w:val="en-GB"/>
        </w:rPr>
      </w:pPr>
      <w:r w:rsidRPr="008527D6">
        <w:rPr>
          <w:rFonts w:ascii="Calibri" w:hAnsi="Calibri" w:cs="Calibri"/>
          <w:b/>
          <w:bCs/>
          <w:sz w:val="22"/>
          <w:szCs w:val="22"/>
          <w:lang w:val="en-GB"/>
        </w:rPr>
        <w:t>Recommendation</w:t>
      </w:r>
    </w:p>
    <w:p w:rsidR="00000000" w:rsidRPr="008527D6" w:rsidP="00F321AB">
      <w:pPr>
        <w:pStyle w:val="ListParagraph"/>
        <w:numPr>
          <w:ilvl w:val="0"/>
          <w:numId w:val="9"/>
        </w:numPr>
        <w:rPr>
          <w:rFonts w:ascii="Calibri" w:hAnsi="Calibri" w:cs="Calibri"/>
          <w:sz w:val="22"/>
          <w:szCs w:val="22"/>
          <w:lang w:val="en-GB"/>
        </w:rPr>
      </w:pPr>
      <w:r w:rsidRPr="008527D6">
        <w:rPr>
          <w:rFonts w:ascii="Calibri" w:hAnsi="Calibri" w:cs="Calibri"/>
          <w:sz w:val="22"/>
          <w:szCs w:val="22"/>
          <w:lang w:val="en-GB"/>
        </w:rPr>
        <w:t>Future school improvement programmes should support partnerships between schools, employers, universities and community organisations, helping young people develop the essential, technical and digital skills needed for future education and employment.</w:t>
      </w:r>
    </w:p>
    <w:p w:rsidR="00000000" w:rsidRPr="008527D6" w:rsidP="00483E64">
      <w:pPr>
        <w:rPr>
          <w:rFonts w:ascii="Calibri" w:hAnsi="Calibri" w:cs="Calibri"/>
          <w:sz w:val="22"/>
          <w:szCs w:val="22"/>
          <w:lang w:val="en-GB"/>
        </w:rPr>
      </w:pPr>
    </w:p>
    <w:p w:rsidR="00000000" w:rsidRPr="008527D6" w:rsidP="00483E64">
      <w:pPr>
        <w:rPr>
          <w:rFonts w:ascii="Calibri" w:hAnsi="Calibri" w:cs="Calibri"/>
          <w:b/>
          <w:bCs/>
          <w:sz w:val="22"/>
          <w:szCs w:val="22"/>
          <w:u w:val="single"/>
          <w:lang w:val="en-GB"/>
        </w:rPr>
      </w:pPr>
      <w:r w:rsidRPr="008527D6">
        <w:rPr>
          <w:rFonts w:ascii="Calibri" w:hAnsi="Calibri" w:cs="Calibri"/>
          <w:b/>
          <w:bCs/>
          <w:sz w:val="22"/>
          <w:szCs w:val="22"/>
          <w:u w:val="single"/>
          <w:lang w:val="en-GB"/>
        </w:rPr>
        <w:t>Conclusion</w:t>
      </w:r>
    </w:p>
    <w:p w:rsidR="00000000" w:rsidRPr="008527D6" w:rsidP="00F321AB">
      <w:pPr>
        <w:pStyle w:val="ListParagraph"/>
        <w:numPr>
          <w:ilvl w:val="0"/>
          <w:numId w:val="9"/>
        </w:numPr>
        <w:rPr>
          <w:rFonts w:ascii="Calibri" w:hAnsi="Calibri" w:cs="Calibri"/>
          <w:sz w:val="22"/>
          <w:szCs w:val="22"/>
          <w:lang w:val="en-GB"/>
        </w:rPr>
      </w:pPr>
      <w:r w:rsidRPr="008527D6">
        <w:rPr>
          <w:rFonts w:ascii="Calibri" w:hAnsi="Calibri" w:cs="Calibri"/>
          <w:sz w:val="22"/>
          <w:szCs w:val="22"/>
          <w:lang w:val="en-GB"/>
        </w:rPr>
        <w:t xml:space="preserve">The ambition of </w:t>
      </w:r>
      <w:r w:rsidRPr="008527D6">
        <w:rPr>
          <w:rFonts w:ascii="Calibri" w:hAnsi="Calibri" w:cs="Calibri"/>
          <w:i/>
          <w:iCs/>
          <w:sz w:val="22"/>
          <w:szCs w:val="22"/>
          <w:lang w:val="en-GB"/>
        </w:rPr>
        <w:t>Every Child Achieving and Thriving</w:t>
      </w:r>
      <w:r w:rsidRPr="008527D6">
        <w:rPr>
          <w:rFonts w:ascii="Calibri" w:hAnsi="Calibri" w:cs="Calibri"/>
          <w:sz w:val="22"/>
          <w:szCs w:val="22"/>
          <w:lang w:val="en-GB"/>
        </w:rPr>
        <w:t xml:space="preserve"> will not be delivered through structural reform alone.</w:t>
      </w:r>
    </w:p>
    <w:p w:rsidR="00000000" w:rsidRPr="008527D6" w:rsidP="00F321AB">
      <w:pPr>
        <w:pStyle w:val="ListParagraph"/>
        <w:numPr>
          <w:ilvl w:val="0"/>
          <w:numId w:val="9"/>
        </w:numPr>
        <w:rPr>
          <w:rFonts w:ascii="Calibri" w:hAnsi="Calibri" w:cs="Calibri"/>
          <w:sz w:val="22"/>
          <w:szCs w:val="22"/>
          <w:lang w:val="en-GB"/>
        </w:rPr>
      </w:pPr>
      <w:r w:rsidRPr="008527D6">
        <w:rPr>
          <w:rFonts w:ascii="Calibri" w:hAnsi="Calibri" w:cs="Calibri"/>
          <w:sz w:val="22"/>
          <w:szCs w:val="22"/>
          <w:lang w:val="en-GB"/>
        </w:rPr>
        <w:t>The evidence suggests that raising attainment and reducing disadvantage requires sustained investment in teacher expertise, enrichment and employer engagement.</w:t>
      </w:r>
    </w:p>
    <w:p w:rsidR="00000000" w:rsidRPr="008527D6" w:rsidP="00F321AB">
      <w:pPr>
        <w:pStyle w:val="ListParagraph"/>
        <w:numPr>
          <w:ilvl w:val="0"/>
          <w:numId w:val="9"/>
        </w:numPr>
        <w:rPr>
          <w:rFonts w:ascii="Calibri" w:hAnsi="Calibri" w:cs="Calibri"/>
          <w:sz w:val="22"/>
          <w:szCs w:val="22"/>
          <w:lang w:val="en-GB"/>
        </w:rPr>
      </w:pPr>
      <w:r w:rsidRPr="008527D6">
        <w:rPr>
          <w:rFonts w:ascii="Calibri" w:hAnsi="Calibri" w:cs="Calibri"/>
          <w:sz w:val="22"/>
          <w:szCs w:val="22"/>
          <w:lang w:val="en-GB"/>
        </w:rPr>
        <w:t>In 2024/25, STEM Learning supported more than 20,200 teachers, improving teaching and learning for over 3.4 million young people. Evaluation found that 95% of teachers reported increased confidence in their teaching and professional practice, 97% made changes to their teaching approach, 82% saw increased pupil engagement and 76% reported increased pupil progress or attainment.</w:t>
      </w:r>
    </w:p>
    <w:p w:rsidR="00000000" w:rsidRPr="008527D6" w:rsidP="00A72D44">
      <w:pPr>
        <w:pStyle w:val="ListParagraph"/>
        <w:numPr>
          <w:ilvl w:val="0"/>
          <w:numId w:val="9"/>
        </w:numPr>
        <w:rPr>
          <w:rFonts w:ascii="Calibri" w:hAnsi="Calibri" w:cs="Calibri"/>
          <w:sz w:val="22"/>
          <w:szCs w:val="22"/>
          <w:lang w:val="en-GB"/>
        </w:rPr>
      </w:pPr>
      <w:r w:rsidRPr="008527D6">
        <w:rPr>
          <w:rFonts w:ascii="Calibri" w:hAnsi="Calibri" w:cs="Calibri"/>
          <w:sz w:val="22"/>
          <w:szCs w:val="22"/>
          <w:lang w:val="en-GB"/>
        </w:rPr>
        <w:t xml:space="preserve">Research Placements improve confidence, skills, aspirations and long-term progression outcomes for disadvantaged young people, while STEM Ambassadors provide schools with access to employers and role models at national scale. </w:t>
      </w:r>
    </w:p>
    <w:p w:rsidR="00000000" w:rsidRPr="008527D6" w:rsidP="00F80BE4">
      <w:pPr>
        <w:pStyle w:val="ListParagraph"/>
        <w:numPr>
          <w:ilvl w:val="0"/>
          <w:numId w:val="9"/>
        </w:numPr>
        <w:rPr>
          <w:rFonts w:ascii="Calibri" w:hAnsi="Calibri" w:cs="Calibri"/>
          <w:sz w:val="22"/>
          <w:szCs w:val="22"/>
          <w:lang w:val="en-GB"/>
        </w:rPr>
      </w:pPr>
      <w:r w:rsidRPr="008527D6">
        <w:rPr>
          <w:rFonts w:ascii="Calibri" w:hAnsi="Calibri" w:cs="Calibri"/>
          <w:sz w:val="22"/>
          <w:szCs w:val="22"/>
          <w:lang w:val="en-GB"/>
        </w:rPr>
        <w:t>Government should therefore treat high-quality subject-specific professional development, targeted enrichment, and in particular STEM enrichment, and employer engagement as central pillars of school improvement and social mobility policy.</w:t>
      </w:r>
    </w:p>
    <w:p w:rsidR="008527D6" w:rsidRPr="008527D6" w:rsidP="008527D6">
      <w:pPr>
        <w:rPr>
          <w:rFonts w:ascii="Calibri" w:hAnsi="Calibri" w:cs="Calibri"/>
          <w:sz w:val="22"/>
          <w:szCs w:val="22"/>
          <w:lang w:val="en-GB"/>
        </w:rPr>
      </w:pPr>
    </w:p>
    <w:p w:rsidR="008527D6" w:rsidRPr="008527D6" w:rsidP="008527D6">
      <w:pPr>
        <w:rPr>
          <w:rFonts w:ascii="Calibri" w:hAnsi="Calibri" w:cs="Calibri"/>
          <w:i/>
          <w:iCs/>
          <w:sz w:val="22"/>
          <w:szCs w:val="22"/>
          <w:lang w:val="en-GB"/>
        </w:rPr>
      </w:pPr>
      <w:r w:rsidRPr="008527D6">
        <w:rPr>
          <w:rFonts w:ascii="Calibri" w:hAnsi="Calibri" w:cs="Calibri"/>
          <w:i/>
          <w:iCs/>
          <w:sz w:val="22"/>
          <w:szCs w:val="22"/>
          <w:lang w:val="en-GB"/>
        </w:rPr>
        <w:t>September 2026</w:t>
      </w:r>
    </w:p>
    <w:sectPr>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49827744"/>
      <w:docPartObj>
        <w:docPartGallery w:val="Page Numbers (Bottom of Page)"/>
        <w:docPartUnique/>
      </w:docPartObj>
    </w:sdtPr>
    <w:sdtEndPr>
      <w:rPr>
        <w:noProof/>
      </w:rPr>
    </w:sdtEndPr>
    <w:sdtContent>
      <w:p w:rsidR="0000000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0000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527866" w:rsidP="00580DF3">
      <w:pPr>
        <w:spacing w:after="0" w:line="240" w:lineRule="auto"/>
      </w:pPr>
      <w:r>
        <w:separator/>
      </w:r>
    </w:p>
  </w:footnote>
  <w:footnote w:type="continuationSeparator" w:id="1">
    <w:p w:rsidR="00527866" w:rsidP="00580DF3">
      <w:pPr>
        <w:spacing w:after="0" w:line="240" w:lineRule="auto"/>
      </w:pPr>
      <w:r>
        <w:continuationSeparator/>
      </w:r>
    </w:p>
  </w:footnote>
  <w:footnote w:id="2">
    <w:p w:rsidR="00000000" w:rsidRPr="00470AD4">
      <w:pPr>
        <w:pStyle w:val="FootnoteText"/>
        <w:rPr>
          <w:rFonts w:ascii="Arial" w:hAnsi="Arial" w:cs="Arial"/>
          <w:b/>
          <w:bCs/>
          <w:lang w:val="en-GB"/>
        </w:rPr>
      </w:pPr>
      <w:r w:rsidRPr="00470AD4">
        <w:rPr>
          <w:rStyle w:val="FootnoteReference"/>
          <w:rFonts w:ascii="Arial" w:hAnsi="Arial" w:cs="Arial"/>
        </w:rPr>
        <w:footnoteRef/>
      </w:r>
      <w:r w:rsidRPr="00470AD4">
        <w:rPr>
          <w:rFonts w:ascii="Arial" w:hAnsi="Arial" w:cs="Arial"/>
        </w:rPr>
        <w:t xml:space="preserve"> </w:t>
      </w:r>
      <w:r w:rsidRPr="00470AD4">
        <w:rPr>
          <w:rFonts w:ascii="Arial" w:hAnsi="Arial" w:cs="Arial"/>
          <w:lang w:val="en-GB"/>
        </w:rPr>
        <w:t xml:space="preserve">STEM Learning (2025), </w:t>
      </w:r>
      <w:r w:rsidRPr="00470AD4">
        <w:rPr>
          <w:rFonts w:ascii="Arial" w:hAnsi="Arial" w:cs="Arial"/>
          <w:i/>
          <w:iCs/>
          <w:lang w:val="en-GB"/>
        </w:rPr>
        <w:t>STEM Learning Impact Report 2025</w:t>
      </w:r>
      <w:r w:rsidRPr="00470AD4">
        <w:rPr>
          <w:rFonts w:ascii="Arial" w:hAnsi="Arial" w:cs="Arial"/>
          <w:lang w:val="en-GB"/>
        </w:rPr>
        <w:t>, CPD impact measures and impact highlights 2024/25.</w:t>
      </w:r>
    </w:p>
  </w:footnote>
  <w:footnote w:id="3">
    <w:p w:rsidR="00000000" w:rsidRPr="00470AD4">
      <w:pPr>
        <w:pStyle w:val="FootnoteText"/>
        <w:rPr>
          <w:rFonts w:ascii="Arial" w:hAnsi="Arial" w:cs="Arial"/>
          <w:lang w:val="en-GB"/>
        </w:rPr>
      </w:pPr>
      <w:r w:rsidRPr="00470AD4">
        <w:rPr>
          <w:rStyle w:val="FootnoteReference"/>
          <w:rFonts w:ascii="Arial" w:hAnsi="Arial" w:cs="Arial"/>
        </w:rPr>
        <w:footnoteRef/>
      </w:r>
      <w:r w:rsidRPr="00470AD4">
        <w:rPr>
          <w:rFonts w:ascii="Arial" w:hAnsi="Arial" w:cs="Arial"/>
        </w:rPr>
        <w:t xml:space="preserve"> </w:t>
      </w:r>
      <w:r w:rsidRPr="00470AD4">
        <w:rPr>
          <w:rFonts w:ascii="Arial" w:hAnsi="Arial" w:cs="Arial"/>
          <w:lang w:val="en-GB"/>
        </w:rPr>
        <w:t xml:space="preserve">Department for Business and Trade (2025), </w:t>
      </w:r>
      <w:r w:rsidRPr="00470AD4">
        <w:rPr>
          <w:rFonts w:ascii="Arial" w:hAnsi="Arial" w:cs="Arial"/>
          <w:i/>
          <w:iCs/>
          <w:lang w:val="en-GB"/>
        </w:rPr>
        <w:t>The UK’s Modern Industrial Strategy 2025</w:t>
      </w:r>
      <w:r w:rsidRPr="00470AD4">
        <w:rPr>
          <w:rFonts w:ascii="Arial" w:hAnsi="Arial" w:cs="Arial"/>
          <w:lang w:val="en-GB"/>
        </w:rPr>
        <w:t>.</w:t>
      </w:r>
    </w:p>
  </w:footnote>
  <w:footnote w:id="4">
    <w:p w:rsidR="00000000" w:rsidRPr="00470AD4">
      <w:pPr>
        <w:pStyle w:val="FootnoteText"/>
        <w:rPr>
          <w:rFonts w:ascii="Arial" w:hAnsi="Arial" w:cs="Arial"/>
          <w:lang w:val="en-GB"/>
        </w:rPr>
      </w:pPr>
      <w:r w:rsidRPr="00470AD4">
        <w:rPr>
          <w:rStyle w:val="FootnoteReference"/>
          <w:rFonts w:ascii="Arial" w:hAnsi="Arial" w:cs="Arial"/>
        </w:rPr>
        <w:footnoteRef/>
      </w:r>
      <w:r w:rsidRPr="00470AD4">
        <w:rPr>
          <w:rFonts w:ascii="Arial" w:hAnsi="Arial" w:cs="Arial"/>
        </w:rPr>
        <w:t xml:space="preserve"> </w:t>
      </w:r>
      <w:r w:rsidRPr="00470AD4">
        <w:rPr>
          <w:rFonts w:ascii="Arial" w:hAnsi="Arial" w:cs="Arial"/>
          <w:lang w:val="en-GB"/>
        </w:rPr>
        <w:t xml:space="preserve">UK Parliament, Parliamentary Office of Science and Technology (2025), </w:t>
      </w:r>
      <w:r w:rsidRPr="00470AD4">
        <w:rPr>
          <w:rFonts w:ascii="Arial" w:hAnsi="Arial" w:cs="Arial"/>
          <w:i/>
          <w:iCs/>
          <w:lang w:val="en-GB"/>
        </w:rPr>
        <w:t>UK STEM skills pipeline</w:t>
      </w:r>
      <w:r w:rsidRPr="00470AD4">
        <w:rPr>
          <w:rFonts w:ascii="Arial" w:hAnsi="Arial" w:cs="Arial"/>
          <w:lang w:val="en-GB"/>
        </w:rPr>
        <w:t>, POSTnote 746.</w:t>
      </w:r>
    </w:p>
  </w:footnote>
  <w:footnote w:id="5">
    <w:p w:rsidR="00000000" w:rsidRPr="00470AD4">
      <w:pPr>
        <w:pStyle w:val="FootnoteText"/>
        <w:rPr>
          <w:rFonts w:ascii="Arial" w:hAnsi="Arial" w:cs="Arial"/>
          <w:lang w:val="en-GB"/>
        </w:rPr>
      </w:pPr>
      <w:r w:rsidRPr="00470AD4">
        <w:rPr>
          <w:rStyle w:val="FootnoteReference"/>
          <w:rFonts w:ascii="Arial" w:hAnsi="Arial" w:cs="Arial"/>
        </w:rPr>
        <w:footnoteRef/>
      </w:r>
      <w:r w:rsidRPr="00470AD4">
        <w:rPr>
          <w:rFonts w:ascii="Arial" w:hAnsi="Arial" w:cs="Arial"/>
        </w:rPr>
        <w:t xml:space="preserve"> </w:t>
      </w:r>
      <w:r w:rsidRPr="00470AD4">
        <w:rPr>
          <w:rFonts w:ascii="Arial" w:hAnsi="Arial" w:cs="Arial"/>
          <w:lang w:val="en-GB"/>
        </w:rPr>
        <w:t xml:space="preserve">Royal Society and EngineeringUK (2024), </w:t>
      </w:r>
      <w:r w:rsidRPr="00470AD4">
        <w:rPr>
          <w:rFonts w:ascii="Arial" w:hAnsi="Arial" w:cs="Arial"/>
          <w:i/>
          <w:iCs/>
          <w:lang w:val="en-GB"/>
        </w:rPr>
        <w:t>Science Education Tracker 2023: Wave 3</w:t>
      </w:r>
      <w:r w:rsidRPr="00470AD4">
        <w:rPr>
          <w:rFonts w:ascii="Arial" w:hAnsi="Arial" w:cs="Arial"/>
          <w:lang w:val="en-GB"/>
        </w:rPr>
        <w:t>.</w:t>
      </w:r>
    </w:p>
  </w:footnote>
  <w:footnote w:id="6">
    <w:p w:rsidR="00000000">
      <w:pPr>
        <w:pStyle w:val="FootnoteText"/>
      </w:pPr>
      <w:r>
        <w:rPr>
          <w:rStyle w:val="FootnoteReference"/>
        </w:rPr>
        <w:footnoteRef/>
      </w:r>
      <w:r>
        <w:t xml:space="preserve"> </w:t>
      </w:r>
      <w:r w:rsidRPr="00470AD4">
        <w:rPr>
          <w:rFonts w:ascii="Arial" w:hAnsi="Arial" w:cs="Arial"/>
          <w:lang w:val="en-GB"/>
        </w:rPr>
        <w:t xml:space="preserve">STEM Learning (2025), </w:t>
      </w:r>
      <w:r w:rsidRPr="00470AD4">
        <w:rPr>
          <w:rFonts w:ascii="Arial" w:hAnsi="Arial" w:cs="Arial"/>
          <w:i/>
          <w:iCs/>
          <w:lang w:val="en-GB"/>
        </w:rPr>
        <w:t>STEM Learning Impact Report 2025</w:t>
      </w:r>
      <w:r w:rsidRPr="00470AD4">
        <w:rPr>
          <w:rFonts w:ascii="Arial" w:hAnsi="Arial" w:cs="Arial"/>
          <w:lang w:val="en-GB"/>
        </w:rPr>
        <w:t>, impact highlights 2024/25.</w:t>
      </w:r>
    </w:p>
  </w:footnote>
  <w:footnote w:id="7">
    <w:p w:rsidR="00000000" w:rsidRPr="00470AD4">
      <w:pPr>
        <w:pStyle w:val="FootnoteText"/>
        <w:rPr>
          <w:rFonts w:ascii="Arial" w:hAnsi="Arial" w:cs="Arial"/>
          <w:lang w:val="en-GB"/>
        </w:rPr>
      </w:pPr>
      <w:r w:rsidRPr="00470AD4">
        <w:rPr>
          <w:rStyle w:val="FootnoteReference"/>
          <w:rFonts w:ascii="Arial" w:hAnsi="Arial" w:cs="Arial"/>
        </w:rPr>
        <w:footnoteRef/>
      </w:r>
      <w:r w:rsidRPr="00470AD4">
        <w:rPr>
          <w:rFonts w:ascii="Arial" w:hAnsi="Arial" w:cs="Arial"/>
        </w:rPr>
        <w:t xml:space="preserve"> </w:t>
      </w:r>
      <w:r w:rsidRPr="00470AD4">
        <w:rPr>
          <w:rFonts w:ascii="Arial" w:hAnsi="Arial" w:cs="Arial"/>
          <w:lang w:val="en-GB"/>
        </w:rPr>
        <w:t xml:space="preserve">STEM Learning (2025), </w:t>
      </w:r>
      <w:r w:rsidRPr="00470AD4">
        <w:rPr>
          <w:rFonts w:ascii="Arial" w:hAnsi="Arial" w:cs="Arial"/>
          <w:i/>
          <w:iCs/>
          <w:lang w:val="en-GB"/>
        </w:rPr>
        <w:t>STEM Learning Impact Report 2025</w:t>
      </w:r>
      <w:r w:rsidRPr="00470AD4">
        <w:rPr>
          <w:rFonts w:ascii="Arial" w:hAnsi="Arial" w:cs="Arial"/>
          <w:lang w:val="en-GB"/>
        </w:rPr>
        <w:t>, Research Placements and Experiences section.</w:t>
      </w:r>
    </w:p>
  </w:footnote>
  <w:footnote w:id="8">
    <w:p w:rsidR="00000000" w:rsidRPr="00470AD4">
      <w:pPr>
        <w:pStyle w:val="FootnoteText"/>
        <w:rPr>
          <w:rFonts w:ascii="Arial" w:hAnsi="Arial" w:cs="Arial"/>
          <w:lang w:val="en-GB"/>
        </w:rPr>
      </w:pPr>
      <w:r w:rsidRPr="00470AD4">
        <w:rPr>
          <w:rStyle w:val="FootnoteReference"/>
          <w:rFonts w:ascii="Arial" w:hAnsi="Arial" w:cs="Arial"/>
        </w:rPr>
        <w:footnoteRef/>
      </w:r>
      <w:r w:rsidRPr="00470AD4">
        <w:rPr>
          <w:rFonts w:ascii="Arial" w:hAnsi="Arial" w:cs="Arial"/>
        </w:rPr>
        <w:t xml:space="preserve"> </w:t>
      </w:r>
      <w:r w:rsidRPr="00470AD4">
        <w:rPr>
          <w:rFonts w:ascii="Arial" w:hAnsi="Arial" w:cs="Arial"/>
          <w:lang w:val="en-GB"/>
        </w:rPr>
        <w:t xml:space="preserve">STEM Learning (2025), </w:t>
      </w:r>
      <w:r w:rsidRPr="00470AD4">
        <w:rPr>
          <w:rFonts w:ascii="Arial" w:hAnsi="Arial" w:cs="Arial"/>
          <w:i/>
          <w:iCs/>
          <w:lang w:val="en-GB"/>
        </w:rPr>
        <w:t>STEM Learning Impact Report 2025</w:t>
      </w:r>
      <w:r w:rsidRPr="00470AD4">
        <w:rPr>
          <w:rFonts w:ascii="Arial" w:hAnsi="Arial" w:cs="Arial"/>
          <w:lang w:val="en-GB"/>
        </w:rPr>
        <w:t>, Research Placements and Experiences section.</w:t>
      </w:r>
    </w:p>
  </w:footnote>
  <w:footnote w:id="9">
    <w:p w:rsidR="00000000" w:rsidRPr="00470AD4">
      <w:pPr>
        <w:pStyle w:val="FootnoteText"/>
        <w:rPr>
          <w:rFonts w:ascii="Arial" w:hAnsi="Arial" w:cs="Arial"/>
          <w:lang w:val="en-GB"/>
        </w:rPr>
      </w:pPr>
      <w:r w:rsidRPr="00470AD4">
        <w:rPr>
          <w:rStyle w:val="FootnoteReference"/>
          <w:rFonts w:ascii="Arial" w:hAnsi="Arial" w:cs="Arial"/>
        </w:rPr>
        <w:footnoteRef/>
      </w:r>
      <w:r w:rsidRPr="00470AD4">
        <w:rPr>
          <w:rFonts w:ascii="Arial" w:hAnsi="Arial" w:cs="Arial"/>
        </w:rPr>
        <w:t xml:space="preserve"> </w:t>
      </w:r>
      <w:r w:rsidRPr="00470AD4">
        <w:rPr>
          <w:rFonts w:ascii="Arial" w:hAnsi="Arial" w:cs="Arial"/>
          <w:lang w:val="en-GB"/>
        </w:rPr>
        <w:t xml:space="preserve">Nuffield Foundation (2025), </w:t>
      </w:r>
      <w:r w:rsidRPr="00470AD4">
        <w:rPr>
          <w:rFonts w:ascii="Arial" w:hAnsi="Arial" w:cs="Arial"/>
          <w:i/>
          <w:iCs/>
          <w:lang w:val="en-GB"/>
        </w:rPr>
        <w:t>Final independent evaluation of Nuffield Research Placements</w:t>
      </w:r>
      <w:r w:rsidRPr="00470AD4">
        <w:rPr>
          <w:rFonts w:ascii="Arial" w:hAnsi="Arial" w:cs="Arial"/>
          <w:lang w:val="en-GB"/>
        </w:rPr>
        <w:t>, conducted by Frontier Economics and CFE Research.</w:t>
      </w:r>
    </w:p>
  </w:footnote>
  <w:footnote w:id="10">
    <w:p w:rsidR="00000000" w:rsidRPr="00470AD4">
      <w:pPr>
        <w:pStyle w:val="FootnoteText"/>
        <w:rPr>
          <w:rFonts w:ascii="Arial" w:hAnsi="Arial" w:cs="Arial"/>
          <w:lang w:val="en-GB"/>
        </w:rPr>
      </w:pPr>
      <w:r w:rsidRPr="00470AD4">
        <w:rPr>
          <w:rStyle w:val="FootnoteReference"/>
          <w:rFonts w:ascii="Arial" w:hAnsi="Arial" w:cs="Arial"/>
        </w:rPr>
        <w:footnoteRef/>
      </w:r>
      <w:r w:rsidRPr="00470AD4">
        <w:rPr>
          <w:rFonts w:ascii="Arial" w:hAnsi="Arial" w:cs="Arial"/>
        </w:rPr>
        <w:t xml:space="preserve"> </w:t>
      </w:r>
      <w:r w:rsidRPr="00470AD4">
        <w:rPr>
          <w:rFonts w:ascii="Arial" w:hAnsi="Arial" w:cs="Arial"/>
          <w:lang w:val="en-GB"/>
        </w:rPr>
        <w:t xml:space="preserve">STEM Learning (2025), </w:t>
      </w:r>
      <w:r w:rsidRPr="00470AD4">
        <w:rPr>
          <w:rFonts w:ascii="Arial" w:hAnsi="Arial" w:cs="Arial"/>
          <w:i/>
          <w:iCs/>
          <w:lang w:val="en-GB"/>
        </w:rPr>
        <w:t>STEM Learning Impact Report 2025</w:t>
      </w:r>
      <w:r w:rsidRPr="00470AD4">
        <w:rPr>
          <w:rFonts w:ascii="Arial" w:hAnsi="Arial" w:cs="Arial"/>
          <w:lang w:val="en-GB"/>
        </w:rPr>
        <w:t>, STEM Ambassadors section.</w:t>
      </w:r>
    </w:p>
  </w:footnote>
  <w:footnote w:id="11">
    <w:p w:rsidR="00000000" w:rsidRPr="00470AD4">
      <w:pPr>
        <w:pStyle w:val="FootnoteText"/>
        <w:rPr>
          <w:rFonts w:ascii="Arial" w:hAnsi="Arial" w:cs="Arial"/>
          <w:lang w:val="en-GB"/>
        </w:rPr>
      </w:pPr>
      <w:r w:rsidRPr="00470AD4">
        <w:rPr>
          <w:rStyle w:val="FootnoteReference"/>
          <w:rFonts w:ascii="Arial" w:hAnsi="Arial" w:cs="Arial"/>
        </w:rPr>
        <w:footnoteRef/>
      </w:r>
      <w:r w:rsidRPr="00470AD4">
        <w:rPr>
          <w:rFonts w:ascii="Arial" w:hAnsi="Arial" w:cs="Arial"/>
        </w:rPr>
        <w:t xml:space="preserve"> </w:t>
      </w:r>
      <w:r w:rsidRPr="00470AD4">
        <w:rPr>
          <w:rFonts w:ascii="Arial" w:hAnsi="Arial" w:cs="Arial"/>
          <w:lang w:val="en-GB"/>
        </w:rPr>
        <w:t xml:space="preserve">WISE (2024), </w:t>
      </w:r>
      <w:r w:rsidRPr="00470AD4">
        <w:rPr>
          <w:rFonts w:ascii="Arial" w:hAnsi="Arial" w:cs="Arial"/>
          <w:i/>
          <w:iCs/>
          <w:lang w:val="en-GB"/>
        </w:rPr>
        <w:t>Workforce data - December 2024</w:t>
      </w:r>
      <w:r w:rsidRPr="00470AD4">
        <w:rPr>
          <w:rFonts w:ascii="Arial" w:hAnsi="Arial" w:cs="Arial"/>
          <w:lang w:val="en-GB"/>
        </w:rPr>
        <w:t>.</w:t>
      </w:r>
    </w:p>
  </w:footnote>
  <w:footnote w:id="12">
    <w:p w:rsidR="00000000" w:rsidRPr="00470AD4" w:rsidP="00927900">
      <w:pPr>
        <w:pStyle w:val="FootnoteText"/>
        <w:rPr>
          <w:rFonts w:ascii="Arial" w:hAnsi="Arial" w:cs="Arial"/>
          <w:lang w:val="en-GB"/>
        </w:rPr>
      </w:pPr>
      <w:r w:rsidRPr="00470AD4">
        <w:rPr>
          <w:rStyle w:val="FootnoteReference"/>
          <w:rFonts w:ascii="Arial" w:hAnsi="Arial" w:cs="Arial"/>
        </w:rPr>
        <w:footnoteRef/>
      </w:r>
      <w:r w:rsidRPr="00470AD4">
        <w:rPr>
          <w:rFonts w:ascii="Arial" w:hAnsi="Arial" w:cs="Arial"/>
        </w:rPr>
        <w:t xml:space="preserve"> </w:t>
      </w:r>
      <w:r w:rsidRPr="00470AD4">
        <w:rPr>
          <w:rFonts w:ascii="Arial" w:hAnsi="Arial" w:cs="Arial"/>
          <w:lang w:val="en-GB"/>
        </w:rPr>
        <w:t xml:space="preserve">Skills Builder Partnership (2025), </w:t>
      </w:r>
      <w:r w:rsidRPr="00470AD4">
        <w:rPr>
          <w:rFonts w:ascii="Arial" w:hAnsi="Arial" w:cs="Arial"/>
          <w:i/>
          <w:iCs/>
          <w:lang w:val="en-GB"/>
        </w:rPr>
        <w:t>Essential Skills Tracker</w:t>
      </w:r>
      <w:r w:rsidRPr="00470AD4">
        <w:rPr>
          <w:rFonts w:ascii="Arial" w:hAnsi="Arial" w:cs="Arial"/>
          <w:lang w:val="en-GB"/>
        </w:rPr>
        <w:t>.</w:t>
      </w:r>
    </w:p>
    <w:p w:rsidR="00000000" w:rsidRPr="00470AD4">
      <w:pPr>
        <w:pStyle w:val="FootnoteText"/>
        <w:rPr>
          <w:rFonts w:ascii="Arial" w:hAnsi="Arial" w:cs="Arial"/>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5C3BFB"/>
    <w:multiLevelType w:val="hybridMultilevel"/>
    <w:tmpl w:val="857ECF0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BDC2D30"/>
    <w:multiLevelType w:val="hybridMultilevel"/>
    <w:tmpl w:val="730E68C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8DA163A"/>
    <w:multiLevelType w:val="hybridMultilevel"/>
    <w:tmpl w:val="C68A2FE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CEA6EA5"/>
    <w:multiLevelType w:val="hybridMultilevel"/>
    <w:tmpl w:val="10FC0E0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35791F85"/>
    <w:multiLevelType w:val="hybridMultilevel"/>
    <w:tmpl w:val="C7DE2E5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F5314B7"/>
    <w:multiLevelType w:val="hybridMultilevel"/>
    <w:tmpl w:val="C366D4E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406F1211"/>
    <w:multiLevelType w:val="hybridMultilevel"/>
    <w:tmpl w:val="4FFA9FE0"/>
    <w:lvl w:ilvl="0">
      <w:start w:val="1"/>
      <w:numFmt w:val="decimal"/>
      <w:lvlText w:val="%1."/>
      <w:lvlJc w:val="left"/>
      <w:pPr>
        <w:ind w:left="360" w:hanging="360"/>
      </w:pPr>
    </w:lvl>
    <w:lvl w:ilvl="1">
      <w:start w:val="1"/>
      <w:numFmt w:val="bullet"/>
      <w:lvlText w:val=""/>
      <w:lvlJc w:val="left"/>
      <w:pPr>
        <w:ind w:left="1080" w:hanging="360"/>
      </w:pPr>
      <w:rPr>
        <w:rFonts w:ascii="Symbol" w:hAnsi="Symbol"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nsid w:val="45F1772D"/>
    <w:multiLevelType w:val="hybridMultilevel"/>
    <w:tmpl w:val="973EA3C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4A154664"/>
    <w:multiLevelType w:val="hybridMultilevel"/>
    <w:tmpl w:val="5B228DD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529861F9"/>
    <w:multiLevelType w:val="hybridMultilevel"/>
    <w:tmpl w:val="ADAAF5C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75C388C"/>
    <w:multiLevelType w:val="hybridMultilevel"/>
    <w:tmpl w:val="02C0FD76"/>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62F10B26"/>
    <w:multiLevelType w:val="multilevel"/>
    <w:tmpl w:val="D7149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DA081E"/>
    <w:multiLevelType w:val="hybridMultilevel"/>
    <w:tmpl w:val="55A4FB1E"/>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7E8C1CD8"/>
    <w:multiLevelType w:val="multilevel"/>
    <w:tmpl w:val="8788F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0"/>
  </w:num>
  <w:num w:numId="3">
    <w:abstractNumId w:val="5"/>
  </w:num>
  <w:num w:numId="4">
    <w:abstractNumId w:val="3"/>
  </w:num>
  <w:num w:numId="5">
    <w:abstractNumId w:val="7"/>
  </w:num>
  <w:num w:numId="6">
    <w:abstractNumId w:val="4"/>
  </w:num>
  <w:num w:numId="7">
    <w:abstractNumId w:val="0"/>
  </w:num>
  <w:num w:numId="8">
    <w:abstractNumId w:val="11"/>
  </w:num>
  <w:num w:numId="9">
    <w:abstractNumId w:val="12"/>
  </w:num>
  <w:num w:numId="10">
    <w:abstractNumId w:val="9"/>
  </w:num>
  <w:num w:numId="11">
    <w:abstractNumId w:val="1"/>
  </w:num>
  <w:num w:numId="12">
    <w:abstractNumId w:val="6"/>
  </w:num>
  <w:num w:numId="13">
    <w:abstractNumId w:val="2"/>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45D9"/>
    <w:rPr>
      <w:color w:val="467886" w:themeColor="hyperlink"/>
      <w:u w:val="single"/>
    </w:rPr>
  </w:style>
  <w:style w:type="character" w:customStyle="1" w:styleId="UnresolvedMention1">
    <w:name w:val="Unresolved Mention1"/>
    <w:basedOn w:val="DefaultParagraphFont"/>
    <w:uiPriority w:val="99"/>
    <w:semiHidden/>
    <w:unhideWhenUsed/>
    <w:rsid w:val="001A45D9"/>
    <w:rPr>
      <w:color w:val="605E5C"/>
      <w:shd w:val="clear" w:color="auto" w:fill="E1DFDD"/>
    </w:rPr>
  </w:style>
  <w:style w:type="paragraph" w:styleId="ListParagraph">
    <w:name w:val="List Paragraph"/>
    <w:basedOn w:val="Normal"/>
    <w:uiPriority w:val="34"/>
    <w:qFormat/>
    <w:rsid w:val="00257266"/>
    <w:pPr>
      <w:ind w:left="720"/>
      <w:contextualSpacing/>
    </w:pPr>
  </w:style>
  <w:style w:type="character" w:styleId="CommentReference">
    <w:name w:val="annotation reference"/>
    <w:basedOn w:val="DefaultParagraphFont"/>
    <w:uiPriority w:val="99"/>
    <w:semiHidden/>
    <w:unhideWhenUsed/>
    <w:rsid w:val="00670BE4"/>
    <w:rPr>
      <w:sz w:val="16"/>
      <w:szCs w:val="16"/>
    </w:rPr>
  </w:style>
  <w:style w:type="paragraph" w:styleId="CommentText">
    <w:name w:val="annotation text"/>
    <w:basedOn w:val="Normal"/>
    <w:link w:val="CommentTextChar"/>
    <w:uiPriority w:val="99"/>
    <w:unhideWhenUsed/>
    <w:rsid w:val="00670BE4"/>
    <w:pPr>
      <w:spacing w:line="240" w:lineRule="auto"/>
    </w:pPr>
    <w:rPr>
      <w:sz w:val="20"/>
      <w:szCs w:val="20"/>
    </w:rPr>
  </w:style>
  <w:style w:type="character" w:customStyle="1" w:styleId="CommentTextChar">
    <w:name w:val="Comment Text Char"/>
    <w:basedOn w:val="DefaultParagraphFont"/>
    <w:link w:val="CommentText"/>
    <w:uiPriority w:val="99"/>
    <w:rsid w:val="00670BE4"/>
    <w:rPr>
      <w:sz w:val="20"/>
      <w:szCs w:val="20"/>
    </w:rPr>
  </w:style>
  <w:style w:type="paragraph" w:styleId="CommentSubject">
    <w:name w:val="annotation subject"/>
    <w:basedOn w:val="CommentText"/>
    <w:next w:val="CommentText"/>
    <w:link w:val="CommentSubjectChar"/>
    <w:uiPriority w:val="99"/>
    <w:semiHidden/>
    <w:unhideWhenUsed/>
    <w:rsid w:val="00670BE4"/>
    <w:rPr>
      <w:b/>
      <w:bCs/>
    </w:rPr>
  </w:style>
  <w:style w:type="character" w:customStyle="1" w:styleId="CommentSubjectChar">
    <w:name w:val="Comment Subject Char"/>
    <w:basedOn w:val="CommentTextChar"/>
    <w:link w:val="CommentSubject"/>
    <w:uiPriority w:val="99"/>
    <w:semiHidden/>
    <w:rsid w:val="00670BE4"/>
    <w:rPr>
      <w:b/>
      <w:bCs/>
      <w:sz w:val="20"/>
      <w:szCs w:val="20"/>
    </w:rPr>
  </w:style>
  <w:style w:type="character" w:styleId="FollowedHyperlink">
    <w:name w:val="FollowedHyperlink"/>
    <w:basedOn w:val="DefaultParagraphFont"/>
    <w:uiPriority w:val="99"/>
    <w:semiHidden/>
    <w:unhideWhenUsed/>
    <w:rsid w:val="00632BA5"/>
    <w:rPr>
      <w:color w:val="96607D" w:themeColor="followedHyperlink"/>
      <w:u w:val="single"/>
    </w:rPr>
  </w:style>
  <w:style w:type="paragraph" w:styleId="FootnoteText">
    <w:name w:val="footnote text"/>
    <w:basedOn w:val="Normal"/>
    <w:link w:val="FootnoteTextChar"/>
    <w:uiPriority w:val="99"/>
    <w:semiHidden/>
    <w:unhideWhenUsed/>
    <w:rsid w:val="00580DF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0DF3"/>
    <w:rPr>
      <w:sz w:val="20"/>
      <w:szCs w:val="20"/>
    </w:rPr>
  </w:style>
  <w:style w:type="character" w:styleId="FootnoteReference">
    <w:name w:val="footnote reference"/>
    <w:basedOn w:val="DefaultParagraphFont"/>
    <w:uiPriority w:val="99"/>
    <w:semiHidden/>
    <w:unhideWhenUsed/>
    <w:rsid w:val="00580DF3"/>
    <w:rPr>
      <w:vertAlign w:val="superscript"/>
    </w:rPr>
  </w:style>
  <w:style w:type="paragraph" w:styleId="Header">
    <w:name w:val="header"/>
    <w:basedOn w:val="Normal"/>
    <w:link w:val="HeaderChar"/>
    <w:uiPriority w:val="99"/>
    <w:unhideWhenUsed/>
    <w:rsid w:val="008F74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744A"/>
  </w:style>
  <w:style w:type="paragraph" w:styleId="Footer">
    <w:name w:val="footer"/>
    <w:basedOn w:val="Normal"/>
    <w:link w:val="FooterChar"/>
    <w:uiPriority w:val="99"/>
    <w:unhideWhenUsed/>
    <w:rsid w:val="008F74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74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33AA2FE072AD4F94C1FA61A67C29CE" ma:contentTypeVersion="3" ma:contentTypeDescription="Create a new document." ma:contentTypeScope="" ma:versionID="800a8e07c22b90103a8c9796b7a25ee5">
  <xsd:schema xmlns:xsd="http://www.w3.org/2001/XMLSchema" xmlns:xs="http://www.w3.org/2001/XMLSchema" xmlns:p="http://schemas.microsoft.com/office/2006/metadata/properties" xmlns:ns2="76e503a9-d0ce-4587-b79d-abd70d4d16e8" targetNamespace="http://schemas.microsoft.com/office/2006/metadata/properties" ma:root="true" ma:fieldsID="791a396cf9b53ce8d2e585e630a7b246" ns2:_="">
    <xsd:import namespace="76e503a9-d0ce-4587-b79d-abd70d4d16e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e503a9-d0ce-4587-b79d-abd70d4d16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6D2A67D-1F20-4C62-8CC7-A16615FB29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e503a9-d0ce-4587-b79d-abd70d4d16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77497D-7E62-41C1-B427-D9C303EC785E}">
  <ds:schemaRefs>
    <ds:schemaRef ds:uri="http://schemas.microsoft.com/sharepoint/v3/contenttype/forms"/>
  </ds:schemaRefs>
</ds:datastoreItem>
</file>

<file path=customXml/itemProps3.xml><?xml version="1.0" encoding="utf-8"?>
<ds:datastoreItem xmlns:ds="http://schemas.openxmlformats.org/officeDocument/2006/customXml" ds:itemID="{992F91D5-13A3-413C-AC18-EE8387B54EF2}">
  <ds:schemaRefs>
    <ds:schemaRef ds:uri="http://schemas.openxmlformats.org/officeDocument/2006/bibliography"/>
  </ds:schemaRefs>
</ds:datastoreItem>
</file>

<file path=customXml/itemProps4.xml><?xml version="1.0" encoding="utf-8"?>
<ds:datastoreItem xmlns:ds="http://schemas.openxmlformats.org/officeDocument/2006/customXml" ds:itemID="{F52239C2-BEAE-4C49-8687-4E2F7A7A2436}">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ECA0088</dc:title>
  <cp:revision>0</cp:revision>
</cp:coreProperties>
</file>