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41059" w:rsidRPr="00E41059" w:rsidP="00E41059">
      <w:pPr>
        <w:spacing w:after="200"/>
        <w:ind w:left="431" w:hanging="431"/>
        <w:jc w:val="center"/>
        <w:rPr>
          <w:rFonts w:ascii="Calibri" w:hAnsi="Calibri" w:cs="Calibri"/>
          <w:b/>
          <w:bCs/>
          <w:sz w:val="22"/>
          <w:szCs w:val="22"/>
        </w:rPr>
      </w:pPr>
      <w:r w:rsidRPr="00E41059">
        <w:rPr>
          <w:rFonts w:ascii="Calibri" w:hAnsi="Calibri" w:cs="Calibri"/>
          <w:b/>
          <w:bCs/>
          <w:sz w:val="22"/>
          <w:szCs w:val="22"/>
        </w:rPr>
        <w:t xml:space="preserve">Written evidence by </w:t>
      </w:r>
      <w:r w:rsidRPr="00E41059">
        <w:rPr>
          <w:rFonts w:ascii="Calibri" w:hAnsi="Calibri" w:cs="Calibri"/>
          <w:b/>
          <w:bCs/>
          <w:sz w:val="22"/>
          <w:szCs w:val="22"/>
        </w:rPr>
        <w:t>National Secular Society</w:t>
      </w:r>
      <w:r w:rsidRPr="00E41059">
        <w:rPr>
          <w:rFonts w:ascii="Calibri" w:hAnsi="Calibri" w:cs="Calibri"/>
          <w:b/>
          <w:bCs/>
          <w:sz w:val="22"/>
          <w:szCs w:val="22"/>
        </w:rPr>
        <w:t xml:space="preserve"> (</w:t>
      </w:r>
      <w:r w:rsidRPr="00E41059">
        <w:rPr>
          <w:rFonts w:ascii="Calibri" w:hAnsi="Calibri" w:cs="Calibri"/>
          <w:b/>
          <w:bCs/>
          <w:sz w:val="22"/>
          <w:szCs w:val="22"/>
        </w:rPr>
        <w:t>ECA0081</w:t>
      </w:r>
      <w:r w:rsidRPr="00E41059">
        <w:rPr>
          <w:rFonts w:ascii="Calibri" w:hAnsi="Calibri" w:cs="Calibri"/>
          <w:b/>
          <w:bCs/>
          <w:sz w:val="22"/>
          <w:szCs w:val="22"/>
        </w:rPr>
        <w:t>)</w:t>
      </w:r>
    </w:p>
    <w:p w:rsidR="00E41059" w:rsidRPr="00E41059" w:rsidP="00E41059">
      <w:pPr>
        <w:spacing w:after="200"/>
        <w:ind w:left="431" w:hanging="431"/>
        <w:rPr>
          <w:rFonts w:ascii="Calibri" w:hAnsi="Calibri" w:cs="Calibri"/>
          <w:b/>
          <w:bCs/>
          <w:sz w:val="22"/>
          <w:szCs w:val="22"/>
        </w:rPr>
      </w:pPr>
      <w:r w:rsidRPr="00E41059">
        <w:rPr>
          <w:rFonts w:ascii="Calibri" w:hAnsi="Calibri" w:cs="Calibri"/>
          <w:b/>
          <w:bCs/>
          <w:sz w:val="22"/>
          <w:szCs w:val="22"/>
        </w:rPr>
        <w:t>Education Committee</w:t>
      </w:r>
    </w:p>
    <w:p w:rsidR="00E41059" w:rsidRPr="00E41059" w:rsidP="00E41059">
      <w:pPr>
        <w:spacing w:after="200"/>
        <w:ind w:left="431" w:hanging="431"/>
        <w:rPr>
          <w:rFonts w:ascii="Calibri" w:hAnsi="Calibri" w:cs="Calibri"/>
          <w:b/>
          <w:bCs/>
          <w:sz w:val="22"/>
          <w:szCs w:val="22"/>
        </w:rPr>
      </w:pPr>
      <w:r w:rsidRPr="00E41059">
        <w:rPr>
          <w:rFonts w:ascii="Calibri" w:eastAsia="Yu Gothic" w:hAnsi="Calibri" w:cs="Calibri"/>
          <w:b/>
          <w:bCs/>
          <w:sz w:val="22"/>
          <w:szCs w:val="22"/>
        </w:rPr>
        <w:t>Every Child Achieving and Thriving’ White Paper</w:t>
      </w:r>
    </w:p>
    <w:p w:rsidR="00A767C9" w:rsidRPr="00E41059" w:rsidP="00534984">
      <w:pPr>
        <w:pStyle w:val="BriefingBriefing"/>
        <w:spacing w:after="200"/>
        <w:ind w:left="431" w:hanging="431"/>
        <w:rPr>
          <w:rFonts w:ascii="Calibri" w:hAnsi="Calibri" w:cs="Calibri"/>
          <w:color w:val="000000" w:themeColor="text1"/>
          <w:sz w:val="22"/>
          <w:szCs w:val="22"/>
        </w:rPr>
      </w:pPr>
      <w:r w:rsidRPr="00E41059">
        <w:rPr>
          <w:rFonts w:ascii="Calibri" w:hAnsi="Calibri" w:cs="Calibri"/>
          <w:color w:val="000000" w:themeColor="text1"/>
          <w:sz w:val="22"/>
          <w:szCs w:val="22"/>
        </w:rPr>
        <w:t>About the NSS</w:t>
      </w:r>
    </w:p>
    <w:p w:rsidR="00A767C9" w:rsidRPr="00E41059" w:rsidP="00314014">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The N</w:t>
      </w:r>
      <w:r w:rsidRPr="00E41059">
        <w:rPr>
          <w:rFonts w:ascii="Calibri" w:hAnsi="Calibri" w:cs="Calibri"/>
          <w:color w:val="000000" w:themeColor="text1"/>
          <w:sz w:val="22"/>
          <w:szCs w:val="22"/>
        </w:rPr>
        <w:t xml:space="preserve">ational Secular Society </w:t>
      </w:r>
      <w:r w:rsidRPr="00E41059">
        <w:rPr>
          <w:rFonts w:ascii="Calibri" w:hAnsi="Calibri" w:cs="Calibri"/>
          <w:color w:val="000000" w:themeColor="text1"/>
          <w:sz w:val="22"/>
          <w:szCs w:val="22"/>
        </w:rPr>
        <w:t>is a not-for-profit, non-governmental civil society organisation founded in 1866, funded by its members and by donations. We advocate for separation of religion and state and promote secularism as the best means of creating a society in which people of all religions and none can live together fairly and cohesively. We seek a diverse society where all are free to practise their faith, change it, or to have no faith at all. We uphold the universality of individual human rights, which should never be overridde</w:t>
      </w:r>
      <w:r w:rsidRPr="00E41059">
        <w:rPr>
          <w:rFonts w:ascii="Calibri" w:hAnsi="Calibri" w:cs="Calibri"/>
          <w:color w:val="000000" w:themeColor="text1"/>
          <w:sz w:val="22"/>
          <w:szCs w:val="22"/>
        </w:rPr>
        <w:t>n on the grounds of religion, tradition</w:t>
      </w:r>
      <w:r w:rsidRPr="00E41059">
        <w:rPr>
          <w:rFonts w:ascii="Calibri" w:hAnsi="Calibri" w:cs="Calibri"/>
          <w:color w:val="000000" w:themeColor="text1"/>
          <w:sz w:val="22"/>
          <w:szCs w:val="22"/>
        </w:rPr>
        <w:t>,</w:t>
      </w:r>
      <w:r w:rsidRPr="00E41059">
        <w:rPr>
          <w:rFonts w:ascii="Calibri" w:hAnsi="Calibri" w:cs="Calibri"/>
          <w:color w:val="000000" w:themeColor="text1"/>
          <w:sz w:val="22"/>
          <w:szCs w:val="22"/>
        </w:rPr>
        <w:t xml:space="preserve"> or culture.</w:t>
      </w:r>
    </w:p>
    <w:p w:rsidR="00A767C9" w:rsidRPr="00E41059" w:rsidP="00314014">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The NSS campaigns for an education system which equally respects the rights and freedoms of pupils, families and teachers of all backgrounds and beliefs. We do not think state schools should be organised around religious identities or used to promote religious worldviews. We campaign to end exemptions from equality law which allow faith schools to discriminate against prospective pupils whose families do not share the religion of the school. As </w:t>
      </w:r>
      <w:r w:rsidRPr="00E41059">
        <w:rPr>
          <w:rFonts w:ascii="Calibri" w:hAnsi="Calibri" w:cs="Calibri"/>
          <w:color w:val="000000" w:themeColor="text1"/>
          <w:sz w:val="22"/>
          <w:szCs w:val="22"/>
        </w:rPr>
        <w:t>this submission</w:t>
      </w:r>
      <w:r w:rsidRPr="00E41059">
        <w:rPr>
          <w:rFonts w:ascii="Calibri" w:hAnsi="Calibri" w:cs="Calibri"/>
          <w:color w:val="000000" w:themeColor="text1"/>
          <w:sz w:val="22"/>
          <w:szCs w:val="22"/>
        </w:rPr>
        <w:t xml:space="preserve"> details, this leads to other forms of discrimination, including against pupils with SEND and pupils with the most disadvantaged backgrounds.</w:t>
      </w:r>
    </w:p>
    <w:p w:rsidR="00A767C9" w:rsidRPr="00E41059" w:rsidP="00534984">
      <w:pPr>
        <w:pStyle w:val="BriefingBriefing"/>
        <w:spacing w:after="200"/>
        <w:ind w:left="431" w:hanging="431"/>
        <w:rPr>
          <w:rFonts w:ascii="Calibri" w:hAnsi="Calibri" w:cs="Calibri"/>
          <w:color w:val="000000" w:themeColor="text1"/>
          <w:sz w:val="22"/>
          <w:szCs w:val="22"/>
        </w:rPr>
      </w:pPr>
      <w:r w:rsidRPr="00E41059">
        <w:rPr>
          <w:rFonts w:ascii="Calibri" w:hAnsi="Calibri" w:cs="Calibri"/>
          <w:color w:val="000000" w:themeColor="text1"/>
          <w:sz w:val="22"/>
          <w:szCs w:val="22"/>
        </w:rPr>
        <w:t>Introduction</w:t>
      </w:r>
    </w:p>
    <w:p w:rsidR="00A767C9" w:rsidRPr="00E41059" w:rsidP="00314014">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This submission will primarily focus on legal exemptions which allow schools with a designated religious character </w:t>
      </w:r>
      <w:r w:rsidRPr="00E41059">
        <w:rPr>
          <w:rFonts w:ascii="Calibri" w:hAnsi="Calibri" w:cs="Calibri"/>
          <w:color w:val="000000" w:themeColor="text1"/>
          <w:sz w:val="22"/>
          <w:szCs w:val="22"/>
        </w:rPr>
        <w:t xml:space="preserve">(faith schools) to select pupils </w:t>
      </w:r>
      <w:r w:rsidRPr="00E41059">
        <w:rPr>
          <w:rFonts w:ascii="Calibri" w:hAnsi="Calibri" w:cs="Calibri"/>
          <w:color w:val="000000" w:themeColor="text1"/>
          <w:sz w:val="22"/>
          <w:szCs w:val="22"/>
        </w:rPr>
        <w:t>on the basis of</w:t>
      </w:r>
      <w:r w:rsidRPr="00E41059">
        <w:rPr>
          <w:rFonts w:ascii="Calibri" w:hAnsi="Calibri" w:cs="Calibri"/>
          <w:color w:val="000000" w:themeColor="text1"/>
          <w:sz w:val="22"/>
          <w:szCs w:val="22"/>
        </w:rPr>
        <w:t xml:space="preserve"> religion in in their admissions.</w:t>
      </w:r>
      <w:r w:rsidRPr="00E41059">
        <w:rPr>
          <w:rFonts w:ascii="Calibri" w:hAnsi="Calibri" w:cs="Calibri"/>
          <w:color w:val="000000" w:themeColor="text1"/>
          <w:sz w:val="22"/>
          <w:szCs w:val="22"/>
        </w:rPr>
        <w:t xml:space="preserve"> We will set out the evidence that </w:t>
      </w:r>
      <w:r w:rsidRPr="00E41059">
        <w:rPr>
          <w:rFonts w:ascii="Calibri" w:hAnsi="Calibri" w:cs="Calibri"/>
          <w:color w:val="000000" w:themeColor="text1"/>
          <w:sz w:val="22"/>
          <w:szCs w:val="22"/>
        </w:rPr>
        <w:t>religiously-selective</w:t>
      </w:r>
      <w:r w:rsidRPr="00E41059">
        <w:rPr>
          <w:rFonts w:ascii="Calibri" w:hAnsi="Calibri" w:cs="Calibri"/>
          <w:color w:val="000000" w:themeColor="text1"/>
          <w:sz w:val="22"/>
          <w:szCs w:val="22"/>
        </w:rPr>
        <w:t xml:space="preserve"> admissions </w:t>
      </w:r>
      <w:r w:rsidRPr="00E41059">
        <w:rPr>
          <w:rFonts w:ascii="Calibri" w:hAnsi="Calibri" w:cs="Calibri"/>
          <w:color w:val="000000" w:themeColor="text1"/>
          <w:sz w:val="22"/>
          <w:szCs w:val="22"/>
        </w:rPr>
        <w:t xml:space="preserve">disadvantage pupils eligible for free school meals, those with SEND, and those in the care system. </w:t>
      </w:r>
      <w:r w:rsidRPr="00E41059">
        <w:rPr>
          <w:rFonts w:ascii="Calibri" w:hAnsi="Calibri" w:cs="Calibri"/>
          <w:color w:val="000000" w:themeColor="text1"/>
          <w:sz w:val="22"/>
          <w:szCs w:val="22"/>
        </w:rPr>
        <w:t>Religiously-selective</w:t>
      </w:r>
      <w:r w:rsidRPr="00E41059">
        <w:rPr>
          <w:rFonts w:ascii="Calibri" w:hAnsi="Calibri" w:cs="Calibri"/>
          <w:color w:val="000000" w:themeColor="text1"/>
          <w:sz w:val="22"/>
          <w:szCs w:val="22"/>
        </w:rPr>
        <w:t xml:space="preserve"> admissions therefore should be recognised as </w:t>
      </w:r>
      <w:r w:rsidRPr="00E41059">
        <w:rPr>
          <w:rFonts w:ascii="Calibri" w:hAnsi="Calibri" w:cs="Calibri"/>
          <w:color w:val="000000" w:themeColor="text1"/>
          <w:sz w:val="22"/>
          <w:szCs w:val="22"/>
        </w:rPr>
        <w:t>contribut</w:t>
      </w:r>
      <w:r w:rsidRPr="00E41059">
        <w:rPr>
          <w:rFonts w:ascii="Calibri" w:hAnsi="Calibri" w:cs="Calibri"/>
          <w:color w:val="000000" w:themeColor="text1"/>
          <w:sz w:val="22"/>
          <w:szCs w:val="22"/>
        </w:rPr>
        <w:t>ing</w:t>
      </w:r>
      <w:r w:rsidRPr="00E41059">
        <w:rPr>
          <w:rFonts w:ascii="Calibri" w:hAnsi="Calibri" w:cs="Calibri"/>
          <w:color w:val="000000" w:themeColor="text1"/>
          <w:sz w:val="22"/>
          <w:szCs w:val="22"/>
        </w:rPr>
        <w:t xml:space="preserve"> to disadvantage </w:t>
      </w:r>
      <w:r w:rsidRPr="00E41059">
        <w:rPr>
          <w:rFonts w:ascii="Calibri" w:hAnsi="Calibri" w:cs="Calibri"/>
          <w:color w:val="000000" w:themeColor="text1"/>
          <w:sz w:val="22"/>
          <w:szCs w:val="22"/>
        </w:rPr>
        <w:t>gaps, and</w:t>
      </w:r>
      <w:r w:rsidRPr="00E41059">
        <w:rPr>
          <w:rFonts w:ascii="Calibri" w:hAnsi="Calibri" w:cs="Calibri"/>
          <w:color w:val="000000" w:themeColor="text1"/>
          <w:sz w:val="22"/>
          <w:szCs w:val="22"/>
        </w:rPr>
        <w:t xml:space="preserve"> harm</w:t>
      </w:r>
      <w:r w:rsidRPr="00E41059">
        <w:rPr>
          <w:rFonts w:ascii="Calibri" w:hAnsi="Calibri" w:cs="Calibri"/>
          <w:color w:val="000000" w:themeColor="text1"/>
          <w:sz w:val="22"/>
          <w:szCs w:val="22"/>
        </w:rPr>
        <w:t>ing</w:t>
      </w:r>
      <w:r w:rsidRPr="00E41059">
        <w:rPr>
          <w:rFonts w:ascii="Calibri" w:hAnsi="Calibri" w:cs="Calibri"/>
          <w:color w:val="000000" w:themeColor="text1"/>
          <w:sz w:val="22"/>
          <w:szCs w:val="22"/>
        </w:rPr>
        <w:t xml:space="preserve"> the attainment</w:t>
      </w:r>
      <w:r w:rsidRPr="00E41059">
        <w:rPr>
          <w:rFonts w:ascii="Calibri" w:hAnsi="Calibri" w:cs="Calibri"/>
          <w:color w:val="000000" w:themeColor="text1"/>
          <w:sz w:val="22"/>
          <w:szCs w:val="22"/>
        </w:rPr>
        <w:t xml:space="preserve"> of disadvantaged pupils.</w:t>
      </w:r>
    </w:p>
    <w:p w:rsidR="00A767C9" w:rsidRPr="00E41059" w:rsidP="00314014">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I</w:t>
      </w:r>
      <w:r w:rsidRPr="00E41059">
        <w:rPr>
          <w:rFonts w:ascii="Calibri" w:hAnsi="Calibri" w:cs="Calibri"/>
          <w:color w:val="000000" w:themeColor="text1"/>
          <w:sz w:val="22"/>
          <w:szCs w:val="22"/>
        </w:rPr>
        <w:t xml:space="preserve">n </w:t>
      </w:r>
      <w:r w:rsidRPr="00E41059">
        <w:rPr>
          <w:rFonts w:ascii="Calibri" w:hAnsi="Calibri" w:cs="Calibri"/>
          <w:color w:val="000000" w:themeColor="text1"/>
          <w:sz w:val="22"/>
          <w:szCs w:val="22"/>
        </w:rPr>
        <w:t>‘Every Child Achieving and Thriving’ (ECAT)</w:t>
      </w:r>
      <w:r w:rsidRPr="00E41059">
        <w:rPr>
          <w:rFonts w:ascii="Calibri" w:hAnsi="Calibri" w:cs="Calibri"/>
          <w:color w:val="000000" w:themeColor="text1"/>
          <w:sz w:val="22"/>
          <w:szCs w:val="22"/>
        </w:rPr>
        <w:t xml:space="preserve">, the Government rightly states that the </w:t>
      </w:r>
      <w:r w:rsidRPr="00E41059">
        <w:rPr>
          <w:rFonts w:ascii="Calibri" w:hAnsi="Calibri" w:cs="Calibri"/>
          <w:color w:val="000000" w:themeColor="text1"/>
          <w:sz w:val="22"/>
          <w:szCs w:val="22"/>
        </w:rPr>
        <w:t>education and experiences that we provide to the children of today will shape the society of tomorrow</w:t>
      </w:r>
      <w:r w:rsidRPr="00E41059">
        <w:rPr>
          <w:rFonts w:ascii="Calibri" w:hAnsi="Calibri" w:cs="Calibri"/>
          <w:color w:val="000000" w:themeColor="text1"/>
          <w:sz w:val="22"/>
          <w:szCs w:val="22"/>
        </w:rPr>
        <w:t>, and that i</w:t>
      </w:r>
      <w:r w:rsidRPr="00E41059">
        <w:rPr>
          <w:rFonts w:ascii="Calibri" w:hAnsi="Calibri" w:cs="Calibri"/>
          <w:color w:val="000000" w:themeColor="text1"/>
          <w:sz w:val="22"/>
          <w:szCs w:val="22"/>
        </w:rPr>
        <w:t xml:space="preserve">t is </w:t>
      </w:r>
      <w:r w:rsidRPr="00E41059">
        <w:rPr>
          <w:rFonts w:ascii="Calibri" w:hAnsi="Calibri" w:cs="Calibri"/>
          <w:color w:val="000000" w:themeColor="text1"/>
          <w:sz w:val="22"/>
          <w:szCs w:val="22"/>
        </w:rPr>
        <w:t>“</w:t>
      </w:r>
      <w:r w:rsidRPr="00E41059">
        <w:rPr>
          <w:rFonts w:ascii="Calibri" w:hAnsi="Calibri" w:cs="Calibri"/>
          <w:color w:val="000000" w:themeColor="text1"/>
          <w:sz w:val="22"/>
          <w:szCs w:val="22"/>
        </w:rPr>
        <w:t>more important than ever that our nurseries, schools, trusts and colleges prepare the next generation to shape our world together”</w:t>
      </w:r>
      <w:r w:rsidRPr="00E41059">
        <w:rPr>
          <w:rFonts w:ascii="Calibri" w:hAnsi="Calibri" w:cs="Calibri"/>
          <w:color w:val="000000" w:themeColor="text1"/>
          <w:sz w:val="22"/>
          <w:szCs w:val="22"/>
        </w:rPr>
        <w:t>.</w:t>
      </w:r>
      <w:r w:rsidRPr="00E41059">
        <w:rPr>
          <w:rFonts w:ascii="Calibri" w:hAnsi="Calibri" w:cs="Calibri"/>
          <w:color w:val="000000" w:themeColor="text1"/>
          <w:sz w:val="22"/>
          <w:szCs w:val="22"/>
        </w:rPr>
        <w:t xml:space="preserve"> In this submission, we will demonstrate how religious privilege in our education system, particularly in relation to </w:t>
      </w:r>
      <w:r w:rsidRPr="00E41059">
        <w:rPr>
          <w:rFonts w:ascii="Calibri" w:hAnsi="Calibri" w:cs="Calibri"/>
          <w:color w:val="000000" w:themeColor="text1"/>
          <w:sz w:val="22"/>
          <w:szCs w:val="22"/>
        </w:rPr>
        <w:t xml:space="preserve">admissions, is dividing, alienating, and excluding children and families. </w:t>
      </w:r>
      <w:r w:rsidRPr="00E41059">
        <w:rPr>
          <w:rFonts w:ascii="Calibri" w:hAnsi="Calibri" w:cs="Calibri"/>
          <w:color w:val="000000" w:themeColor="text1"/>
          <w:sz w:val="22"/>
          <w:szCs w:val="22"/>
        </w:rPr>
        <w:t xml:space="preserve">With cohesion in our society under increasing strain, our </w:t>
      </w:r>
      <w:r w:rsidRPr="00E41059">
        <w:rPr>
          <w:rFonts w:ascii="Calibri" w:hAnsi="Calibri" w:cs="Calibri"/>
          <w:color w:val="000000" w:themeColor="text1"/>
          <w:sz w:val="22"/>
          <w:szCs w:val="22"/>
        </w:rPr>
        <w:t>schools</w:t>
      </w:r>
      <w:r w:rsidRPr="00E41059">
        <w:rPr>
          <w:rFonts w:ascii="Calibri" w:hAnsi="Calibri" w:cs="Calibri"/>
          <w:color w:val="000000" w:themeColor="text1"/>
          <w:sz w:val="22"/>
          <w:szCs w:val="22"/>
        </w:rPr>
        <w:t xml:space="preserve"> system is one of the most</w:t>
      </w:r>
      <w:r w:rsidRPr="00E41059">
        <w:rPr>
          <w:rFonts w:ascii="Calibri" w:hAnsi="Calibri" w:cs="Calibri"/>
          <w:color w:val="000000" w:themeColor="text1"/>
          <w:sz w:val="22"/>
          <w:szCs w:val="22"/>
        </w:rPr>
        <w:t xml:space="preserve"> powerful tools we have in promoting </w:t>
      </w:r>
      <w:r w:rsidRPr="00E41059">
        <w:rPr>
          <w:rFonts w:ascii="Calibri" w:hAnsi="Calibri" w:cs="Calibri"/>
          <w:color w:val="000000" w:themeColor="text1"/>
          <w:sz w:val="22"/>
          <w:szCs w:val="22"/>
        </w:rPr>
        <w:t xml:space="preserve">inclusion, respect, and tolerance. </w:t>
      </w:r>
      <w:r w:rsidRPr="00E41059">
        <w:rPr>
          <w:rFonts w:ascii="Calibri" w:hAnsi="Calibri" w:cs="Calibri"/>
          <w:color w:val="000000" w:themeColor="text1"/>
          <w:sz w:val="22"/>
          <w:szCs w:val="22"/>
        </w:rPr>
        <w:t xml:space="preserve">Instead of separating children </w:t>
      </w:r>
      <w:r w:rsidRPr="00E41059">
        <w:rPr>
          <w:rFonts w:ascii="Calibri" w:hAnsi="Calibri" w:cs="Calibri"/>
          <w:color w:val="000000" w:themeColor="text1"/>
          <w:sz w:val="22"/>
          <w:szCs w:val="22"/>
        </w:rPr>
        <w:t>on the basis of</w:t>
      </w:r>
      <w:r w:rsidRPr="00E41059">
        <w:rPr>
          <w:rFonts w:ascii="Calibri" w:hAnsi="Calibri" w:cs="Calibri"/>
          <w:color w:val="000000" w:themeColor="text1"/>
          <w:sz w:val="22"/>
          <w:szCs w:val="22"/>
        </w:rPr>
        <w:t xml:space="preserve"> their parents’ religion</w:t>
      </w:r>
      <w:r w:rsidRPr="00E41059">
        <w:rPr>
          <w:rFonts w:ascii="Calibri" w:hAnsi="Calibri" w:cs="Calibri"/>
          <w:color w:val="000000" w:themeColor="text1"/>
          <w:sz w:val="22"/>
          <w:szCs w:val="22"/>
        </w:rPr>
        <w:t>, we strongly believe in educating them together</w:t>
      </w:r>
      <w:r w:rsidRPr="00E41059">
        <w:rPr>
          <w:rFonts w:ascii="Calibri" w:hAnsi="Calibri" w:cs="Calibri"/>
          <w:color w:val="000000" w:themeColor="text1"/>
          <w:sz w:val="22"/>
          <w:szCs w:val="22"/>
        </w:rPr>
        <w:t xml:space="preserve">. </w:t>
      </w:r>
    </w:p>
    <w:p w:rsidR="00A767C9" w:rsidRPr="00E41059" w:rsidP="00534984">
      <w:pPr>
        <w:pStyle w:val="BriefingBriefing"/>
        <w:spacing w:after="200"/>
        <w:ind w:left="431" w:hanging="431"/>
        <w:rPr>
          <w:rFonts w:ascii="Calibri" w:hAnsi="Calibri" w:cs="Calibri"/>
          <w:color w:val="000000" w:themeColor="text1"/>
          <w:sz w:val="22"/>
          <w:szCs w:val="22"/>
        </w:rPr>
      </w:pPr>
      <w:r w:rsidRPr="00E41059">
        <w:rPr>
          <w:rFonts w:ascii="Calibri" w:hAnsi="Calibri" w:cs="Calibri"/>
          <w:color w:val="000000" w:themeColor="text1"/>
          <w:sz w:val="22"/>
          <w:szCs w:val="22"/>
        </w:rPr>
        <w:t>Raising attainment</w:t>
      </w:r>
    </w:p>
    <w:p w:rsidR="00A767C9" w:rsidRPr="00E41059" w:rsidP="009E10C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As part of its ambition to raise attainment, t</w:t>
      </w:r>
      <w:r w:rsidRPr="00E41059">
        <w:rPr>
          <w:rFonts w:ascii="Calibri" w:hAnsi="Calibri" w:cs="Calibri"/>
          <w:color w:val="000000" w:themeColor="text1"/>
          <w:sz w:val="22"/>
          <w:szCs w:val="22"/>
        </w:rPr>
        <w:t>hroughout ECAT</w:t>
      </w:r>
      <w:r w:rsidRPr="00E41059">
        <w:rPr>
          <w:rFonts w:ascii="Calibri" w:hAnsi="Calibri" w:cs="Calibri"/>
          <w:color w:val="000000" w:themeColor="text1"/>
          <w:sz w:val="22"/>
          <w:szCs w:val="22"/>
        </w:rPr>
        <w:t xml:space="preserve">, the Government consistently emphasises the </w:t>
      </w:r>
      <w:r w:rsidRPr="00E41059">
        <w:rPr>
          <w:rFonts w:ascii="Calibri" w:hAnsi="Calibri" w:cs="Calibri"/>
          <w:color w:val="000000" w:themeColor="text1"/>
          <w:sz w:val="22"/>
          <w:szCs w:val="22"/>
        </w:rPr>
        <w:t xml:space="preserve">need to address the </w:t>
      </w:r>
      <w:r w:rsidRPr="00E41059">
        <w:rPr>
          <w:rFonts w:ascii="Calibri" w:hAnsi="Calibri" w:cs="Calibri"/>
          <w:color w:val="000000" w:themeColor="text1"/>
          <w:sz w:val="22"/>
          <w:szCs w:val="22"/>
        </w:rPr>
        <w:t>diff</w:t>
      </w:r>
      <w:r w:rsidRPr="00E41059">
        <w:rPr>
          <w:rFonts w:ascii="Calibri" w:hAnsi="Calibri" w:cs="Calibri"/>
          <w:color w:val="000000" w:themeColor="text1"/>
          <w:sz w:val="22"/>
          <w:szCs w:val="22"/>
        </w:rPr>
        <w:t>iculties faced by disadvantaged children</w:t>
      </w:r>
      <w:r w:rsidRPr="00E41059">
        <w:rPr>
          <w:rFonts w:ascii="Calibri" w:hAnsi="Calibri" w:cs="Calibri"/>
          <w:color w:val="000000" w:themeColor="text1"/>
          <w:sz w:val="22"/>
          <w:szCs w:val="22"/>
        </w:rPr>
        <w:t xml:space="preserve">. It notes that </w:t>
      </w:r>
      <w:r w:rsidRPr="00E41059">
        <w:rPr>
          <w:rFonts w:ascii="Calibri" w:hAnsi="Calibri" w:cs="Calibri"/>
          <w:color w:val="000000" w:themeColor="text1"/>
          <w:sz w:val="22"/>
          <w:szCs w:val="22"/>
        </w:rPr>
        <w:t>children’s outcomes are “still too often determined by background or circumstances”, resulting in a “failure to close the attainment gaps”</w:t>
      </w:r>
      <w:r w:rsidRPr="00E41059">
        <w:rPr>
          <w:rFonts w:ascii="Calibri" w:hAnsi="Calibri" w:cs="Calibri"/>
          <w:color w:val="000000" w:themeColor="text1"/>
          <w:sz w:val="22"/>
          <w:szCs w:val="22"/>
        </w:rPr>
        <w:t xml:space="preserve">. </w:t>
      </w:r>
      <w:r w:rsidRPr="00E41059">
        <w:rPr>
          <w:rFonts w:ascii="Calibri" w:hAnsi="Calibri" w:cs="Calibri"/>
          <w:color w:val="000000" w:themeColor="text1"/>
          <w:sz w:val="22"/>
          <w:szCs w:val="22"/>
        </w:rPr>
        <w:t xml:space="preserve">The Government rightly states that when </w:t>
      </w:r>
      <w:r w:rsidRPr="00E41059">
        <w:rPr>
          <w:rFonts w:ascii="Calibri" w:hAnsi="Calibri" w:cs="Calibri"/>
          <w:color w:val="000000" w:themeColor="text1"/>
          <w:sz w:val="22"/>
          <w:szCs w:val="22"/>
        </w:rPr>
        <w:t xml:space="preserve">children are </w:t>
      </w:r>
      <w:r w:rsidRPr="00E41059">
        <w:rPr>
          <w:rFonts w:ascii="Calibri" w:hAnsi="Calibri" w:cs="Calibri"/>
          <w:color w:val="000000" w:themeColor="text1"/>
          <w:sz w:val="22"/>
          <w:szCs w:val="22"/>
        </w:rPr>
        <w:t>“</w:t>
      </w:r>
      <w:r w:rsidRPr="00E41059">
        <w:rPr>
          <w:rFonts w:ascii="Calibri" w:hAnsi="Calibri" w:cs="Calibri"/>
          <w:color w:val="000000" w:themeColor="text1"/>
          <w:sz w:val="22"/>
          <w:szCs w:val="22"/>
        </w:rPr>
        <w:t>not included in the system – their voices ignored and needs unmet – it leads to disengagement, isolation, and lasting educational inequality</w:t>
      </w:r>
      <w:r w:rsidRPr="00E41059">
        <w:rPr>
          <w:rFonts w:ascii="Calibri" w:hAnsi="Calibri" w:cs="Calibri"/>
          <w:color w:val="000000" w:themeColor="text1"/>
          <w:sz w:val="22"/>
          <w:szCs w:val="22"/>
        </w:rPr>
        <w:t>”.</w:t>
      </w:r>
    </w:p>
    <w:p w:rsidR="00A767C9" w:rsidRPr="00E41059" w:rsidP="009E10C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There is a substantial and growing body of evidence that schools with a designated religious character (faith schools) </w:t>
      </w:r>
      <w:r w:rsidRPr="00E41059">
        <w:rPr>
          <w:rFonts w:ascii="Calibri" w:hAnsi="Calibri" w:cs="Calibri"/>
          <w:color w:val="000000" w:themeColor="text1"/>
          <w:sz w:val="22"/>
          <w:szCs w:val="22"/>
        </w:rPr>
        <w:t>disadvantage</w:t>
      </w:r>
      <w:r w:rsidRPr="00E41059">
        <w:rPr>
          <w:rFonts w:ascii="Calibri" w:hAnsi="Calibri" w:cs="Calibri"/>
          <w:color w:val="000000" w:themeColor="text1"/>
          <w:sz w:val="22"/>
          <w:szCs w:val="22"/>
        </w:rPr>
        <w:t xml:space="preserve"> children from poorer backgrounds, children with SEND, and children in </w:t>
      </w:r>
      <w:r w:rsidRPr="00E41059">
        <w:rPr>
          <w:rFonts w:ascii="Calibri" w:hAnsi="Calibri" w:cs="Calibri"/>
          <w:color w:val="000000" w:themeColor="text1"/>
          <w:sz w:val="22"/>
          <w:szCs w:val="22"/>
        </w:rPr>
        <w:t xml:space="preserve">the care system. </w:t>
      </w:r>
      <w:r w:rsidRPr="00E41059">
        <w:rPr>
          <w:rFonts w:ascii="Calibri" w:hAnsi="Calibri" w:cs="Calibri"/>
          <w:color w:val="000000" w:themeColor="text1"/>
          <w:sz w:val="22"/>
          <w:szCs w:val="22"/>
        </w:rPr>
        <w:t>In particular, faith</w:t>
      </w:r>
      <w:r w:rsidRPr="00E41059">
        <w:rPr>
          <w:rFonts w:ascii="Calibri" w:hAnsi="Calibri" w:cs="Calibri"/>
          <w:color w:val="000000" w:themeColor="text1"/>
          <w:sz w:val="22"/>
          <w:szCs w:val="22"/>
        </w:rPr>
        <w:t xml:space="preserve"> schools which </w:t>
      </w:r>
      <w:r w:rsidRPr="00E41059">
        <w:rPr>
          <w:rFonts w:ascii="Calibri" w:hAnsi="Calibri" w:cs="Calibri"/>
          <w:color w:val="000000" w:themeColor="text1"/>
          <w:sz w:val="22"/>
          <w:szCs w:val="22"/>
        </w:rPr>
        <w:t xml:space="preserve">practise </w:t>
      </w:r>
      <w:r w:rsidRPr="00E41059">
        <w:rPr>
          <w:rFonts w:ascii="Calibri" w:hAnsi="Calibri" w:cs="Calibri"/>
          <w:color w:val="000000" w:themeColor="text1"/>
          <w:sz w:val="22"/>
          <w:szCs w:val="22"/>
        </w:rPr>
        <w:t xml:space="preserve">religiously selective admissions </w:t>
      </w:r>
      <w:r w:rsidRPr="00E41059">
        <w:rPr>
          <w:rFonts w:ascii="Calibri" w:hAnsi="Calibri" w:cs="Calibri"/>
          <w:color w:val="000000" w:themeColor="text1"/>
          <w:sz w:val="22"/>
          <w:szCs w:val="22"/>
        </w:rPr>
        <w:t>exacerbate</w:t>
      </w:r>
      <w:r w:rsidRPr="00E41059">
        <w:rPr>
          <w:rFonts w:ascii="Calibri" w:hAnsi="Calibri" w:cs="Calibri"/>
          <w:color w:val="000000" w:themeColor="text1"/>
          <w:sz w:val="22"/>
          <w:szCs w:val="22"/>
        </w:rPr>
        <w:t xml:space="preserve"> </w:t>
      </w:r>
      <w:r w:rsidRPr="00E41059">
        <w:rPr>
          <w:rFonts w:ascii="Calibri" w:hAnsi="Calibri" w:cs="Calibri"/>
          <w:color w:val="000000" w:themeColor="text1"/>
          <w:sz w:val="22"/>
          <w:szCs w:val="22"/>
        </w:rPr>
        <w:t xml:space="preserve">and </w:t>
      </w:r>
      <w:r w:rsidRPr="00E41059">
        <w:rPr>
          <w:rFonts w:ascii="Calibri" w:hAnsi="Calibri" w:cs="Calibri"/>
          <w:color w:val="000000" w:themeColor="text1"/>
          <w:sz w:val="22"/>
          <w:szCs w:val="22"/>
        </w:rPr>
        <w:t>perpetuate the difficulties faced by these children.</w:t>
      </w:r>
      <w:r w:rsidRPr="00E41059">
        <w:rPr>
          <w:rFonts w:ascii="Calibri" w:hAnsi="Calibri" w:cs="Calibri"/>
          <w:color w:val="000000" w:themeColor="text1"/>
          <w:sz w:val="22"/>
          <w:szCs w:val="22"/>
        </w:rPr>
        <w:t xml:space="preserve"> </w:t>
      </w:r>
    </w:p>
    <w:p w:rsidR="00A767C9" w:rsidRPr="00E41059" w:rsidP="009E10C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Figures on which schools apply faith-based discrimination </w:t>
      </w:r>
      <w:r w:rsidRPr="00E41059">
        <w:rPr>
          <w:rFonts w:ascii="Calibri" w:hAnsi="Calibri" w:cs="Calibri"/>
          <w:color w:val="000000" w:themeColor="text1"/>
          <w:sz w:val="22"/>
          <w:szCs w:val="22"/>
        </w:rPr>
        <w:t xml:space="preserve">in their admissions </w:t>
      </w:r>
      <w:r w:rsidRPr="00E41059">
        <w:rPr>
          <w:rFonts w:ascii="Calibri" w:hAnsi="Calibri" w:cs="Calibri"/>
          <w:color w:val="000000" w:themeColor="text1"/>
          <w:sz w:val="22"/>
          <w:szCs w:val="22"/>
        </w:rPr>
        <w:t xml:space="preserve">are difficult to obtain, because the Government does not collect or publish this information. However, </w:t>
      </w:r>
      <w:r w:rsidRPr="00E41059">
        <w:rPr>
          <w:rFonts w:ascii="Calibri" w:hAnsi="Calibri" w:cs="Calibri"/>
          <w:color w:val="000000" w:themeColor="text1"/>
          <w:sz w:val="22"/>
          <w:szCs w:val="22"/>
        </w:rPr>
        <w:t xml:space="preserve">2017 </w:t>
      </w:r>
      <w:r w:rsidRPr="00E41059">
        <w:rPr>
          <w:rFonts w:ascii="Calibri" w:hAnsi="Calibri" w:cs="Calibri"/>
          <w:color w:val="000000" w:themeColor="text1"/>
          <w:sz w:val="22"/>
          <w:szCs w:val="22"/>
        </w:rPr>
        <w:t>research has estimated 16% of mainstream state school places are subject to religious selection – 1.2 million in total</w:t>
      </w:r>
      <w:r>
        <w:rPr>
          <w:rStyle w:val="FootnoteReference"/>
          <w:rFonts w:ascii="Calibri" w:hAnsi="Calibri" w:cs="Calibri"/>
          <w:color w:val="000000" w:themeColor="text1"/>
          <w:sz w:val="22"/>
          <w:szCs w:val="22"/>
        </w:rPr>
        <w:footnoteReference w:id="2"/>
      </w:r>
      <w:r w:rsidRPr="00E41059">
        <w:rPr>
          <w:rFonts w:ascii="Calibri" w:hAnsi="Calibri" w:cs="Calibri"/>
          <w:color w:val="000000" w:themeColor="text1"/>
          <w:sz w:val="22"/>
          <w:szCs w:val="22"/>
        </w:rPr>
        <w:t>.</w:t>
      </w:r>
      <w:r w:rsidRPr="00E41059">
        <w:rPr>
          <w:rFonts w:ascii="Calibri" w:hAnsi="Calibri" w:cs="Calibri"/>
          <w:color w:val="000000" w:themeColor="text1"/>
          <w:sz w:val="22"/>
          <w:szCs w:val="22"/>
        </w:rPr>
        <w:t xml:space="preserve"> </w:t>
      </w:r>
    </w:p>
    <w:p w:rsidR="00A767C9" w:rsidRPr="00E41059" w:rsidP="00534984">
      <w:pPr>
        <w:pStyle w:val="BriefingCrosshead"/>
        <w:spacing w:before="60" w:after="200"/>
        <w:rPr>
          <w:rFonts w:ascii="Calibri" w:hAnsi="Calibri" w:cs="Calibri"/>
          <w:color w:val="000000" w:themeColor="text1"/>
          <w:sz w:val="22"/>
          <w:szCs w:val="22"/>
        </w:rPr>
      </w:pPr>
      <w:r w:rsidRPr="00E41059">
        <w:rPr>
          <w:rFonts w:ascii="Calibri" w:hAnsi="Calibri" w:cs="Calibri"/>
          <w:color w:val="000000" w:themeColor="text1"/>
          <w:sz w:val="22"/>
          <w:szCs w:val="22"/>
        </w:rPr>
        <w:t>Socio-economic discrimination</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In ‘Every Child Achieving and Thriving’, the Government rightly highlights how disadvantages “overlap and compound” for children</w:t>
      </w:r>
      <w:r w:rsidRPr="00E41059">
        <w:rPr>
          <w:rFonts w:ascii="Calibri" w:hAnsi="Calibri" w:cs="Calibri"/>
          <w:color w:val="000000" w:themeColor="text1"/>
          <w:sz w:val="22"/>
          <w:szCs w:val="22"/>
        </w:rPr>
        <w:t>. This includes</w:t>
      </w:r>
      <w:r w:rsidRPr="00E41059">
        <w:rPr>
          <w:rFonts w:ascii="Calibri" w:hAnsi="Calibri" w:cs="Calibri"/>
          <w:color w:val="000000" w:themeColor="text1"/>
          <w:sz w:val="22"/>
          <w:szCs w:val="22"/>
        </w:rPr>
        <w:t xml:space="preserve"> outcomes for pupils with both SEND and eligible for free school meals (FSM) fall</w:t>
      </w:r>
      <w:r w:rsidRPr="00E41059">
        <w:rPr>
          <w:rFonts w:ascii="Calibri" w:hAnsi="Calibri" w:cs="Calibri"/>
          <w:color w:val="000000" w:themeColor="text1"/>
          <w:sz w:val="22"/>
          <w:szCs w:val="22"/>
        </w:rPr>
        <w:t>ing</w:t>
      </w:r>
      <w:r w:rsidRPr="00E41059">
        <w:rPr>
          <w:rFonts w:ascii="Calibri" w:hAnsi="Calibri" w:cs="Calibri"/>
          <w:color w:val="000000" w:themeColor="text1"/>
          <w:sz w:val="22"/>
          <w:szCs w:val="22"/>
        </w:rPr>
        <w:t xml:space="preserve"> “far below” those of their peers who do not face these challenges. The need for measures to tackle these low outcomes is particularly pressing given that pupils with SEN are more likely to be eligible for FSM; in the academic year 2024/25, 43.8% of pupils with an </w:t>
      </w:r>
      <w:r w:rsidRPr="00E41059">
        <w:rPr>
          <w:rFonts w:ascii="Calibri" w:hAnsi="Calibri" w:cs="Calibri"/>
          <w:color w:val="000000" w:themeColor="text1"/>
          <w:sz w:val="22"/>
          <w:szCs w:val="22"/>
        </w:rPr>
        <w:t xml:space="preserve">Education, Health and </w:t>
      </w:r>
      <w:r w:rsidRPr="00E41059">
        <w:rPr>
          <w:rFonts w:ascii="Calibri" w:hAnsi="Calibri" w:cs="Calibri"/>
          <w:color w:val="000000" w:themeColor="text1"/>
          <w:sz w:val="22"/>
          <w:szCs w:val="22"/>
        </w:rPr>
        <w:t>Care  P</w:t>
      </w:r>
      <w:r w:rsidRPr="00E41059">
        <w:rPr>
          <w:rFonts w:ascii="Calibri" w:hAnsi="Calibri" w:cs="Calibri"/>
          <w:color w:val="000000" w:themeColor="text1"/>
          <w:sz w:val="22"/>
          <w:szCs w:val="22"/>
        </w:rPr>
        <w:t>lan</w:t>
      </w:r>
      <w:r w:rsidRPr="00E41059">
        <w:rPr>
          <w:rFonts w:ascii="Calibri" w:hAnsi="Calibri" w:cs="Calibri"/>
          <w:color w:val="000000" w:themeColor="text1"/>
          <w:sz w:val="22"/>
          <w:szCs w:val="22"/>
        </w:rPr>
        <w:t xml:space="preserve"> and 39.3% of pupils with SEN support were eligible for FSM in 2025, compared to 22.2% of all pupils in schools without SEN</w:t>
      </w:r>
      <w:r>
        <w:rPr>
          <w:rFonts w:ascii="Calibri" w:hAnsi="Calibri" w:cs="Calibri"/>
          <w:color w:val="000000" w:themeColor="text1"/>
          <w:sz w:val="22"/>
          <w:szCs w:val="22"/>
          <w:vertAlign w:val="superscript"/>
        </w:rPr>
        <w:footnoteReference w:id="3"/>
      </w:r>
      <w:r w:rsidRPr="00E41059">
        <w:rPr>
          <w:rFonts w:ascii="Calibri" w:hAnsi="Calibri" w:cs="Calibri"/>
          <w:color w:val="000000" w:themeColor="text1"/>
          <w:sz w:val="22"/>
          <w:szCs w:val="22"/>
        </w:rPr>
        <w:t xml:space="preserve">. </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It has consistently been shown that faith schools discriminate against children from socio-economically disadvantaged backgrounds. Across multiple studies, the difference between the proportion of pupils eligible for FSM at a school, and those in the school's catchment area (FSM gap), has been found to be higher at faith schools compared to nonreligious schools</w:t>
      </w:r>
      <w:r w:rsidRPr="00E41059">
        <w:rPr>
          <w:rFonts w:ascii="Calibri" w:hAnsi="Calibri" w:cs="Calibri"/>
          <w:color w:val="000000" w:themeColor="text1"/>
          <w:sz w:val="22"/>
          <w:szCs w:val="22"/>
        </w:rPr>
        <w:t>:</w:t>
      </w:r>
      <w:r w:rsidRPr="00E41059">
        <w:rPr>
          <w:rFonts w:ascii="Calibri" w:hAnsi="Calibri" w:cs="Calibri"/>
          <w:color w:val="000000" w:themeColor="text1"/>
          <w:sz w:val="22"/>
          <w:szCs w:val="22"/>
        </w:rPr>
        <w:t xml:space="preserve"> </w:t>
      </w:r>
    </w:p>
    <w:p w:rsidR="00A767C9" w:rsidRPr="00E41059" w:rsidP="003C37E2">
      <w:pPr>
        <w:pStyle w:val="Heading4"/>
        <w:spacing w:before="60" w:beforeAutospacing="0" w:after="200" w:afterAutospacing="0"/>
        <w:rPr>
          <w:rFonts w:ascii="Calibri" w:hAnsi="Calibri" w:cs="Calibri"/>
          <w:b w:val="0"/>
          <w:bCs w:val="0"/>
          <w:sz w:val="22"/>
          <w:szCs w:val="22"/>
        </w:rPr>
      </w:pPr>
      <w:r w:rsidRPr="00E41059">
        <w:rPr>
          <w:rFonts w:ascii="Calibri" w:hAnsi="Calibri" w:cs="Calibri"/>
          <w:b w:val="0"/>
          <w:bCs w:val="0"/>
          <w:sz w:val="22"/>
          <w:szCs w:val="22"/>
        </w:rPr>
        <w:t xml:space="preserve">2026 – Research from Teach First </w:t>
      </w:r>
      <w:r w:rsidRPr="00E41059">
        <w:rPr>
          <w:rFonts w:ascii="Calibri" w:hAnsi="Calibri" w:cs="Calibri"/>
          <w:b w:val="0"/>
          <w:bCs w:val="0"/>
          <w:sz w:val="22"/>
          <w:szCs w:val="22"/>
        </w:rPr>
        <w:t>found that whilst f</w:t>
      </w:r>
      <w:r w:rsidRPr="00E41059">
        <w:rPr>
          <w:rFonts w:ascii="Calibri" w:hAnsi="Calibri" w:cs="Calibri"/>
          <w:b w:val="0"/>
          <w:bCs w:val="0"/>
          <w:sz w:val="22"/>
          <w:szCs w:val="22"/>
        </w:rPr>
        <w:t>aith schools are overrepresented among schools where disadvantaged pupils excel – they admit fewer pupils eligible for FSM</w:t>
      </w:r>
      <w:r>
        <w:rPr>
          <w:rStyle w:val="FootnoteReference"/>
          <w:rFonts w:ascii="Calibri" w:hAnsi="Calibri" w:cs="Calibri"/>
          <w:b w:val="0"/>
          <w:bCs w:val="0"/>
          <w:sz w:val="22"/>
          <w:szCs w:val="22"/>
        </w:rPr>
        <w:footnoteReference w:id="4"/>
      </w:r>
      <w:r w:rsidRPr="00E41059">
        <w:rPr>
          <w:rFonts w:ascii="Calibri" w:hAnsi="Calibri" w:cs="Calibri"/>
          <w:b w:val="0"/>
          <w:bCs w:val="0"/>
          <w:sz w:val="22"/>
          <w:szCs w:val="22"/>
        </w:rPr>
        <w:t>.</w:t>
      </w:r>
      <w:r w:rsidRPr="00E41059">
        <w:rPr>
          <w:rFonts w:ascii="Calibri" w:hAnsi="Calibri" w:cs="Calibri"/>
          <w:b w:val="0"/>
          <w:bCs w:val="0"/>
          <w:sz w:val="22"/>
          <w:szCs w:val="22"/>
        </w:rPr>
        <w:t xml:space="preserve"> Of the 33 faith secondary schools which had an average attainment for persistently disadvantaged pupils which was higher than the national average for non-disadvantaged pupils in English and maths GCSE in 2024, in just five</w:t>
      </w:r>
      <w:r w:rsidRPr="00E41059">
        <w:rPr>
          <w:rFonts w:ascii="Calibri" w:hAnsi="Calibri" w:cs="Calibri"/>
          <w:b w:val="0"/>
          <w:bCs w:val="0"/>
          <w:sz w:val="22"/>
          <w:szCs w:val="22"/>
        </w:rPr>
        <w:t xml:space="preserve"> was the proportion of persistently disadvantaged pupils equal to or higher than the local authority average.</w:t>
      </w:r>
    </w:p>
    <w:p w:rsidR="00A767C9" w:rsidRPr="00E41059" w:rsidP="00695878">
      <w:pPr>
        <w:pStyle w:val="Heading4"/>
        <w:spacing w:before="60" w:beforeAutospacing="0" w:after="200" w:afterAutospacing="0"/>
        <w:rPr>
          <w:rFonts w:ascii="Calibri" w:hAnsi="Calibri" w:cs="Calibri"/>
          <w:b w:val="0"/>
          <w:bCs w:val="0"/>
          <w:sz w:val="22"/>
          <w:szCs w:val="22"/>
        </w:rPr>
      </w:pPr>
      <w:r w:rsidRPr="00E41059">
        <w:rPr>
          <w:rFonts w:ascii="Calibri" w:hAnsi="Calibri" w:cs="Calibri"/>
          <w:b w:val="0"/>
          <w:bCs w:val="0"/>
          <w:sz w:val="22"/>
          <w:szCs w:val="22"/>
        </w:rPr>
        <w:t xml:space="preserve">2025 </w:t>
      </w:r>
      <w:r w:rsidRPr="00E41059">
        <w:rPr>
          <w:rFonts w:ascii="Calibri" w:hAnsi="Calibri" w:cs="Calibri"/>
          <w:b w:val="0"/>
          <w:bCs w:val="0"/>
          <w:sz w:val="22"/>
          <w:szCs w:val="22"/>
        </w:rPr>
        <w:t>–</w:t>
      </w:r>
      <w:r w:rsidRPr="00E41059">
        <w:rPr>
          <w:rFonts w:ascii="Calibri" w:hAnsi="Calibri" w:cs="Calibri"/>
          <w:b w:val="0"/>
          <w:bCs w:val="0"/>
          <w:sz w:val="22"/>
          <w:szCs w:val="22"/>
        </w:rPr>
        <w:t xml:space="preserve"> </w:t>
      </w:r>
      <w:r w:rsidRPr="00E41059">
        <w:rPr>
          <w:rFonts w:ascii="Calibri" w:hAnsi="Calibri" w:cs="Calibri"/>
          <w:b w:val="0"/>
          <w:bCs w:val="0"/>
          <w:sz w:val="22"/>
          <w:szCs w:val="22"/>
        </w:rPr>
        <w:t xml:space="preserve">Analysis by </w:t>
      </w:r>
      <w:r w:rsidRPr="00E41059">
        <w:rPr>
          <w:rFonts w:ascii="Calibri" w:hAnsi="Calibri" w:cs="Calibri"/>
          <w:b w:val="0"/>
          <w:bCs w:val="0"/>
          <w:sz w:val="22"/>
          <w:szCs w:val="22"/>
        </w:rPr>
        <w:t>Comprehensive Future, the National Secular Society, and TRAK found that out of the top 200 least inclusive state-funded secondary schools in England, 38% are faith schools</w:t>
      </w:r>
      <w:r>
        <w:rPr>
          <w:rStyle w:val="FootnoteReference"/>
          <w:rFonts w:ascii="Calibri" w:hAnsi="Calibri" w:cs="Calibri"/>
          <w:b w:val="0"/>
          <w:bCs w:val="0"/>
          <w:sz w:val="22"/>
          <w:szCs w:val="22"/>
        </w:rPr>
        <w:footnoteReference w:id="5"/>
      </w:r>
      <w:r w:rsidRPr="00E41059">
        <w:rPr>
          <w:rFonts w:ascii="Calibri" w:hAnsi="Calibri" w:cs="Calibri"/>
          <w:b w:val="0"/>
          <w:bCs w:val="0"/>
          <w:sz w:val="22"/>
          <w:szCs w:val="22"/>
        </w:rPr>
        <w:t xml:space="preserve">. </w:t>
      </w:r>
      <w:r w:rsidRPr="00E41059">
        <w:rPr>
          <w:rFonts w:ascii="Calibri" w:hAnsi="Calibri" w:cs="Calibri"/>
          <w:b w:val="0"/>
          <w:bCs w:val="0"/>
          <w:sz w:val="22"/>
          <w:szCs w:val="22"/>
        </w:rPr>
        <w:t xml:space="preserve">Because faith schools make up approximately 18% of secondary schools, this represents a significant overrepresentation of faith schools among the nation's least inclusive schools. It also </w:t>
      </w:r>
      <w:r w:rsidRPr="00E41059">
        <w:rPr>
          <w:rFonts w:ascii="Calibri" w:hAnsi="Calibri" w:cs="Calibri"/>
          <w:b w:val="0"/>
          <w:bCs w:val="0"/>
          <w:sz w:val="22"/>
          <w:szCs w:val="22"/>
        </w:rPr>
        <w:t>makes faith schools the second biggest group in the top 200 after grammar schools (59%).</w:t>
      </w:r>
    </w:p>
    <w:p w:rsidR="00A767C9" w:rsidRPr="00E41059" w:rsidP="0084617A">
      <w:pPr>
        <w:pStyle w:val="Heading4"/>
        <w:spacing w:before="60" w:beforeAutospacing="0" w:after="200" w:afterAutospacing="0"/>
        <w:rPr>
          <w:rFonts w:ascii="Calibri" w:hAnsi="Calibri" w:cs="Calibri"/>
          <w:b w:val="0"/>
          <w:bCs w:val="0"/>
          <w:sz w:val="22"/>
          <w:szCs w:val="22"/>
        </w:rPr>
      </w:pPr>
      <w:r w:rsidRPr="00E41059">
        <w:rPr>
          <w:rFonts w:ascii="Calibri" w:hAnsi="Calibri" w:cs="Calibri"/>
          <w:b w:val="0"/>
          <w:bCs w:val="0"/>
          <w:sz w:val="22"/>
          <w:szCs w:val="22"/>
        </w:rPr>
        <w:t xml:space="preserve">2024 </w:t>
      </w:r>
      <w:r w:rsidRPr="00E41059">
        <w:rPr>
          <w:rFonts w:ascii="Calibri" w:hAnsi="Calibri" w:cs="Calibri"/>
          <w:b w:val="0"/>
          <w:bCs w:val="0"/>
          <w:sz w:val="22"/>
          <w:szCs w:val="22"/>
        </w:rPr>
        <w:t>–</w:t>
      </w:r>
      <w:r w:rsidRPr="00E41059">
        <w:rPr>
          <w:rFonts w:ascii="Calibri" w:hAnsi="Calibri" w:cs="Calibri"/>
          <w:b w:val="0"/>
          <w:bCs w:val="0"/>
          <w:sz w:val="22"/>
          <w:szCs w:val="22"/>
        </w:rPr>
        <w:t xml:space="preserve"> </w:t>
      </w:r>
      <w:r w:rsidRPr="00E41059">
        <w:rPr>
          <w:rFonts w:ascii="Calibri" w:hAnsi="Calibri" w:cs="Calibri"/>
          <w:b w:val="0"/>
          <w:bCs w:val="0"/>
          <w:sz w:val="22"/>
          <w:szCs w:val="22"/>
        </w:rPr>
        <w:t>Sutton Trust r</w:t>
      </w:r>
      <w:r w:rsidRPr="00E41059">
        <w:rPr>
          <w:rFonts w:ascii="Calibri" w:hAnsi="Calibri" w:cs="Calibri"/>
          <w:b w:val="0"/>
          <w:bCs w:val="0"/>
          <w:sz w:val="22"/>
          <w:szCs w:val="22"/>
        </w:rPr>
        <w:t>esearch found that areas with more faith schools, particularly Catholic schools, are more socio-economically segregated</w:t>
      </w:r>
      <w:r>
        <w:rPr>
          <w:rFonts w:ascii="Calibri" w:hAnsi="Calibri" w:cs="Calibri"/>
          <w:b w:val="0"/>
          <w:bCs w:val="0"/>
          <w:sz w:val="22"/>
          <w:szCs w:val="22"/>
          <w:vertAlign w:val="superscript"/>
        </w:rPr>
        <w:footnoteReference w:id="6"/>
      </w:r>
      <w:r w:rsidRPr="00E41059">
        <w:rPr>
          <w:rFonts w:ascii="Calibri" w:hAnsi="Calibri" w:cs="Calibri"/>
          <w:b w:val="0"/>
          <w:bCs w:val="0"/>
          <w:sz w:val="22"/>
          <w:szCs w:val="22"/>
        </w:rPr>
        <w:t xml:space="preserve">. This affected pupil outcomes </w:t>
      </w:r>
      <w:r w:rsidRPr="00E41059">
        <w:rPr>
          <w:rFonts w:ascii="Calibri" w:hAnsi="Calibri" w:cs="Calibri"/>
          <w:b w:val="0"/>
          <w:bCs w:val="0"/>
          <w:sz w:val="22"/>
          <w:szCs w:val="22"/>
        </w:rPr>
        <w:t>–</w:t>
      </w:r>
      <w:r w:rsidRPr="00E41059">
        <w:rPr>
          <w:rFonts w:ascii="Calibri" w:hAnsi="Calibri" w:cs="Calibri"/>
          <w:b w:val="0"/>
          <w:bCs w:val="0"/>
          <w:sz w:val="22"/>
          <w:szCs w:val="22"/>
        </w:rPr>
        <w:t xml:space="preserve"> </w:t>
      </w:r>
      <w:r w:rsidRPr="00E41059">
        <w:rPr>
          <w:rFonts w:ascii="Calibri" w:hAnsi="Calibri" w:cs="Calibri"/>
          <w:b w:val="0"/>
          <w:bCs w:val="0"/>
          <w:sz w:val="22"/>
          <w:szCs w:val="22"/>
        </w:rPr>
        <w:t>local a</w:t>
      </w:r>
      <w:r w:rsidRPr="00E41059">
        <w:rPr>
          <w:rFonts w:ascii="Calibri" w:hAnsi="Calibri" w:cs="Calibri"/>
          <w:b w:val="0"/>
          <w:bCs w:val="0"/>
          <w:sz w:val="22"/>
          <w:szCs w:val="22"/>
        </w:rPr>
        <w:t xml:space="preserve">uthorities with high levels of segregation were found to have larger attainment gaps between disadvantaged and non-disadvantaged pupils, and areas with the highest segregation had gaps in the rate of passes in English and maths 27% higher than areas with low segregation. </w:t>
      </w:r>
    </w:p>
    <w:p w:rsidR="00A767C9" w:rsidRPr="00E41059" w:rsidP="0084617A">
      <w:pPr>
        <w:pStyle w:val="Heading4"/>
        <w:spacing w:before="60" w:beforeAutospacing="0" w:after="200" w:afterAutospacing="0"/>
        <w:rPr>
          <w:rFonts w:ascii="Calibri" w:hAnsi="Calibri" w:cs="Calibri"/>
          <w:b w:val="0"/>
          <w:bCs w:val="0"/>
          <w:sz w:val="22"/>
          <w:szCs w:val="22"/>
        </w:rPr>
      </w:pPr>
      <w:r w:rsidRPr="00E41059">
        <w:rPr>
          <w:rFonts w:ascii="Calibri" w:hAnsi="Calibri" w:cs="Calibri"/>
          <w:b w:val="0"/>
          <w:bCs w:val="0"/>
          <w:sz w:val="22"/>
          <w:szCs w:val="22"/>
        </w:rPr>
        <w:t xml:space="preserve">2024 – Additional </w:t>
      </w:r>
      <w:r w:rsidRPr="00E41059">
        <w:rPr>
          <w:rFonts w:ascii="Calibri" w:hAnsi="Calibri" w:cs="Calibri"/>
          <w:b w:val="0"/>
          <w:bCs w:val="0"/>
          <w:sz w:val="22"/>
          <w:szCs w:val="22"/>
        </w:rPr>
        <w:t xml:space="preserve">Sutton Trust </w:t>
      </w:r>
      <w:r w:rsidRPr="00E41059">
        <w:rPr>
          <w:rFonts w:ascii="Calibri" w:hAnsi="Calibri" w:cs="Calibri"/>
          <w:b w:val="0"/>
          <w:bCs w:val="0"/>
          <w:sz w:val="22"/>
          <w:szCs w:val="22"/>
        </w:rPr>
        <w:t>research concluded that faith schools "are consistently more socially selective than non-religious schools"</w:t>
      </w:r>
      <w:r>
        <w:rPr>
          <w:rFonts w:ascii="Calibri" w:hAnsi="Calibri" w:cs="Calibri"/>
          <w:b w:val="0"/>
          <w:bCs w:val="0"/>
          <w:sz w:val="22"/>
          <w:szCs w:val="22"/>
          <w:vertAlign w:val="superscript"/>
        </w:rPr>
        <w:footnoteReference w:id="7"/>
      </w:r>
      <w:r w:rsidRPr="00E41059">
        <w:rPr>
          <w:rFonts w:ascii="Calibri" w:hAnsi="Calibri" w:cs="Calibri"/>
          <w:b w:val="0"/>
          <w:bCs w:val="0"/>
          <w:sz w:val="22"/>
          <w:szCs w:val="22"/>
        </w:rPr>
        <w:t xml:space="preserve">. It found that the proportion of pupils eligible for FSM at faith </w:t>
      </w:r>
      <w:r w:rsidRPr="00E41059">
        <w:rPr>
          <w:rFonts w:ascii="Calibri" w:hAnsi="Calibri" w:cs="Calibri"/>
          <w:b w:val="0"/>
          <w:bCs w:val="0"/>
          <w:sz w:val="22"/>
          <w:szCs w:val="22"/>
        </w:rPr>
        <w:t>schools is 20.6%, compared with 22.4% in nonreligious schools, with a -4.3 FSM gap for faith schools, and a -0.3 FSM gap for nonreligious schools. The research also found particularly pronounced FSM gaps at Catholic schools (-6.0) and non-Christian faith schools (-7.4).</w:t>
      </w:r>
    </w:p>
    <w:p w:rsidR="00A767C9" w:rsidRPr="00E41059" w:rsidP="0084617A">
      <w:pPr>
        <w:pStyle w:val="Heading4"/>
        <w:spacing w:before="60" w:beforeAutospacing="0" w:after="200" w:afterAutospacing="0"/>
        <w:rPr>
          <w:rFonts w:ascii="Calibri" w:hAnsi="Calibri" w:cs="Calibri"/>
          <w:b w:val="0"/>
          <w:bCs w:val="0"/>
          <w:sz w:val="22"/>
          <w:szCs w:val="22"/>
        </w:rPr>
      </w:pPr>
      <w:r w:rsidRPr="00E41059">
        <w:rPr>
          <w:rFonts w:ascii="Calibri" w:hAnsi="Calibri" w:cs="Calibri"/>
          <w:b w:val="0"/>
          <w:bCs w:val="0"/>
          <w:sz w:val="22"/>
          <w:szCs w:val="22"/>
        </w:rPr>
        <w:t>2020 – A report found faith schools are “frequently among the most socially selective schools</w:t>
      </w:r>
      <w:r w:rsidRPr="00E41059">
        <w:rPr>
          <w:rFonts w:ascii="Calibri" w:hAnsi="Calibri" w:cs="Calibri"/>
          <w:b w:val="0"/>
          <w:bCs w:val="0"/>
          <w:sz w:val="22"/>
          <w:szCs w:val="22"/>
        </w:rPr>
        <w:t>”, and</w:t>
      </w:r>
      <w:r w:rsidRPr="00E41059">
        <w:rPr>
          <w:rFonts w:ascii="Calibri" w:hAnsi="Calibri" w:cs="Calibri"/>
          <w:b w:val="0"/>
          <w:bCs w:val="0"/>
          <w:sz w:val="22"/>
          <w:szCs w:val="22"/>
        </w:rPr>
        <w:t xml:space="preserve"> enrol pupils who are “both more socio-economically advantaged and have higher ability than pupils in the neighbourhood around the school”</w:t>
      </w:r>
      <w:r>
        <w:rPr>
          <w:rFonts w:ascii="Calibri" w:hAnsi="Calibri" w:cs="Calibri"/>
          <w:b w:val="0"/>
          <w:bCs w:val="0"/>
          <w:sz w:val="22"/>
          <w:szCs w:val="22"/>
          <w:vertAlign w:val="superscript"/>
        </w:rPr>
        <w:footnoteReference w:id="8"/>
      </w:r>
      <w:r w:rsidRPr="00E41059">
        <w:rPr>
          <w:rFonts w:ascii="Calibri" w:hAnsi="Calibri" w:cs="Calibri"/>
          <w:b w:val="0"/>
          <w:bCs w:val="0"/>
          <w:sz w:val="22"/>
          <w:szCs w:val="22"/>
        </w:rPr>
        <w:t xml:space="preserve">. The report found this social selection to be partly due to the “complex faith criteria” employed in school admissions policies. </w:t>
      </w:r>
    </w:p>
    <w:p w:rsidR="00A767C9" w:rsidRPr="00E41059" w:rsidP="0084617A">
      <w:pPr>
        <w:pStyle w:val="Heading4"/>
        <w:spacing w:before="60" w:beforeAutospacing="0" w:after="200" w:afterAutospacing="0"/>
        <w:rPr>
          <w:rFonts w:ascii="Calibri" w:hAnsi="Calibri" w:cs="Calibri"/>
          <w:b w:val="0"/>
          <w:bCs w:val="0"/>
          <w:sz w:val="22"/>
          <w:szCs w:val="22"/>
        </w:rPr>
      </w:pPr>
      <w:r w:rsidRPr="00E41059">
        <w:rPr>
          <w:rFonts w:ascii="Calibri" w:hAnsi="Calibri" w:cs="Calibri"/>
          <w:b w:val="0"/>
          <w:bCs w:val="0"/>
          <w:sz w:val="22"/>
          <w:szCs w:val="22"/>
        </w:rPr>
        <w:t>2020 – A report similarly found faith schools to be “over-represented in the group of selective schools”</w:t>
      </w:r>
      <w:r>
        <w:rPr>
          <w:rFonts w:ascii="Calibri" w:hAnsi="Calibri" w:cs="Calibri"/>
          <w:b w:val="0"/>
          <w:bCs w:val="0"/>
          <w:sz w:val="22"/>
          <w:szCs w:val="22"/>
          <w:vertAlign w:val="superscript"/>
        </w:rPr>
        <w:footnoteReference w:id="9"/>
      </w:r>
      <w:r w:rsidRPr="00E41059">
        <w:rPr>
          <w:rFonts w:ascii="Calibri" w:hAnsi="Calibri" w:cs="Calibri"/>
          <w:b w:val="0"/>
          <w:bCs w:val="0"/>
          <w:sz w:val="22"/>
          <w:szCs w:val="22"/>
        </w:rPr>
        <w:t>. Notably, the report surveyed teachers regarding barriers to greater social mixing at high performing schools, with 30% identifying religious based admissions criteria as such a barrier.</w:t>
      </w:r>
    </w:p>
    <w:p w:rsidR="00A767C9" w:rsidRPr="00E41059" w:rsidP="0084617A">
      <w:pPr>
        <w:pStyle w:val="Heading4"/>
        <w:spacing w:before="60" w:beforeAutospacing="0" w:after="200" w:afterAutospacing="0"/>
        <w:rPr>
          <w:rFonts w:ascii="Calibri" w:hAnsi="Calibri" w:cs="Calibri"/>
          <w:b w:val="0"/>
          <w:bCs w:val="0"/>
          <w:sz w:val="22"/>
          <w:szCs w:val="22"/>
        </w:rPr>
      </w:pPr>
      <w:r w:rsidRPr="00E41059">
        <w:rPr>
          <w:rFonts w:ascii="Calibri" w:hAnsi="Calibri" w:cs="Calibri"/>
          <w:b w:val="0"/>
          <w:bCs w:val="0"/>
          <w:sz w:val="22"/>
          <w:szCs w:val="22"/>
        </w:rPr>
        <w:t>2019 - Utilising research from 2017</w:t>
      </w:r>
      <w:r>
        <w:rPr>
          <w:rFonts w:ascii="Calibri" w:hAnsi="Calibri" w:cs="Calibri"/>
          <w:b w:val="0"/>
          <w:bCs w:val="0"/>
          <w:sz w:val="22"/>
          <w:szCs w:val="22"/>
          <w:vertAlign w:val="superscript"/>
        </w:rPr>
        <w:footnoteReference w:id="10"/>
      </w:r>
      <w:r w:rsidRPr="00E41059">
        <w:rPr>
          <w:rFonts w:ascii="Calibri" w:hAnsi="Calibri" w:cs="Calibri"/>
          <w:b w:val="0"/>
          <w:bCs w:val="0"/>
          <w:sz w:val="22"/>
          <w:szCs w:val="22"/>
        </w:rPr>
        <w:t xml:space="preserve">, a report found faith schools to be “among the most socially selective of schools” in England, with a </w:t>
      </w:r>
      <w:r w:rsidRPr="00E41059">
        <w:rPr>
          <w:rFonts w:ascii="Calibri" w:hAnsi="Calibri" w:cs="Calibri"/>
          <w:b w:val="0"/>
          <w:bCs w:val="0"/>
          <w:sz w:val="22"/>
          <w:szCs w:val="22"/>
        </w:rPr>
        <w:t>6 percentage</w:t>
      </w:r>
      <w:r w:rsidRPr="00E41059">
        <w:rPr>
          <w:rFonts w:ascii="Calibri" w:hAnsi="Calibri" w:cs="Calibri"/>
          <w:b w:val="0"/>
          <w:bCs w:val="0"/>
          <w:sz w:val="22"/>
          <w:szCs w:val="22"/>
        </w:rPr>
        <w:t xml:space="preserve"> point gap between the FSM rate in the catchment areas of top performing faith schools and their actual intake</w:t>
      </w:r>
      <w:r>
        <w:rPr>
          <w:rFonts w:ascii="Calibri" w:hAnsi="Calibri" w:cs="Calibri"/>
          <w:b w:val="0"/>
          <w:bCs w:val="0"/>
          <w:sz w:val="22"/>
          <w:szCs w:val="22"/>
          <w:vertAlign w:val="superscript"/>
        </w:rPr>
        <w:footnoteReference w:id="11"/>
      </w:r>
      <w:r w:rsidRPr="00E41059">
        <w:rPr>
          <w:rFonts w:ascii="Calibri" w:hAnsi="Calibri" w:cs="Calibri"/>
          <w:b w:val="0"/>
          <w:bCs w:val="0"/>
          <w:sz w:val="22"/>
          <w:szCs w:val="22"/>
        </w:rPr>
        <w:t xml:space="preserve">. This gap was more than three times that of top performing non-faith schools. Faith schools make up 33% of top performing secondary schools, despite making up just 20% of secondary </w:t>
      </w:r>
      <w:r w:rsidRPr="00E41059">
        <w:rPr>
          <w:rFonts w:ascii="Calibri" w:hAnsi="Calibri" w:cs="Calibri"/>
          <w:b w:val="0"/>
          <w:bCs w:val="0"/>
          <w:sz w:val="22"/>
          <w:szCs w:val="22"/>
        </w:rPr>
        <w:t>schools as a whole</w:t>
      </w:r>
      <w:r w:rsidRPr="00E41059">
        <w:rPr>
          <w:rFonts w:ascii="Calibri" w:hAnsi="Calibri" w:cs="Calibri"/>
          <w:b w:val="0"/>
          <w:bCs w:val="0"/>
          <w:sz w:val="22"/>
          <w:szCs w:val="22"/>
        </w:rPr>
        <w:t>.</w:t>
      </w:r>
    </w:p>
    <w:p w:rsidR="00A767C9" w:rsidRPr="00E41059" w:rsidP="0084617A">
      <w:pPr>
        <w:pStyle w:val="Heading4"/>
        <w:spacing w:before="60" w:beforeAutospacing="0" w:after="200" w:afterAutospacing="0"/>
        <w:rPr>
          <w:rFonts w:ascii="Calibri" w:hAnsi="Calibri" w:cs="Calibri"/>
          <w:b w:val="0"/>
          <w:bCs w:val="0"/>
          <w:sz w:val="22"/>
          <w:szCs w:val="22"/>
        </w:rPr>
      </w:pPr>
      <w:r w:rsidRPr="00E41059">
        <w:rPr>
          <w:rFonts w:ascii="Calibri" w:hAnsi="Calibri" w:cs="Calibri"/>
          <w:b w:val="0"/>
          <w:bCs w:val="0"/>
          <w:sz w:val="22"/>
          <w:szCs w:val="22"/>
        </w:rPr>
        <w:t>2017 – Analysis by the Fair Admissions Campaign of comprehensive secondary schools found that non-faith schools admit 11% more pupils eligible for FSM than the proportion of such pupils in their local area</w:t>
      </w:r>
      <w:r>
        <w:rPr>
          <w:rFonts w:ascii="Calibri" w:hAnsi="Calibri" w:cs="Calibri"/>
          <w:b w:val="0"/>
          <w:bCs w:val="0"/>
          <w:sz w:val="22"/>
          <w:szCs w:val="22"/>
          <w:vertAlign w:val="superscript"/>
        </w:rPr>
        <w:footnoteReference w:id="12"/>
      </w:r>
      <w:r w:rsidRPr="00E41059">
        <w:rPr>
          <w:rFonts w:ascii="Calibri" w:hAnsi="Calibri" w:cs="Calibri"/>
          <w:b w:val="0"/>
          <w:bCs w:val="0"/>
          <w:sz w:val="22"/>
          <w:szCs w:val="22"/>
        </w:rPr>
        <w:t xml:space="preserve">. In contrast, Church of England schools admit 10% fewer, Roman Catholic schools 24% fewer, Jewish secondaries 61% fewer and Muslim secondaries 25% fewer. On average, faith schools whose admissions criteria allowed for religious selection for all places admit 27% fewer pupils from this category than would be expected if such schools were a true reflection of their local area. </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The Government has stated it will pay “particular attention to schools where SEND, FSM or demographic trends appear significantly out of sync with their local context”. It </w:t>
      </w:r>
      <w:r w:rsidRPr="00E41059">
        <w:rPr>
          <w:rFonts w:ascii="Calibri" w:hAnsi="Calibri" w:cs="Calibri"/>
          <w:color w:val="000000" w:themeColor="text1"/>
          <w:sz w:val="22"/>
          <w:szCs w:val="22"/>
        </w:rPr>
        <w:t>should</w:t>
      </w:r>
      <w:r w:rsidRPr="00E41059">
        <w:rPr>
          <w:rFonts w:ascii="Calibri" w:hAnsi="Calibri" w:cs="Calibri"/>
          <w:color w:val="000000" w:themeColor="text1"/>
          <w:sz w:val="22"/>
          <w:szCs w:val="22"/>
        </w:rPr>
        <w:t>, therefore, examine closely the discriminatory effects of faith schools on children with SEND and those eligible for FSM.</w:t>
      </w:r>
    </w:p>
    <w:p w:rsidR="00A767C9" w:rsidRPr="00E41059" w:rsidP="00534984">
      <w:pPr>
        <w:pStyle w:val="BriefingCrosshead"/>
        <w:spacing w:before="60" w:after="200"/>
        <w:rPr>
          <w:rFonts w:ascii="Calibri" w:hAnsi="Calibri" w:cs="Calibri"/>
          <w:color w:val="000000" w:themeColor="text1"/>
          <w:sz w:val="22"/>
          <w:szCs w:val="22"/>
        </w:rPr>
      </w:pPr>
      <w:r w:rsidRPr="00E41059">
        <w:rPr>
          <w:rFonts w:ascii="Calibri" w:hAnsi="Calibri" w:cs="Calibri"/>
          <w:color w:val="000000" w:themeColor="text1"/>
          <w:sz w:val="22"/>
          <w:szCs w:val="22"/>
        </w:rPr>
        <w:t>SEND</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In 2023, research published by the London School of Economics and Political Science found faith primary schools admit fewer children with SEND than local authority community primaries</w:t>
      </w:r>
      <w:r>
        <w:rPr>
          <w:rFonts w:ascii="Calibri" w:hAnsi="Calibri" w:cs="Calibri"/>
          <w:color w:val="000000" w:themeColor="text1"/>
          <w:sz w:val="22"/>
          <w:szCs w:val="22"/>
          <w:vertAlign w:val="superscript"/>
        </w:rPr>
        <w:footnoteReference w:id="13"/>
      </w:r>
      <w:r w:rsidRPr="00E41059">
        <w:rPr>
          <w:rFonts w:ascii="Calibri" w:hAnsi="Calibri" w:cs="Calibri"/>
          <w:color w:val="000000" w:themeColor="text1"/>
          <w:sz w:val="22"/>
          <w:szCs w:val="22"/>
        </w:rPr>
        <w:t>. By analysing reception year admissions to mainstream state schools from 2010-2020 in England, the research established that in 2020, on average:</w:t>
      </w:r>
    </w:p>
    <w:p w:rsidR="00A767C9" w:rsidRPr="00E41059" w:rsidP="0084617A">
      <w:pPr>
        <w:pStyle w:val="Heading4"/>
        <w:spacing w:before="60" w:beforeAutospacing="0" w:after="200" w:afterAutospacing="0"/>
        <w:rPr>
          <w:rFonts w:ascii="Calibri" w:hAnsi="Calibri" w:cs="Calibri"/>
          <w:b w:val="0"/>
          <w:bCs w:val="0"/>
          <w:sz w:val="22"/>
          <w:szCs w:val="22"/>
        </w:rPr>
      </w:pPr>
      <w:r w:rsidRPr="00E41059">
        <w:rPr>
          <w:rFonts w:ascii="Calibri" w:hAnsi="Calibri" w:cs="Calibri"/>
          <w:b w:val="0"/>
          <w:bCs w:val="0"/>
          <w:sz w:val="22"/>
          <w:szCs w:val="22"/>
        </w:rPr>
        <w:t>Catholic schools admitted to reception 24% fewer children with SEND recorded in pre-school than local authority community schools.</w:t>
      </w:r>
    </w:p>
    <w:p w:rsidR="00A767C9" w:rsidRPr="00E41059" w:rsidP="0084617A">
      <w:pPr>
        <w:pStyle w:val="Heading4"/>
        <w:spacing w:before="60" w:beforeAutospacing="0" w:after="200" w:afterAutospacing="0"/>
        <w:rPr>
          <w:rFonts w:ascii="Calibri" w:hAnsi="Calibri" w:cs="Calibri"/>
          <w:b w:val="0"/>
          <w:bCs w:val="0"/>
          <w:sz w:val="22"/>
          <w:szCs w:val="22"/>
        </w:rPr>
      </w:pPr>
      <w:r w:rsidRPr="00E41059">
        <w:rPr>
          <w:rFonts w:ascii="Calibri" w:hAnsi="Calibri" w:cs="Calibri"/>
          <w:b w:val="0"/>
          <w:bCs w:val="0"/>
          <w:sz w:val="22"/>
          <w:szCs w:val="22"/>
        </w:rPr>
        <w:t>CofE schools that administer their own admissions (academies and voluntary aided schools) admitted 15% fewer children with SEND recorded in pre-school. For voluntary controlled (VC) CofE schools this figure was 8%.</w:t>
      </w:r>
    </w:p>
    <w:p w:rsidR="00A767C9" w:rsidRPr="00E41059" w:rsidP="0084617A">
      <w:pPr>
        <w:pStyle w:val="Heading4"/>
        <w:spacing w:before="60" w:beforeAutospacing="0" w:after="200" w:afterAutospacing="0"/>
        <w:rPr>
          <w:rFonts w:ascii="Calibri" w:hAnsi="Calibri" w:cs="Calibri"/>
          <w:b w:val="0"/>
          <w:bCs w:val="0"/>
          <w:sz w:val="22"/>
          <w:szCs w:val="22"/>
        </w:rPr>
      </w:pPr>
      <w:r w:rsidRPr="00E41059">
        <w:rPr>
          <w:rFonts w:ascii="Calibri" w:hAnsi="Calibri" w:cs="Calibri"/>
          <w:b w:val="0"/>
          <w:bCs w:val="0"/>
          <w:sz w:val="22"/>
          <w:szCs w:val="22"/>
        </w:rPr>
        <w:t>Children with an Education, Health and Care Plan (EHCP) were also less likely to be admitted to faith schools. In 2020, on average:</w:t>
      </w:r>
    </w:p>
    <w:p w:rsidR="00A767C9" w:rsidRPr="00E41059" w:rsidP="0084617A">
      <w:pPr>
        <w:pStyle w:val="Heading4"/>
        <w:spacing w:before="60" w:beforeAutospacing="0" w:after="200" w:afterAutospacing="0"/>
        <w:rPr>
          <w:rFonts w:ascii="Calibri" w:hAnsi="Calibri" w:cs="Calibri"/>
          <w:b w:val="0"/>
          <w:bCs w:val="0"/>
          <w:sz w:val="22"/>
          <w:szCs w:val="22"/>
        </w:rPr>
      </w:pPr>
      <w:r w:rsidRPr="00E41059">
        <w:rPr>
          <w:rFonts w:ascii="Calibri" w:hAnsi="Calibri" w:cs="Calibri"/>
          <w:b w:val="0"/>
          <w:bCs w:val="0"/>
          <w:sz w:val="22"/>
          <w:szCs w:val="22"/>
        </w:rPr>
        <w:t>Catholic schools admitted 15% fewer children with an EHCP than local authority community schools.</w:t>
      </w:r>
    </w:p>
    <w:p w:rsidR="00A767C9" w:rsidRPr="00E41059" w:rsidP="0084617A">
      <w:pPr>
        <w:pStyle w:val="Heading4"/>
        <w:spacing w:before="60" w:beforeAutospacing="0" w:after="200" w:afterAutospacing="0"/>
        <w:rPr>
          <w:rFonts w:ascii="Calibri" w:hAnsi="Calibri" w:cs="Calibri"/>
          <w:b w:val="0"/>
          <w:bCs w:val="0"/>
          <w:sz w:val="22"/>
          <w:szCs w:val="22"/>
        </w:rPr>
      </w:pPr>
      <w:r w:rsidRPr="00E41059">
        <w:rPr>
          <w:rFonts w:ascii="Calibri" w:hAnsi="Calibri" w:cs="Calibri"/>
          <w:b w:val="0"/>
          <w:bCs w:val="0"/>
          <w:sz w:val="22"/>
          <w:szCs w:val="22"/>
        </w:rPr>
        <w:t>VA CofE schools and CofE academies admitted 11% fewer children with an EHCP than local authority community schools. At VC CofE schools, this was 6%.</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Summarising the findings, the report concluded that at the national average level, faith based primary schools “serve as hubs of relative ‘advantage’, disproportionately serving children from more affluent families, and children less likely to have SEND”</w:t>
      </w:r>
      <w:r>
        <w:rPr>
          <w:rFonts w:ascii="Calibri" w:hAnsi="Calibri" w:cs="Calibri"/>
          <w:color w:val="000000" w:themeColor="text1"/>
          <w:sz w:val="22"/>
          <w:szCs w:val="22"/>
          <w:vertAlign w:val="superscript"/>
        </w:rPr>
        <w:footnoteReference w:id="14"/>
      </w:r>
      <w:r w:rsidRPr="00E41059">
        <w:rPr>
          <w:rFonts w:ascii="Calibri" w:hAnsi="Calibri" w:cs="Calibri"/>
          <w:color w:val="000000" w:themeColor="text1"/>
          <w:sz w:val="22"/>
          <w:szCs w:val="22"/>
        </w:rPr>
        <w:t>. Notably, this research controlled for other school-level factors and the area in which schools were based. As such, the differential treatment of children with SEND can be attributed to the religious character of the school with a high degree of confidence.</w:t>
      </w:r>
    </w:p>
    <w:p w:rsidR="00A767C9" w:rsidRPr="00E41059" w:rsidP="00534984">
      <w:pPr>
        <w:pStyle w:val="BriefingCrosshead"/>
        <w:spacing w:before="60" w:after="200"/>
        <w:rPr>
          <w:rFonts w:ascii="Calibri" w:hAnsi="Calibri" w:cs="Calibri"/>
          <w:color w:val="000000" w:themeColor="text1"/>
          <w:sz w:val="22"/>
          <w:szCs w:val="22"/>
        </w:rPr>
      </w:pPr>
      <w:r w:rsidRPr="00E41059">
        <w:rPr>
          <w:rFonts w:ascii="Calibri" w:hAnsi="Calibri" w:cs="Calibri"/>
          <w:color w:val="000000" w:themeColor="text1"/>
          <w:sz w:val="22"/>
          <w:szCs w:val="22"/>
        </w:rPr>
        <w:t>Looked after children</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As noted by </w:t>
      </w:r>
      <w:r w:rsidRPr="00E41059">
        <w:rPr>
          <w:rFonts w:ascii="Calibri" w:hAnsi="Calibri" w:cs="Calibri"/>
          <w:color w:val="000000" w:themeColor="text1"/>
          <w:sz w:val="22"/>
          <w:szCs w:val="22"/>
        </w:rPr>
        <w:t>ECAT</w:t>
      </w:r>
      <w:r w:rsidRPr="00E41059">
        <w:rPr>
          <w:rFonts w:ascii="Calibri" w:hAnsi="Calibri" w:cs="Calibri"/>
          <w:color w:val="000000" w:themeColor="text1"/>
          <w:sz w:val="22"/>
          <w:szCs w:val="22"/>
        </w:rPr>
        <w:t>, challenges overlap and are often exacerbated for children facing multiple disadvantages compared to their peers, including children looked after by local authorities.</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To support the </w:t>
      </w:r>
      <w:r w:rsidRPr="00E41059">
        <w:rPr>
          <w:rFonts w:ascii="Calibri" w:hAnsi="Calibri" w:cs="Calibri"/>
          <w:color w:val="000000" w:themeColor="text1"/>
          <w:sz w:val="22"/>
          <w:szCs w:val="22"/>
        </w:rPr>
        <w:t>particular education</w:t>
      </w:r>
      <w:r w:rsidRPr="00E41059">
        <w:rPr>
          <w:rFonts w:ascii="Calibri" w:hAnsi="Calibri" w:cs="Calibri"/>
          <w:color w:val="000000" w:themeColor="text1"/>
          <w:sz w:val="22"/>
          <w:szCs w:val="22"/>
        </w:rPr>
        <w:t xml:space="preserve"> and welfare needs of children in care, local authorities should prioritise schools which Ofsted has rated “Good” or “Outstanding”</w:t>
      </w:r>
      <w:r>
        <w:rPr>
          <w:rFonts w:ascii="Calibri" w:hAnsi="Calibri" w:cs="Calibri"/>
          <w:color w:val="000000" w:themeColor="text1"/>
          <w:sz w:val="22"/>
          <w:szCs w:val="22"/>
          <w:vertAlign w:val="superscript"/>
        </w:rPr>
        <w:footnoteReference w:id="15"/>
      </w:r>
      <w:r w:rsidRPr="00E41059">
        <w:rPr>
          <w:rFonts w:ascii="Calibri" w:hAnsi="Calibri" w:cs="Calibri"/>
          <w:color w:val="000000" w:themeColor="text1"/>
          <w:sz w:val="22"/>
          <w:szCs w:val="22"/>
        </w:rPr>
        <w:t>. Furthermore, the Schools Admissions Code requires all state schools to give the highest priority to looked after and previously looked after children</w:t>
      </w:r>
      <w:r>
        <w:rPr>
          <w:rFonts w:ascii="Calibri" w:hAnsi="Calibri" w:cs="Calibri"/>
          <w:color w:val="000000" w:themeColor="text1"/>
          <w:sz w:val="22"/>
          <w:szCs w:val="22"/>
          <w:vertAlign w:val="superscript"/>
        </w:rPr>
        <w:footnoteReference w:id="16"/>
      </w:r>
      <w:r w:rsidRPr="00E41059">
        <w:rPr>
          <w:rFonts w:ascii="Calibri" w:hAnsi="Calibri" w:cs="Calibri"/>
          <w:color w:val="000000" w:themeColor="text1"/>
          <w:sz w:val="22"/>
          <w:szCs w:val="22"/>
        </w:rPr>
        <w:t>.</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However, there is an exemption for faith schools. Faith schools are permitted to prioritise all children who meet the school’s faith-based criteria above children in care who do not meet these criteria</w:t>
      </w:r>
      <w:r>
        <w:rPr>
          <w:rFonts w:ascii="Calibri" w:hAnsi="Calibri" w:cs="Calibri"/>
          <w:color w:val="000000" w:themeColor="text1"/>
          <w:sz w:val="22"/>
          <w:szCs w:val="22"/>
          <w:vertAlign w:val="superscript"/>
        </w:rPr>
        <w:footnoteReference w:id="17"/>
      </w:r>
      <w:r w:rsidRPr="00E41059">
        <w:rPr>
          <w:rFonts w:ascii="Calibri" w:hAnsi="Calibri" w:cs="Calibri"/>
          <w:color w:val="000000" w:themeColor="text1"/>
          <w:sz w:val="22"/>
          <w:szCs w:val="22"/>
        </w:rPr>
        <w:t xml:space="preserve">. This means a looked after child who is not baptised Catholic could lose their place to a child who is not looked after, but who is baptised. </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No faith school is compelled by law to prioritise children whose families share the school’s faith </w:t>
      </w:r>
      <w:r w:rsidRPr="00E41059">
        <w:rPr>
          <w:rFonts w:ascii="Calibri" w:hAnsi="Calibri" w:cs="Calibri"/>
          <w:color w:val="000000" w:themeColor="text1"/>
          <w:sz w:val="22"/>
          <w:szCs w:val="22"/>
        </w:rPr>
        <w:t>over looked</w:t>
      </w:r>
      <w:r w:rsidRPr="00E41059">
        <w:rPr>
          <w:rFonts w:ascii="Calibri" w:hAnsi="Calibri" w:cs="Calibri"/>
          <w:color w:val="000000" w:themeColor="text1"/>
          <w:sz w:val="22"/>
          <w:szCs w:val="22"/>
        </w:rPr>
        <w:t>-after children (LAC) or previously looked-after children (PLAC) from other backgrounds, but in practice, many do. A 2021 study</w:t>
      </w:r>
      <w:r>
        <w:rPr>
          <w:rFonts w:ascii="Calibri" w:hAnsi="Calibri" w:cs="Calibri"/>
          <w:color w:val="000000" w:themeColor="text1"/>
          <w:sz w:val="22"/>
          <w:szCs w:val="22"/>
          <w:vertAlign w:val="superscript"/>
        </w:rPr>
        <w:footnoteReference w:id="18"/>
      </w:r>
      <w:r w:rsidRPr="00E41059">
        <w:rPr>
          <w:rFonts w:ascii="Calibri" w:hAnsi="Calibri" w:cs="Calibri"/>
          <w:color w:val="000000" w:themeColor="text1"/>
          <w:sz w:val="22"/>
          <w:szCs w:val="22"/>
        </w:rPr>
        <w:t xml:space="preserve"> by Humanists UK found 41% of faith-based secondary schools in England routinely prioritise children on religious grounds ahead of children in care. </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In 2023, the Office of the Schools Adjudicator (OSA) annual report noted that a number of local authorities had informed them that faith schools in their area "effectively disadvantage" LAC whose families are not of the school's faith, as a result of faith-based oversubscription criteria and the local pattern of schooling</w:t>
      </w:r>
      <w:r>
        <w:rPr>
          <w:rFonts w:ascii="Calibri" w:hAnsi="Calibri" w:cs="Calibri"/>
          <w:color w:val="000000" w:themeColor="text1"/>
          <w:sz w:val="22"/>
          <w:szCs w:val="22"/>
          <w:vertAlign w:val="superscript"/>
        </w:rPr>
        <w:footnoteReference w:id="19"/>
      </w:r>
      <w:r w:rsidRPr="00E41059">
        <w:rPr>
          <w:rFonts w:ascii="Calibri" w:hAnsi="Calibri" w:cs="Calibri"/>
          <w:color w:val="000000" w:themeColor="text1"/>
          <w:sz w:val="22"/>
          <w:szCs w:val="22"/>
        </w:rPr>
        <w:t xml:space="preserve">. </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In the report, one local authority is quoted describing faith schools as the "main difficulty we face" to ensuring admissions serve the needs of LAC and PLAC. The authority attributed this to faith schools prioritising LAC/PLAC from the same religious background as the school ahead of those who were not, despite guidance that "best practice is to place all LAC/PLAC in the top criterion regardless of faith". The authority told the OSA this meant LAC/PLAC who do not share the schools' faith background are "un</w:t>
      </w:r>
      <w:r w:rsidRPr="00E41059">
        <w:rPr>
          <w:rFonts w:ascii="Calibri" w:hAnsi="Calibri" w:cs="Calibri"/>
          <w:color w:val="000000" w:themeColor="text1"/>
          <w:sz w:val="22"/>
          <w:szCs w:val="22"/>
        </w:rPr>
        <w:t>able to access these schools", creating "further uncertainty for these vulnerable young people when all their peers have confirmed school places".</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Similarly, in its 2024 annual report, the OSA described the "localised" but "persistent" problem of faith schools not giving equal priority to all children in care based on religious affiliation</w:t>
      </w:r>
      <w:r>
        <w:rPr>
          <w:rFonts w:ascii="Calibri" w:hAnsi="Calibri" w:cs="Calibri"/>
          <w:color w:val="000000" w:themeColor="text1"/>
          <w:sz w:val="22"/>
          <w:szCs w:val="22"/>
          <w:vertAlign w:val="superscript"/>
        </w:rPr>
        <w:footnoteReference w:id="20"/>
      </w:r>
      <w:r w:rsidRPr="00E41059">
        <w:rPr>
          <w:rFonts w:ascii="Calibri" w:hAnsi="Calibri" w:cs="Calibri"/>
          <w:color w:val="000000" w:themeColor="text1"/>
          <w:sz w:val="22"/>
          <w:szCs w:val="22"/>
        </w:rPr>
        <w:t xml:space="preserve">. Notably, the OSA was informed by one local authority that a child in care was unable to attend the school identified as most appropriate for them due to </w:t>
      </w:r>
      <w:r w:rsidRPr="00E41059">
        <w:rPr>
          <w:rFonts w:ascii="Calibri" w:hAnsi="Calibri" w:cs="Calibri"/>
          <w:color w:val="000000" w:themeColor="text1"/>
          <w:sz w:val="22"/>
          <w:szCs w:val="22"/>
        </w:rPr>
        <w:t>faith based</w:t>
      </w:r>
      <w:r w:rsidRPr="00E41059">
        <w:rPr>
          <w:rFonts w:ascii="Calibri" w:hAnsi="Calibri" w:cs="Calibri"/>
          <w:color w:val="000000" w:themeColor="text1"/>
          <w:sz w:val="22"/>
          <w:szCs w:val="22"/>
        </w:rPr>
        <w:t xml:space="preserve"> admissions criteria. The local authority said the child "did not secure the </w:t>
      </w:r>
      <w:r w:rsidRPr="00E41059">
        <w:rPr>
          <w:rFonts w:ascii="Calibri" w:hAnsi="Calibri" w:cs="Calibri"/>
          <w:color w:val="000000" w:themeColor="text1"/>
          <w:sz w:val="22"/>
          <w:szCs w:val="22"/>
        </w:rPr>
        <w:t>first choice</w:t>
      </w:r>
      <w:r w:rsidRPr="00E41059">
        <w:rPr>
          <w:rFonts w:ascii="Calibri" w:hAnsi="Calibri" w:cs="Calibri"/>
          <w:color w:val="000000" w:themeColor="text1"/>
          <w:sz w:val="22"/>
          <w:szCs w:val="22"/>
        </w:rPr>
        <w:t xml:space="preserve"> school of carer and social worker as corporate parent" due to admissions criteria </w:t>
      </w:r>
      <w:r w:rsidRPr="00E41059">
        <w:rPr>
          <w:rFonts w:ascii="Calibri" w:hAnsi="Calibri" w:cs="Calibri"/>
          <w:color w:val="000000" w:themeColor="text1"/>
          <w:sz w:val="22"/>
          <w:szCs w:val="22"/>
        </w:rPr>
        <w:t xml:space="preserve">that placed children in care at a lower priority than those not in </w:t>
      </w:r>
      <w:r w:rsidRPr="00E41059">
        <w:rPr>
          <w:rFonts w:ascii="Calibri" w:hAnsi="Calibri" w:cs="Calibri"/>
          <w:color w:val="000000" w:themeColor="text1"/>
          <w:sz w:val="22"/>
          <w:szCs w:val="22"/>
        </w:rPr>
        <w:t>care</w:t>
      </w:r>
      <w:r w:rsidRPr="00E41059">
        <w:rPr>
          <w:rFonts w:ascii="Calibri" w:hAnsi="Calibri" w:cs="Calibri"/>
          <w:color w:val="000000" w:themeColor="text1"/>
          <w:sz w:val="22"/>
          <w:szCs w:val="22"/>
        </w:rPr>
        <w:t xml:space="preserve"> but whose families belong to the religion of the school. An appeal against the decision was "unsuccessful". The OSA said that "at least one" local authority has called for a revision of the </w:t>
      </w:r>
      <w:r w:rsidRPr="00E41059">
        <w:rPr>
          <w:rFonts w:ascii="Calibri" w:hAnsi="Calibri" w:cs="Calibri"/>
          <w:color w:val="000000" w:themeColor="text1"/>
          <w:sz w:val="22"/>
          <w:szCs w:val="22"/>
        </w:rPr>
        <w:t xml:space="preserve">school admissions code </w:t>
      </w:r>
      <w:r w:rsidRPr="00E41059">
        <w:rPr>
          <w:rFonts w:ascii="Calibri" w:hAnsi="Calibri" w:cs="Calibri"/>
          <w:color w:val="000000" w:themeColor="text1"/>
          <w:sz w:val="22"/>
          <w:szCs w:val="22"/>
        </w:rPr>
        <w:t xml:space="preserve">regarding the ability of faith schools to prioritise children of specific religious backgrounds ahead of LAC / PLAC. </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Many children in care have experienced abuse, neglect, violence or other forms of trauma, which can leave them can with complex emotional and mental health needs, which makes them more likely to experience SEND</w:t>
      </w:r>
      <w:r>
        <w:rPr>
          <w:rFonts w:ascii="Calibri" w:hAnsi="Calibri" w:cs="Calibri"/>
          <w:color w:val="000000" w:themeColor="text1"/>
          <w:sz w:val="22"/>
          <w:szCs w:val="22"/>
          <w:vertAlign w:val="superscript"/>
        </w:rPr>
        <w:footnoteReference w:id="21"/>
      </w:r>
      <w:r w:rsidRPr="00E41059">
        <w:rPr>
          <w:rFonts w:ascii="Calibri" w:hAnsi="Calibri" w:cs="Calibri"/>
          <w:color w:val="000000" w:themeColor="text1"/>
          <w:sz w:val="22"/>
          <w:szCs w:val="22"/>
        </w:rPr>
        <w:t>.</w:t>
      </w:r>
    </w:p>
    <w:p w:rsidR="00A767C9" w:rsidRPr="00E41059" w:rsidP="00534984">
      <w:pPr>
        <w:pStyle w:val="BriefingCrosshead"/>
        <w:spacing w:before="60" w:after="200"/>
        <w:rPr>
          <w:rFonts w:ascii="Calibri" w:hAnsi="Calibri" w:cs="Calibri"/>
          <w:color w:val="000000" w:themeColor="text1"/>
          <w:sz w:val="22"/>
          <w:szCs w:val="22"/>
        </w:rPr>
      </w:pPr>
      <w:r w:rsidRPr="00E41059">
        <w:rPr>
          <w:rFonts w:ascii="Calibri" w:hAnsi="Calibri" w:cs="Calibri"/>
          <w:color w:val="000000" w:themeColor="text1"/>
          <w:sz w:val="22"/>
          <w:szCs w:val="22"/>
        </w:rPr>
        <w:t>Effects on children</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ECAT identifies w</w:t>
      </w:r>
      <w:r w:rsidRPr="00E41059">
        <w:rPr>
          <w:rFonts w:ascii="Calibri" w:hAnsi="Calibri" w:cs="Calibri"/>
          <w:color w:val="000000" w:themeColor="text1"/>
          <w:sz w:val="22"/>
          <w:szCs w:val="22"/>
        </w:rPr>
        <w:t xml:space="preserve">hite </w:t>
      </w:r>
      <w:r w:rsidRPr="00E41059">
        <w:rPr>
          <w:rFonts w:ascii="Calibri" w:hAnsi="Calibri" w:cs="Calibri"/>
          <w:color w:val="000000" w:themeColor="text1"/>
          <w:sz w:val="22"/>
          <w:szCs w:val="22"/>
        </w:rPr>
        <w:t>working class</w:t>
      </w:r>
      <w:r w:rsidRPr="00E41059">
        <w:rPr>
          <w:rFonts w:ascii="Calibri" w:hAnsi="Calibri" w:cs="Calibri"/>
          <w:color w:val="000000" w:themeColor="text1"/>
          <w:sz w:val="22"/>
          <w:szCs w:val="22"/>
        </w:rPr>
        <w:t xml:space="preserve"> children </w:t>
      </w:r>
      <w:r w:rsidRPr="00E41059">
        <w:rPr>
          <w:rFonts w:ascii="Calibri" w:hAnsi="Calibri" w:cs="Calibri"/>
          <w:color w:val="000000" w:themeColor="text1"/>
          <w:sz w:val="22"/>
          <w:szCs w:val="22"/>
        </w:rPr>
        <w:t xml:space="preserve">as having </w:t>
      </w:r>
      <w:r w:rsidRPr="00E41059">
        <w:rPr>
          <w:rFonts w:ascii="Calibri" w:hAnsi="Calibri" w:cs="Calibri"/>
          <w:color w:val="000000" w:themeColor="text1"/>
          <w:sz w:val="22"/>
          <w:szCs w:val="22"/>
        </w:rPr>
        <w:t>“amongst the lowest attainment” at GCSE</w:t>
      </w:r>
      <w:r w:rsidRPr="00E41059">
        <w:rPr>
          <w:rFonts w:ascii="Calibri" w:hAnsi="Calibri" w:cs="Calibri"/>
          <w:color w:val="000000" w:themeColor="text1"/>
          <w:sz w:val="22"/>
          <w:szCs w:val="22"/>
        </w:rPr>
        <w:t xml:space="preserve">, with </w:t>
      </w:r>
      <w:r w:rsidRPr="00E41059">
        <w:rPr>
          <w:rFonts w:ascii="Calibri" w:hAnsi="Calibri" w:cs="Calibri"/>
          <w:color w:val="000000" w:themeColor="text1"/>
          <w:sz w:val="22"/>
          <w:szCs w:val="22"/>
        </w:rPr>
        <w:t xml:space="preserve">FSM eligible children from some other ethnic groups also having “particularly low outcomes”. </w:t>
      </w:r>
      <w:r w:rsidRPr="00E41059">
        <w:rPr>
          <w:rFonts w:ascii="Calibri" w:hAnsi="Calibri" w:cs="Calibri"/>
          <w:color w:val="000000" w:themeColor="text1"/>
          <w:sz w:val="22"/>
          <w:szCs w:val="22"/>
        </w:rPr>
        <w:t>Whilst these issues have multiple causes, the Government should consider the role played by faith schools in social selection. As identified by the Sutton Trust, children from disadvantaged families attend schools with a “much lower proportion of children achieving the benchmark of at least 5 A* to C grades”, with the gap in the academic quality of school attended between pupils from the most and least affluent backgrounds averaging a “very substantial” 6.9 percentage points</w:t>
      </w:r>
      <w:r>
        <w:rPr>
          <w:rFonts w:ascii="Calibri" w:hAnsi="Calibri" w:cs="Calibri"/>
          <w:color w:val="000000" w:themeColor="text1"/>
          <w:sz w:val="22"/>
          <w:szCs w:val="22"/>
          <w:vertAlign w:val="superscript"/>
        </w:rPr>
        <w:footnoteReference w:id="22"/>
      </w:r>
      <w:r w:rsidRPr="00E41059">
        <w:rPr>
          <w:rFonts w:ascii="Calibri" w:hAnsi="Calibri" w:cs="Calibri"/>
          <w:color w:val="000000" w:themeColor="text1"/>
          <w:sz w:val="22"/>
          <w:szCs w:val="22"/>
        </w:rPr>
        <w:t>. At the same time, faith schools discriminate against disadvantaged families. It is therefore unsurprising that faith schools are "over-represented" in the top 500 schools under all attainment methods. Although they represent only 19% of all comprehensives, in 2024 faith schools constituted 29% of the top 500 schools on Progress 8 scores, and 34% on Attainment 8 scores</w:t>
      </w:r>
      <w:r>
        <w:rPr>
          <w:rFonts w:ascii="Calibri" w:hAnsi="Calibri" w:cs="Calibri"/>
          <w:color w:val="000000" w:themeColor="text1"/>
          <w:sz w:val="22"/>
          <w:szCs w:val="22"/>
          <w:vertAlign w:val="superscript"/>
        </w:rPr>
        <w:footnoteReference w:id="23"/>
      </w:r>
      <w:r w:rsidRPr="00E41059">
        <w:rPr>
          <w:rFonts w:ascii="Calibri" w:hAnsi="Calibri" w:cs="Calibri"/>
          <w:color w:val="000000" w:themeColor="text1"/>
          <w:sz w:val="22"/>
          <w:szCs w:val="22"/>
        </w:rPr>
        <w:t xml:space="preserve">. </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The </w:t>
      </w:r>
      <w:r w:rsidRPr="00E41059">
        <w:rPr>
          <w:rFonts w:ascii="Calibri" w:hAnsi="Calibri" w:cs="Calibri"/>
          <w:color w:val="000000" w:themeColor="text1"/>
          <w:sz w:val="22"/>
          <w:szCs w:val="22"/>
        </w:rPr>
        <w:t>socially-selective</w:t>
      </w:r>
      <w:r w:rsidRPr="00E41059">
        <w:rPr>
          <w:rFonts w:ascii="Calibri" w:hAnsi="Calibri" w:cs="Calibri"/>
          <w:color w:val="000000" w:themeColor="text1"/>
          <w:sz w:val="22"/>
          <w:szCs w:val="22"/>
        </w:rPr>
        <w:t xml:space="preserve"> effect of faith schools is a significant contributor to this</w:t>
      </w:r>
      <w:r w:rsidRPr="00E41059">
        <w:rPr>
          <w:rFonts w:ascii="Calibri" w:hAnsi="Calibri" w:cs="Calibri"/>
          <w:color w:val="000000" w:themeColor="text1"/>
          <w:sz w:val="22"/>
          <w:szCs w:val="22"/>
        </w:rPr>
        <w:t xml:space="preserve"> overrepresentation</w:t>
      </w:r>
      <w:r w:rsidRPr="00E41059">
        <w:rPr>
          <w:rFonts w:ascii="Calibri" w:hAnsi="Calibri" w:cs="Calibri"/>
          <w:color w:val="000000" w:themeColor="text1"/>
          <w:sz w:val="22"/>
          <w:szCs w:val="22"/>
        </w:rPr>
        <w:t>. B</w:t>
      </w:r>
      <w:r w:rsidRPr="00E41059">
        <w:rPr>
          <w:rFonts w:ascii="Calibri" w:hAnsi="Calibri" w:cs="Calibri"/>
          <w:color w:val="000000" w:themeColor="text1"/>
          <w:sz w:val="22"/>
          <w:szCs w:val="22"/>
        </w:rPr>
        <w:t xml:space="preserve">ecause </w:t>
      </w:r>
      <w:r w:rsidRPr="00E41059">
        <w:rPr>
          <w:rFonts w:ascii="Calibri" w:hAnsi="Calibri" w:cs="Calibri"/>
          <w:color w:val="000000" w:themeColor="text1"/>
          <w:sz w:val="22"/>
          <w:szCs w:val="22"/>
        </w:rPr>
        <w:t>faith schools discriminate against pupils with the greatest need by admitting fewer pupils with SEND and more pupils from affluent backgrounds</w:t>
      </w:r>
      <w:r w:rsidRPr="00E41059">
        <w:rPr>
          <w:rFonts w:ascii="Calibri" w:hAnsi="Calibri" w:cs="Calibri"/>
          <w:color w:val="000000" w:themeColor="text1"/>
          <w:sz w:val="22"/>
          <w:szCs w:val="22"/>
        </w:rPr>
        <w:t>,</w:t>
      </w:r>
      <w:r w:rsidRPr="00E41059">
        <w:rPr>
          <w:rFonts w:ascii="Calibri" w:hAnsi="Calibri" w:cs="Calibri"/>
          <w:color w:val="000000" w:themeColor="text1"/>
          <w:sz w:val="22"/>
          <w:szCs w:val="22"/>
        </w:rPr>
        <w:t xml:space="preserve"> they have fewer pupils with additional </w:t>
      </w:r>
      <w:r w:rsidRPr="00E41059">
        <w:rPr>
          <w:rFonts w:ascii="Calibri" w:hAnsi="Calibri" w:cs="Calibri"/>
          <w:color w:val="000000" w:themeColor="text1"/>
          <w:sz w:val="22"/>
          <w:szCs w:val="22"/>
        </w:rPr>
        <w:t>needs, and</w:t>
      </w:r>
      <w:r w:rsidRPr="00E41059">
        <w:rPr>
          <w:rFonts w:ascii="Calibri" w:hAnsi="Calibri" w:cs="Calibri"/>
          <w:color w:val="000000" w:themeColor="text1"/>
          <w:sz w:val="22"/>
          <w:szCs w:val="22"/>
        </w:rPr>
        <w:t xml:space="preserve"> face </w:t>
      </w:r>
      <w:r w:rsidRPr="00E41059">
        <w:rPr>
          <w:rFonts w:ascii="Calibri" w:hAnsi="Calibri" w:cs="Calibri"/>
          <w:color w:val="000000" w:themeColor="text1"/>
          <w:sz w:val="22"/>
          <w:szCs w:val="22"/>
        </w:rPr>
        <w:t>less</w:t>
      </w:r>
      <w:r w:rsidRPr="00E41059">
        <w:rPr>
          <w:rFonts w:ascii="Calibri" w:hAnsi="Calibri" w:cs="Calibri"/>
          <w:color w:val="000000" w:themeColor="text1"/>
          <w:sz w:val="22"/>
          <w:szCs w:val="22"/>
        </w:rPr>
        <w:t xml:space="preserve"> obstacles to improving and maintaining their </w:t>
      </w:r>
      <w:r w:rsidRPr="00E41059">
        <w:rPr>
          <w:rFonts w:ascii="Calibri" w:hAnsi="Calibri" w:cs="Calibri"/>
          <w:color w:val="000000" w:themeColor="text1"/>
          <w:sz w:val="22"/>
          <w:szCs w:val="22"/>
        </w:rPr>
        <w:t xml:space="preserve">school </w:t>
      </w:r>
      <w:r w:rsidRPr="00E41059">
        <w:rPr>
          <w:rFonts w:ascii="Calibri" w:hAnsi="Calibri" w:cs="Calibri"/>
          <w:color w:val="000000" w:themeColor="text1"/>
          <w:sz w:val="22"/>
          <w:szCs w:val="22"/>
        </w:rPr>
        <w:t xml:space="preserve">performance. </w:t>
      </w:r>
      <w:r w:rsidRPr="00E41059">
        <w:rPr>
          <w:rFonts w:ascii="Calibri" w:hAnsi="Calibri" w:cs="Calibri"/>
          <w:color w:val="000000" w:themeColor="text1"/>
          <w:sz w:val="22"/>
          <w:szCs w:val="22"/>
        </w:rPr>
        <w:t xml:space="preserve">This less challenging environment and improved performance attracts more experienced teachers, and teachers remain working at the school for longer. This stability and experience boosts school performance in turn, perpetuating a cycle of beneficial effects. </w:t>
      </w:r>
      <w:r w:rsidRPr="00E41059">
        <w:rPr>
          <w:rFonts w:ascii="Calibri" w:hAnsi="Calibri" w:cs="Calibri"/>
          <w:color w:val="000000" w:themeColor="text1"/>
          <w:sz w:val="22"/>
          <w:szCs w:val="22"/>
        </w:rPr>
        <w:t xml:space="preserve">Although it does not identify the aspect of social selection </w:t>
      </w:r>
      <w:r w:rsidRPr="00E41059">
        <w:rPr>
          <w:rFonts w:ascii="Calibri" w:hAnsi="Calibri" w:cs="Calibri"/>
          <w:color w:val="000000" w:themeColor="text1"/>
          <w:sz w:val="22"/>
          <w:szCs w:val="22"/>
        </w:rPr>
        <w:t>which contributes to these effects, ECAT note the disruption of teacher turnover at schools with greater levels of disadvantaged pupils. It notes that:</w:t>
      </w:r>
    </w:p>
    <w:p w:rsidR="00A767C9" w:rsidRPr="00E41059" w:rsidP="00197FA6">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w:t>
      </w:r>
      <w:r w:rsidRPr="00E41059">
        <w:rPr>
          <w:rFonts w:ascii="Calibri" w:hAnsi="Calibri" w:cs="Calibri"/>
          <w:color w:val="000000" w:themeColor="text1"/>
          <w:sz w:val="22"/>
          <w:szCs w:val="22"/>
        </w:rPr>
        <w:t>t</w:t>
      </w:r>
      <w:r w:rsidRPr="00E41059">
        <w:rPr>
          <w:rFonts w:ascii="Calibri" w:hAnsi="Calibri" w:cs="Calibri"/>
          <w:color w:val="000000" w:themeColor="text1"/>
          <w:sz w:val="22"/>
          <w:szCs w:val="22"/>
        </w:rPr>
        <w:t>eacher</w:t>
      </w:r>
      <w:r w:rsidRPr="00E41059">
        <w:rPr>
          <w:rFonts w:ascii="Calibri" w:hAnsi="Calibri" w:cs="Calibri"/>
          <w:color w:val="000000" w:themeColor="text1"/>
          <w:sz w:val="22"/>
          <w:szCs w:val="22"/>
        </w:rPr>
        <w:t xml:space="preserve"> and leader turnover is highest in schools with the highest proportion of disadvantaged pupils, where children could most benefit from stability”</w:t>
      </w:r>
      <w:r w:rsidRPr="00E41059">
        <w:rPr>
          <w:rFonts w:ascii="Calibri" w:hAnsi="Calibri" w:cs="Calibri"/>
          <w:color w:val="000000" w:themeColor="text1"/>
          <w:sz w:val="22"/>
          <w:szCs w:val="22"/>
        </w:rPr>
        <w:t>.</w:t>
      </w:r>
    </w:p>
    <w:p w:rsidR="00A767C9" w:rsidRPr="00E41059" w:rsidP="00197FA6">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w:t>
      </w:r>
      <w:r w:rsidRPr="00E41059">
        <w:rPr>
          <w:rFonts w:ascii="Calibri" w:hAnsi="Calibri" w:cs="Calibri"/>
          <w:color w:val="000000" w:themeColor="text1"/>
          <w:sz w:val="22"/>
          <w:szCs w:val="22"/>
        </w:rPr>
        <w:t>t</w:t>
      </w:r>
      <w:r w:rsidRPr="00E41059">
        <w:rPr>
          <w:rFonts w:ascii="Calibri" w:hAnsi="Calibri" w:cs="Calibri"/>
          <w:color w:val="000000" w:themeColor="text1"/>
          <w:sz w:val="22"/>
          <w:szCs w:val="22"/>
        </w:rPr>
        <w:t>he</w:t>
      </w:r>
      <w:r w:rsidRPr="00E41059">
        <w:rPr>
          <w:rFonts w:ascii="Calibri" w:hAnsi="Calibri" w:cs="Calibri"/>
          <w:color w:val="000000" w:themeColor="text1"/>
          <w:sz w:val="22"/>
          <w:szCs w:val="22"/>
        </w:rPr>
        <w:t xml:space="preserve"> gaps in access to high-quality teaching do not fall equally. Schools with higher proportions of disadvantaged children have a greater proportion of unqualified teachers, teachers with 5 years or less experience and higher teacher turnover rates”.</w:t>
      </w:r>
    </w:p>
    <w:p w:rsidR="00A767C9" w:rsidRPr="00E41059" w:rsidP="00197FA6">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w:t>
      </w:r>
      <w:r w:rsidRPr="00E41059">
        <w:rPr>
          <w:rFonts w:ascii="Calibri" w:hAnsi="Calibri" w:cs="Calibri"/>
          <w:color w:val="000000" w:themeColor="text1"/>
          <w:sz w:val="22"/>
          <w:szCs w:val="22"/>
        </w:rPr>
        <w:t>s</w:t>
      </w:r>
      <w:r w:rsidRPr="00E41059">
        <w:rPr>
          <w:rFonts w:ascii="Calibri" w:hAnsi="Calibri" w:cs="Calibri"/>
          <w:color w:val="000000" w:themeColor="text1"/>
          <w:sz w:val="22"/>
          <w:szCs w:val="22"/>
        </w:rPr>
        <w:t>chools</w:t>
      </w:r>
      <w:r w:rsidRPr="00E41059">
        <w:rPr>
          <w:rFonts w:ascii="Calibri" w:hAnsi="Calibri" w:cs="Calibri"/>
          <w:color w:val="000000" w:themeColor="text1"/>
          <w:sz w:val="22"/>
          <w:szCs w:val="22"/>
        </w:rPr>
        <w:t xml:space="preserve"> with the highest proportion of children from disadvantaged backgrounds have the highest leaving rates of headteachers”</w:t>
      </w:r>
      <w:r w:rsidRPr="00E41059">
        <w:rPr>
          <w:rFonts w:ascii="Calibri" w:hAnsi="Calibri" w:cs="Calibri"/>
          <w:color w:val="000000" w:themeColor="text1"/>
          <w:sz w:val="22"/>
          <w:szCs w:val="22"/>
        </w:rPr>
        <w:t>.</w:t>
      </w:r>
    </w:p>
    <w:p w:rsidR="00A767C9" w:rsidRPr="00E41059" w:rsidP="006D1CF1">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ECAT also states that </w:t>
      </w:r>
      <w:r w:rsidRPr="00E41059">
        <w:rPr>
          <w:rFonts w:ascii="Calibri" w:hAnsi="Calibri" w:cs="Calibri"/>
          <w:color w:val="000000" w:themeColor="text1"/>
          <w:sz w:val="22"/>
          <w:szCs w:val="22"/>
        </w:rPr>
        <w:t>“brilliant schools have too often felt they are working against the system to include the achievement and experience of children that the system has sidelined – including white working-class children, children in entrenched disadvantage, children progressing but capable of more, children who receive support from children’s social care and children with SEND”.</w:t>
      </w:r>
      <w:r w:rsidRPr="00E41059">
        <w:rPr>
          <w:rFonts w:ascii="Calibri" w:hAnsi="Calibri" w:cs="Calibri"/>
          <w:color w:val="000000" w:themeColor="text1"/>
          <w:sz w:val="22"/>
          <w:szCs w:val="22"/>
        </w:rPr>
        <w:t xml:space="preserve"> </w:t>
      </w:r>
      <w:r w:rsidRPr="00E41059">
        <w:rPr>
          <w:rFonts w:ascii="Calibri" w:hAnsi="Calibri" w:cs="Calibri"/>
          <w:color w:val="000000" w:themeColor="text1"/>
          <w:sz w:val="22"/>
          <w:szCs w:val="22"/>
        </w:rPr>
        <w:t>T</w:t>
      </w:r>
      <w:r w:rsidRPr="00E41059">
        <w:rPr>
          <w:rFonts w:ascii="Calibri" w:hAnsi="Calibri" w:cs="Calibri"/>
          <w:color w:val="000000" w:themeColor="text1"/>
          <w:sz w:val="22"/>
          <w:szCs w:val="22"/>
        </w:rPr>
        <w:t xml:space="preserve">his exactly describes the </w:t>
      </w:r>
      <w:r w:rsidRPr="00E41059">
        <w:rPr>
          <w:rFonts w:ascii="Calibri" w:hAnsi="Calibri" w:cs="Calibri"/>
          <w:color w:val="000000" w:themeColor="text1"/>
          <w:sz w:val="22"/>
          <w:szCs w:val="22"/>
        </w:rPr>
        <w:t>situation o</w:t>
      </w:r>
      <w:r w:rsidRPr="00E41059">
        <w:rPr>
          <w:rFonts w:ascii="Calibri" w:hAnsi="Calibri" w:cs="Calibri"/>
          <w:color w:val="000000" w:themeColor="text1"/>
          <w:sz w:val="22"/>
          <w:szCs w:val="22"/>
        </w:rPr>
        <w:t xml:space="preserve">f </w:t>
      </w:r>
      <w:r w:rsidRPr="00E41059">
        <w:rPr>
          <w:rFonts w:ascii="Calibri" w:hAnsi="Calibri" w:cs="Calibri"/>
          <w:color w:val="000000" w:themeColor="text1"/>
          <w:sz w:val="22"/>
          <w:szCs w:val="22"/>
        </w:rPr>
        <w:t>nonreligious community</w:t>
      </w:r>
      <w:r w:rsidRPr="00E41059">
        <w:rPr>
          <w:rFonts w:ascii="Calibri" w:hAnsi="Calibri" w:cs="Calibri"/>
          <w:color w:val="000000" w:themeColor="text1"/>
          <w:sz w:val="22"/>
          <w:szCs w:val="22"/>
        </w:rPr>
        <w:t xml:space="preserve"> schools</w:t>
      </w:r>
      <w:r w:rsidRPr="00E41059">
        <w:rPr>
          <w:rFonts w:ascii="Calibri" w:hAnsi="Calibri" w:cs="Calibri"/>
          <w:color w:val="000000" w:themeColor="text1"/>
          <w:sz w:val="22"/>
          <w:szCs w:val="22"/>
        </w:rPr>
        <w:t xml:space="preserve"> which, </w:t>
      </w:r>
      <w:r w:rsidRPr="00E41059">
        <w:rPr>
          <w:rFonts w:ascii="Calibri" w:hAnsi="Calibri" w:cs="Calibri"/>
          <w:color w:val="000000" w:themeColor="text1"/>
          <w:sz w:val="22"/>
          <w:szCs w:val="22"/>
        </w:rPr>
        <w:t xml:space="preserve">as </w:t>
      </w:r>
      <w:r w:rsidRPr="00E41059">
        <w:rPr>
          <w:rFonts w:ascii="Calibri" w:hAnsi="Calibri" w:cs="Calibri"/>
          <w:color w:val="000000" w:themeColor="text1"/>
          <w:sz w:val="22"/>
          <w:szCs w:val="22"/>
        </w:rPr>
        <w:t>a result of</w:t>
      </w:r>
      <w:r w:rsidRPr="00E41059">
        <w:rPr>
          <w:rFonts w:ascii="Calibri" w:hAnsi="Calibri" w:cs="Calibri"/>
          <w:color w:val="000000" w:themeColor="text1"/>
          <w:sz w:val="22"/>
          <w:szCs w:val="22"/>
        </w:rPr>
        <w:t xml:space="preserve"> faith school discrimination, find themselves supporting greater numbers of pupils with SEND and from disadvantaged backgrounds. This creates additional challenges for teachers and therefore for all pupils at the school. As a result, efforts to maintain </w:t>
      </w:r>
      <w:r w:rsidRPr="00E41059">
        <w:rPr>
          <w:rFonts w:ascii="Calibri" w:hAnsi="Calibri" w:cs="Calibri"/>
          <w:color w:val="000000" w:themeColor="text1"/>
          <w:sz w:val="22"/>
          <w:szCs w:val="22"/>
        </w:rPr>
        <w:t>and improve school performance are made more difficult. As identified by the Government, this contributes to increased rates of staff turnover, exacerbating and perpetuating a cycle of harmful effects.</w:t>
      </w:r>
    </w:p>
    <w:p w:rsidR="00A767C9" w:rsidRPr="00E41059" w:rsidP="00534984">
      <w:pPr>
        <w:pStyle w:val="BriefingBriefing"/>
        <w:spacing w:after="200"/>
        <w:ind w:left="431" w:hanging="431"/>
        <w:rPr>
          <w:rFonts w:ascii="Calibri" w:hAnsi="Calibri" w:cs="Calibri"/>
          <w:color w:val="000000" w:themeColor="text1"/>
          <w:sz w:val="22"/>
          <w:szCs w:val="22"/>
        </w:rPr>
      </w:pPr>
      <w:r w:rsidRPr="00E41059">
        <w:rPr>
          <w:rFonts w:ascii="Calibri" w:hAnsi="Calibri" w:cs="Calibri"/>
          <w:color w:val="000000" w:themeColor="text1"/>
          <w:sz w:val="22"/>
          <w:szCs w:val="22"/>
        </w:rPr>
        <w:t>School admissions</w:t>
      </w:r>
    </w:p>
    <w:p w:rsidR="00A767C9" w:rsidRPr="00E41059" w:rsidP="005B723A">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The Government’s commitment to consult on changes to the </w:t>
      </w:r>
      <w:r w:rsidRPr="00E41059">
        <w:rPr>
          <w:rFonts w:ascii="Calibri" w:hAnsi="Calibri" w:cs="Calibri"/>
          <w:color w:val="000000" w:themeColor="text1"/>
          <w:sz w:val="22"/>
          <w:szCs w:val="22"/>
        </w:rPr>
        <w:t xml:space="preserve">school admissions code </w:t>
      </w:r>
      <w:r w:rsidRPr="00E41059">
        <w:rPr>
          <w:rFonts w:ascii="Calibri" w:hAnsi="Calibri" w:cs="Calibri"/>
          <w:color w:val="000000" w:themeColor="text1"/>
          <w:sz w:val="22"/>
          <w:szCs w:val="22"/>
        </w:rPr>
        <w:t xml:space="preserve">to “promote fairness for all families, particularly the most disadvantaged and children with additional needs” is welcome. As identified in the section on reducing disadvantage gaps, promoting fairness for </w:t>
      </w:r>
      <w:r w:rsidRPr="00E41059">
        <w:rPr>
          <w:rFonts w:ascii="Calibri" w:hAnsi="Calibri" w:cs="Calibri"/>
          <w:color w:val="000000" w:themeColor="text1"/>
          <w:sz w:val="22"/>
          <w:szCs w:val="22"/>
        </w:rPr>
        <w:t xml:space="preserve">all families to the greatest extent possible must involve ending legal exemptions which allow faith schools to discriminate </w:t>
      </w:r>
      <w:r w:rsidRPr="00E41059">
        <w:rPr>
          <w:rFonts w:ascii="Calibri" w:hAnsi="Calibri" w:cs="Calibri"/>
          <w:color w:val="000000" w:themeColor="text1"/>
          <w:sz w:val="22"/>
          <w:szCs w:val="22"/>
        </w:rPr>
        <w:t>on the basis of</w:t>
      </w:r>
      <w:r w:rsidRPr="00E41059">
        <w:rPr>
          <w:rFonts w:ascii="Calibri" w:hAnsi="Calibri" w:cs="Calibri"/>
          <w:color w:val="000000" w:themeColor="text1"/>
          <w:sz w:val="22"/>
          <w:szCs w:val="22"/>
        </w:rPr>
        <w:t xml:space="preserve"> faith in their admissions. As such, abolishing </w:t>
      </w:r>
      <w:r w:rsidRPr="00E41059">
        <w:rPr>
          <w:rFonts w:ascii="Calibri" w:hAnsi="Calibri" w:cs="Calibri"/>
          <w:color w:val="000000" w:themeColor="text1"/>
          <w:sz w:val="22"/>
          <w:szCs w:val="22"/>
        </w:rPr>
        <w:t>religiously-selective</w:t>
      </w:r>
      <w:r w:rsidRPr="00E41059">
        <w:rPr>
          <w:rFonts w:ascii="Calibri" w:hAnsi="Calibri" w:cs="Calibri"/>
          <w:color w:val="000000" w:themeColor="text1"/>
          <w:sz w:val="22"/>
          <w:szCs w:val="22"/>
        </w:rPr>
        <w:t xml:space="preserve"> admissions should b</w:t>
      </w:r>
      <w:r w:rsidRPr="00E41059">
        <w:rPr>
          <w:rFonts w:ascii="Calibri" w:hAnsi="Calibri" w:cs="Calibri"/>
          <w:color w:val="000000" w:themeColor="text1"/>
          <w:sz w:val="22"/>
          <w:szCs w:val="22"/>
        </w:rPr>
        <w:t>e included as part of the consultation on changes to the school admissions code.</w:t>
      </w:r>
    </w:p>
    <w:p w:rsidR="00A767C9" w:rsidRPr="00E41059" w:rsidP="005B723A">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As</w:t>
      </w:r>
      <w:r w:rsidRPr="00E41059">
        <w:rPr>
          <w:rFonts w:ascii="Calibri" w:hAnsi="Calibri" w:cs="Calibri"/>
          <w:color w:val="000000" w:themeColor="text1"/>
          <w:sz w:val="22"/>
          <w:szCs w:val="22"/>
        </w:rPr>
        <w:t xml:space="preserve"> identified, </w:t>
      </w:r>
      <w:r w:rsidRPr="00E41059">
        <w:rPr>
          <w:rFonts w:ascii="Calibri" w:hAnsi="Calibri" w:cs="Calibri"/>
          <w:color w:val="000000" w:themeColor="text1"/>
          <w:sz w:val="22"/>
          <w:szCs w:val="22"/>
        </w:rPr>
        <w:t>religiously-selective</w:t>
      </w:r>
      <w:r w:rsidRPr="00E41059">
        <w:rPr>
          <w:rFonts w:ascii="Calibri" w:hAnsi="Calibri" w:cs="Calibri"/>
          <w:color w:val="000000" w:themeColor="text1"/>
          <w:sz w:val="22"/>
          <w:szCs w:val="22"/>
        </w:rPr>
        <w:t xml:space="preserve"> admissions disadvantage looked-after and previously looked-after children. </w:t>
      </w:r>
      <w:r w:rsidRPr="00E41059">
        <w:rPr>
          <w:rFonts w:ascii="Calibri" w:hAnsi="Calibri" w:cs="Calibri"/>
          <w:color w:val="000000" w:themeColor="text1"/>
          <w:sz w:val="22"/>
          <w:szCs w:val="22"/>
        </w:rPr>
        <w:t>T</w:t>
      </w:r>
      <w:r w:rsidRPr="00E41059">
        <w:rPr>
          <w:rFonts w:ascii="Calibri" w:hAnsi="Calibri" w:cs="Calibri"/>
          <w:color w:val="000000" w:themeColor="text1"/>
          <w:sz w:val="22"/>
          <w:szCs w:val="22"/>
        </w:rPr>
        <w:t>he consultation on changes to the school admissions code should</w:t>
      </w:r>
      <w:r w:rsidRPr="00E41059">
        <w:rPr>
          <w:rFonts w:ascii="Calibri" w:hAnsi="Calibri" w:cs="Calibri"/>
          <w:color w:val="000000" w:themeColor="text1"/>
          <w:sz w:val="22"/>
          <w:szCs w:val="22"/>
        </w:rPr>
        <w:t xml:space="preserve"> </w:t>
      </w:r>
      <w:r w:rsidRPr="00E41059">
        <w:rPr>
          <w:rFonts w:ascii="Calibri" w:hAnsi="Calibri" w:cs="Calibri"/>
          <w:color w:val="000000" w:themeColor="text1"/>
          <w:sz w:val="22"/>
          <w:szCs w:val="22"/>
        </w:rPr>
        <w:t>address</w:t>
      </w:r>
      <w:r w:rsidRPr="00E41059">
        <w:rPr>
          <w:rFonts w:ascii="Calibri" w:hAnsi="Calibri" w:cs="Calibri"/>
          <w:color w:val="000000" w:themeColor="text1"/>
          <w:sz w:val="22"/>
          <w:szCs w:val="22"/>
        </w:rPr>
        <w:t xml:space="preserve"> specific requirement</w:t>
      </w:r>
      <w:r w:rsidRPr="00E41059">
        <w:rPr>
          <w:rFonts w:ascii="Calibri" w:hAnsi="Calibri" w:cs="Calibri"/>
          <w:color w:val="000000" w:themeColor="text1"/>
          <w:sz w:val="22"/>
          <w:szCs w:val="22"/>
        </w:rPr>
        <w:t>s</w:t>
      </w:r>
      <w:r w:rsidRPr="00E41059">
        <w:rPr>
          <w:rFonts w:ascii="Calibri" w:hAnsi="Calibri" w:cs="Calibri"/>
          <w:color w:val="000000" w:themeColor="text1"/>
          <w:sz w:val="22"/>
          <w:szCs w:val="22"/>
        </w:rPr>
        <w:t xml:space="preserve"> that all schools prioritise LAC/PLAC irrespective of religious belief.</w:t>
      </w:r>
    </w:p>
    <w:p w:rsidR="00A767C9" w:rsidRPr="00E41059" w:rsidP="007A7D39">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The review of the school admissions code should also seek to prevent the use of </w:t>
      </w:r>
      <w:r w:rsidRPr="00E41059">
        <w:rPr>
          <w:rFonts w:ascii="Calibri" w:hAnsi="Calibri" w:cs="Calibri"/>
          <w:color w:val="000000" w:themeColor="text1"/>
          <w:sz w:val="22"/>
          <w:szCs w:val="22"/>
        </w:rPr>
        <w:t>school admissions policies to coerce and control religious communities</w:t>
      </w:r>
      <w:r>
        <w:rPr>
          <w:rStyle w:val="FootnoteReference"/>
          <w:rFonts w:ascii="Calibri" w:hAnsi="Calibri" w:cs="Calibri"/>
          <w:color w:val="000000" w:themeColor="text1"/>
          <w:sz w:val="22"/>
          <w:szCs w:val="22"/>
        </w:rPr>
        <w:footnoteReference w:id="24"/>
      </w:r>
      <w:r w:rsidRPr="00E41059">
        <w:rPr>
          <w:rFonts w:ascii="Calibri" w:hAnsi="Calibri" w:cs="Calibri"/>
          <w:color w:val="000000" w:themeColor="text1"/>
          <w:sz w:val="22"/>
          <w:szCs w:val="22"/>
        </w:rPr>
        <w:t xml:space="preserve">. </w:t>
      </w:r>
      <w:r w:rsidRPr="00E41059">
        <w:rPr>
          <w:rFonts w:ascii="Calibri" w:hAnsi="Calibri" w:cs="Calibri"/>
          <w:color w:val="000000" w:themeColor="text1"/>
          <w:sz w:val="22"/>
          <w:szCs w:val="22"/>
        </w:rPr>
        <w:t xml:space="preserve">In 2023, we published research demonstrating that state-funded faith schools were using their admissions policies to </w:t>
      </w:r>
      <w:r w:rsidRPr="00E41059">
        <w:rPr>
          <w:rFonts w:ascii="Calibri" w:hAnsi="Calibri" w:cs="Calibri"/>
          <w:color w:val="000000" w:themeColor="text1"/>
          <w:sz w:val="22"/>
          <w:szCs w:val="22"/>
        </w:rPr>
        <w:t xml:space="preserve">impose extreme religious ideology on families, including by </w:t>
      </w:r>
      <w:r w:rsidRPr="00E41059">
        <w:rPr>
          <w:rFonts w:ascii="Calibri" w:hAnsi="Calibri" w:cs="Calibri"/>
          <w:color w:val="000000" w:themeColor="text1"/>
          <w:sz w:val="22"/>
          <w:szCs w:val="22"/>
        </w:rPr>
        <w:t>control</w:t>
      </w:r>
      <w:r w:rsidRPr="00E41059">
        <w:rPr>
          <w:rFonts w:ascii="Calibri" w:hAnsi="Calibri" w:cs="Calibri"/>
          <w:color w:val="000000" w:themeColor="text1"/>
          <w:sz w:val="22"/>
          <w:szCs w:val="22"/>
        </w:rPr>
        <w:t>ling</w:t>
      </w:r>
      <w:r w:rsidRPr="00E41059">
        <w:rPr>
          <w:rFonts w:ascii="Calibri" w:hAnsi="Calibri" w:cs="Calibri"/>
          <w:color w:val="000000" w:themeColor="text1"/>
          <w:sz w:val="22"/>
          <w:szCs w:val="22"/>
        </w:rPr>
        <w:t xml:space="preserve"> how families dress, what they can view on TV or the internet, what they eat at home or in restaurants, and when they have sex</w:t>
      </w:r>
      <w:r>
        <w:rPr>
          <w:rStyle w:val="FootnoteReference"/>
          <w:rFonts w:ascii="Calibri" w:hAnsi="Calibri" w:cs="Calibri"/>
          <w:color w:val="000000" w:themeColor="text1"/>
          <w:sz w:val="22"/>
          <w:szCs w:val="22"/>
        </w:rPr>
        <w:footnoteReference w:id="25"/>
      </w:r>
      <w:r w:rsidRPr="00E41059">
        <w:rPr>
          <w:rFonts w:ascii="Calibri" w:hAnsi="Calibri" w:cs="Calibri"/>
          <w:color w:val="000000" w:themeColor="text1"/>
          <w:sz w:val="22"/>
          <w:szCs w:val="22"/>
        </w:rPr>
        <w:t xml:space="preserve">. </w:t>
      </w:r>
      <w:r w:rsidRPr="00E41059">
        <w:rPr>
          <w:rFonts w:ascii="Calibri" w:hAnsi="Calibri" w:cs="Calibri"/>
          <w:color w:val="000000" w:themeColor="text1"/>
          <w:sz w:val="22"/>
          <w:szCs w:val="22"/>
        </w:rPr>
        <w:t xml:space="preserve">These practices resemble rules imposed by high-control religious groups on their members, as identified by 'cult' watchdog The Family Survival Trust. </w:t>
      </w:r>
      <w:r w:rsidRPr="00E41059">
        <w:rPr>
          <w:rFonts w:ascii="Calibri" w:hAnsi="Calibri" w:cs="Calibri"/>
          <w:color w:val="000000" w:themeColor="text1"/>
          <w:sz w:val="22"/>
          <w:szCs w:val="22"/>
        </w:rPr>
        <w:t xml:space="preserve">It is deeply concerning that this kind of coercive control, which would be potentially illegal if it took place in the context of an inter-personal relationship, is being </w:t>
      </w:r>
      <w:r w:rsidRPr="00E41059">
        <w:rPr>
          <w:rFonts w:ascii="Calibri" w:hAnsi="Calibri" w:cs="Calibri"/>
          <w:color w:val="000000" w:themeColor="text1"/>
          <w:sz w:val="22"/>
          <w:szCs w:val="22"/>
        </w:rPr>
        <w:t>facilitated by the state education system.</w:t>
      </w:r>
    </w:p>
    <w:p w:rsidR="00A767C9" w:rsidRPr="00E41059" w:rsidP="005B723A">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As demonstrated by a</w:t>
      </w:r>
      <w:r w:rsidRPr="00E41059">
        <w:rPr>
          <w:rFonts w:ascii="Calibri" w:hAnsi="Calibri" w:cs="Calibri"/>
          <w:color w:val="000000" w:themeColor="text1"/>
          <w:sz w:val="22"/>
          <w:szCs w:val="22"/>
        </w:rPr>
        <w:t xml:space="preserve"> decision</w:t>
      </w:r>
      <w:r w:rsidRPr="00E41059">
        <w:rPr>
          <w:rFonts w:ascii="Calibri" w:hAnsi="Calibri" w:cs="Calibri"/>
          <w:color w:val="000000" w:themeColor="text1"/>
          <w:sz w:val="22"/>
          <w:szCs w:val="22"/>
        </w:rPr>
        <w:t xml:space="preserve"> of the Office of the Schools Adjudicator in 2024, the current school admissions code is insufficient to prevent </w:t>
      </w:r>
      <w:r w:rsidRPr="00E41059">
        <w:rPr>
          <w:rFonts w:ascii="Calibri" w:hAnsi="Calibri" w:cs="Calibri"/>
          <w:color w:val="000000" w:themeColor="text1"/>
          <w:sz w:val="22"/>
          <w:szCs w:val="22"/>
        </w:rPr>
        <w:t xml:space="preserve">these kind of admissions </w:t>
      </w:r>
      <w:r w:rsidRPr="00E41059">
        <w:rPr>
          <w:rFonts w:ascii="Calibri" w:hAnsi="Calibri" w:cs="Calibri"/>
          <w:color w:val="000000" w:themeColor="text1"/>
          <w:sz w:val="22"/>
          <w:szCs w:val="22"/>
        </w:rPr>
        <w:t>policies</w:t>
      </w:r>
      <w:r>
        <w:rPr>
          <w:rStyle w:val="FootnoteReference"/>
          <w:rFonts w:ascii="Calibri" w:hAnsi="Calibri" w:cs="Calibri"/>
          <w:color w:val="000000" w:themeColor="text1"/>
          <w:sz w:val="22"/>
          <w:szCs w:val="22"/>
        </w:rPr>
        <w:footnoteReference w:id="26"/>
      </w:r>
      <w:r w:rsidRPr="00E41059">
        <w:rPr>
          <w:rFonts w:ascii="Calibri" w:hAnsi="Calibri" w:cs="Calibri"/>
          <w:color w:val="000000" w:themeColor="text1"/>
          <w:sz w:val="22"/>
          <w:szCs w:val="22"/>
        </w:rPr>
        <w:t>.</w:t>
      </w:r>
      <w:r w:rsidRPr="00E41059">
        <w:rPr>
          <w:rFonts w:ascii="Calibri" w:hAnsi="Calibri" w:cs="Calibri"/>
          <w:color w:val="000000" w:themeColor="text1"/>
          <w:sz w:val="22"/>
          <w:szCs w:val="22"/>
        </w:rPr>
        <w:t xml:space="preserve"> The Government should ensure that any review to the school admissions code </w:t>
      </w:r>
      <w:r w:rsidRPr="00E41059">
        <w:rPr>
          <w:rFonts w:ascii="Calibri" w:hAnsi="Calibri" w:cs="Calibri"/>
          <w:color w:val="000000" w:themeColor="text1"/>
          <w:sz w:val="22"/>
          <w:szCs w:val="22"/>
        </w:rPr>
        <w:t xml:space="preserve">includes changes that prevent </w:t>
      </w:r>
      <w:r w:rsidRPr="00E41059">
        <w:rPr>
          <w:rFonts w:ascii="Calibri" w:hAnsi="Calibri" w:cs="Calibri"/>
          <w:color w:val="000000" w:themeColor="text1"/>
          <w:sz w:val="22"/>
          <w:szCs w:val="22"/>
        </w:rPr>
        <w:t>these kind</w:t>
      </w:r>
      <w:r w:rsidRPr="00E41059">
        <w:rPr>
          <w:rFonts w:ascii="Calibri" w:hAnsi="Calibri" w:cs="Calibri"/>
          <w:color w:val="000000" w:themeColor="text1"/>
          <w:sz w:val="22"/>
          <w:szCs w:val="22"/>
        </w:rPr>
        <w:t xml:space="preserve"> of coercive and controlling practices. </w:t>
      </w:r>
    </w:p>
    <w:p w:rsidR="00A767C9" w:rsidRPr="00E41059" w:rsidP="00534984">
      <w:pPr>
        <w:pStyle w:val="BriefingBriefing"/>
        <w:spacing w:after="200"/>
        <w:ind w:left="431" w:hanging="431"/>
        <w:rPr>
          <w:rFonts w:ascii="Calibri" w:hAnsi="Calibri" w:cs="Calibri"/>
          <w:color w:val="000000" w:themeColor="text1"/>
          <w:sz w:val="22"/>
          <w:szCs w:val="22"/>
        </w:rPr>
      </w:pPr>
      <w:r w:rsidRPr="00E41059">
        <w:rPr>
          <w:rFonts w:ascii="Calibri" w:hAnsi="Calibri" w:cs="Calibri"/>
          <w:color w:val="000000" w:themeColor="text1"/>
          <w:sz w:val="22"/>
          <w:szCs w:val="22"/>
        </w:rPr>
        <w:t>Enrichment, belonging and behaviour</w:t>
      </w:r>
    </w:p>
    <w:p w:rsidR="00A767C9" w:rsidRPr="00E41059" w:rsidP="00534984">
      <w:pPr>
        <w:pStyle w:val="BriefingCrosshead"/>
        <w:spacing w:before="60" w:after="200"/>
        <w:rPr>
          <w:rFonts w:ascii="Calibri" w:hAnsi="Calibri" w:cs="Calibri"/>
          <w:color w:val="000000" w:themeColor="text1"/>
          <w:sz w:val="22"/>
          <w:szCs w:val="22"/>
        </w:rPr>
      </w:pPr>
      <w:r w:rsidRPr="00E41059">
        <w:rPr>
          <w:rFonts w:ascii="Calibri" w:hAnsi="Calibri" w:cs="Calibri"/>
          <w:color w:val="000000" w:themeColor="text1"/>
          <w:sz w:val="22"/>
          <w:szCs w:val="22"/>
        </w:rPr>
        <w:t>Worship in schools</w:t>
      </w:r>
    </w:p>
    <w:p w:rsidR="00A767C9" w:rsidRPr="00E41059" w:rsidP="00534984">
      <w:pPr>
        <w:pStyle w:val="BriefingBodyText"/>
        <w:rPr>
          <w:rFonts w:ascii="Calibri" w:hAnsi="Calibri" w:cs="Calibri"/>
          <w:sz w:val="22"/>
          <w:szCs w:val="22"/>
        </w:rPr>
      </w:pPr>
      <w:r w:rsidRPr="00E41059">
        <w:rPr>
          <w:rFonts w:ascii="Calibri" w:hAnsi="Calibri" w:cs="Calibri"/>
          <w:sz w:val="22"/>
          <w:szCs w:val="22"/>
        </w:rPr>
        <w:t>The United Kingdom is the only western democracy which legally imposes worship in publicly funded schools, with the law in England providing that children at all maintained schools "shall on each school day take part in an act of collective worship". Even in schools with no religious designation, the worship must be "wholly or mainly of a Christian character".</w:t>
      </w:r>
    </w:p>
    <w:p w:rsidR="00A767C9" w:rsidRPr="00E41059" w:rsidP="00534984">
      <w:pPr>
        <w:pStyle w:val="BriefingBodyText"/>
        <w:rPr>
          <w:rFonts w:ascii="Calibri" w:hAnsi="Calibri" w:cs="Calibri"/>
          <w:sz w:val="22"/>
          <w:szCs w:val="22"/>
        </w:rPr>
      </w:pPr>
      <w:r w:rsidRPr="00E41059">
        <w:rPr>
          <w:rFonts w:ascii="Calibri" w:hAnsi="Calibri" w:cs="Calibri"/>
          <w:sz w:val="22"/>
          <w:szCs w:val="22"/>
        </w:rPr>
        <w:t>Mandated acts of worship are entirely inappropriate in the context of a modern UK school and curriculum</w:t>
      </w:r>
      <w:r w:rsidRPr="00E41059">
        <w:rPr>
          <w:rFonts w:ascii="Calibri" w:hAnsi="Calibri" w:cs="Calibri"/>
          <w:sz w:val="22"/>
          <w:szCs w:val="22"/>
        </w:rPr>
        <w:t xml:space="preserve"> because they undermine children and families’ right to freedom of religion or belief. </w:t>
      </w:r>
      <w:r w:rsidRPr="00E41059">
        <w:rPr>
          <w:rFonts w:ascii="Calibri" w:hAnsi="Calibri" w:cs="Calibri"/>
          <w:sz w:val="22"/>
          <w:szCs w:val="22"/>
        </w:rPr>
        <w:t xml:space="preserve">They are divisive, serve no legitimate educational purpose, and put schools at risk of inappropriate evangelism from external groups. </w:t>
      </w:r>
      <w:r w:rsidRPr="00E41059">
        <w:rPr>
          <w:rFonts w:ascii="Calibri" w:hAnsi="Calibri" w:cs="Calibri"/>
          <w:sz w:val="22"/>
          <w:szCs w:val="22"/>
        </w:rPr>
        <w:t>Abolishing collective worship laws would therefore promote belonging and inclusion in schools.</w:t>
      </w:r>
    </w:p>
    <w:p w:rsidR="00A767C9" w:rsidRPr="00E41059" w:rsidP="00534984">
      <w:pPr>
        <w:pStyle w:val="BriefingBodyText"/>
        <w:rPr>
          <w:rFonts w:ascii="Calibri" w:hAnsi="Calibri" w:cs="Calibri"/>
          <w:sz w:val="22"/>
          <w:szCs w:val="22"/>
        </w:rPr>
      </w:pPr>
      <w:r w:rsidRPr="00E41059">
        <w:rPr>
          <w:rFonts w:ascii="Calibri" w:hAnsi="Calibri" w:cs="Calibri"/>
          <w:sz w:val="22"/>
          <w:szCs w:val="22"/>
        </w:rPr>
        <w:t>Respect for human rights should be foundational to all efforts to promote social cohesion. Children have the right to freedom of thought, conscience, and religion under both Article 9 of the European Convention on Human Rights and Article 14(1)</w:t>
      </w:r>
      <w:r>
        <w:rPr>
          <w:rStyle w:val="FootnoteReference"/>
          <w:rFonts w:ascii="Calibri" w:hAnsi="Calibri" w:cs="Calibri"/>
          <w:sz w:val="22"/>
          <w:szCs w:val="22"/>
        </w:rPr>
        <w:footnoteReference w:id="27"/>
      </w:r>
      <w:r w:rsidRPr="00E41059">
        <w:rPr>
          <w:rFonts w:ascii="Calibri" w:hAnsi="Calibri" w:cs="Calibri"/>
          <w:sz w:val="22"/>
          <w:szCs w:val="22"/>
        </w:rPr>
        <w:t xml:space="preserve"> of the UN Convention on the Rights of the Child (UNCRC). Compelling children to pray at school is not compatible with these rights, and it disregards the right of families to bring up their children according to their religion or belief. The UNCRC has repeatedly called on the UK and devolved governments to "repeal legal provisions for compulsory attendance at collective worship in publicly funded schools and ensure that children can independently exercise the right to withdraw"</w:t>
      </w:r>
      <w:r>
        <w:rPr>
          <w:rStyle w:val="FootnoteReference"/>
          <w:rFonts w:ascii="Calibri" w:hAnsi="Calibri" w:cs="Calibri"/>
          <w:sz w:val="22"/>
          <w:szCs w:val="22"/>
        </w:rPr>
        <w:footnoteReference w:id="28"/>
      </w:r>
      <w:r w:rsidRPr="00E41059">
        <w:rPr>
          <w:rFonts w:ascii="Calibri" w:hAnsi="Calibri" w:cs="Calibri"/>
          <w:sz w:val="22"/>
          <w:szCs w:val="22"/>
        </w:rPr>
        <w:t>.</w:t>
      </w:r>
    </w:p>
    <w:p w:rsidR="00A767C9" w:rsidRPr="00E41059" w:rsidP="00534984">
      <w:pPr>
        <w:pStyle w:val="BriefingBodyText"/>
        <w:rPr>
          <w:rFonts w:ascii="Calibri" w:hAnsi="Calibri" w:cs="Calibri"/>
          <w:sz w:val="22"/>
          <w:szCs w:val="22"/>
        </w:rPr>
      </w:pPr>
      <w:r w:rsidRPr="00E41059">
        <w:rPr>
          <w:rFonts w:ascii="Calibri" w:hAnsi="Calibri" w:cs="Calibri"/>
          <w:sz w:val="22"/>
          <w:szCs w:val="22"/>
        </w:rPr>
        <w:t xml:space="preserve">Schools should be inclusive and welcoming to all pupils and families, no matter what their religion or belief. Imposing 'broadly Christian' worship on children from nonreligious and non-Christian backgrounds is alienating and can undermine their sense of belonging and of being valued at their school. It also undermines schools’ efforts to encourage respect for diversity, with the primacy of Christianity in the law serving to assert its dominance over other religious and nonreligious beliefs. </w:t>
      </w:r>
    </w:p>
    <w:p w:rsidR="00A767C9" w:rsidRPr="00E41059" w:rsidP="00534984">
      <w:pPr>
        <w:pStyle w:val="BriefingBodyText"/>
        <w:rPr>
          <w:rFonts w:ascii="Calibri" w:hAnsi="Calibri" w:cs="Calibri"/>
          <w:sz w:val="22"/>
          <w:szCs w:val="22"/>
        </w:rPr>
      </w:pPr>
      <w:r w:rsidRPr="00E41059">
        <w:rPr>
          <w:rFonts w:ascii="Calibri" w:hAnsi="Calibri" w:cs="Calibri"/>
          <w:sz w:val="22"/>
          <w:szCs w:val="22"/>
        </w:rPr>
        <w:t>Whilst a legal right of withdrawal does exist for parents, this arrangement is unsatisfactory because it can alienate pupils from their peers. The NSS has heard from multiple parents that schools sometimes try to block or discourage families from withdrawing pupils. Withdrawing children from collective worship is often impractical because pupils must be found alternative activities and may miss important parts of assemblies. There should be no reason for parents to feel the need to withdraw children from an</w:t>
      </w:r>
      <w:r w:rsidRPr="00E41059">
        <w:rPr>
          <w:rFonts w:ascii="Calibri" w:hAnsi="Calibri" w:cs="Calibri"/>
          <w:sz w:val="22"/>
          <w:szCs w:val="22"/>
        </w:rPr>
        <w:t>y part of the school day on the grounds of their religious or non-religious beliefs.</w:t>
      </w:r>
    </w:p>
    <w:p w:rsidR="00A767C9" w:rsidRPr="00E41059" w:rsidP="00534984">
      <w:pPr>
        <w:pStyle w:val="BriefingBodyText"/>
        <w:rPr>
          <w:rFonts w:ascii="Calibri" w:hAnsi="Calibri" w:cs="Calibri"/>
          <w:sz w:val="22"/>
          <w:szCs w:val="22"/>
        </w:rPr>
      </w:pPr>
      <w:r w:rsidRPr="00E41059">
        <w:rPr>
          <w:rFonts w:ascii="Calibri" w:hAnsi="Calibri" w:cs="Calibri"/>
          <w:sz w:val="22"/>
          <w:szCs w:val="22"/>
        </w:rPr>
        <w:t>Collective worship is unpopular among school leaders. A TeacherTapp poll of senior leaders at primary and secondary schools in England last year found 70% "disagree" or "strongly disagree" with collective worship laws</w:t>
      </w:r>
      <w:r>
        <w:rPr>
          <w:rStyle w:val="FootnoteReference"/>
          <w:rFonts w:ascii="Calibri" w:hAnsi="Calibri" w:cs="Calibri"/>
          <w:sz w:val="22"/>
          <w:szCs w:val="22"/>
        </w:rPr>
        <w:footnoteReference w:id="29"/>
      </w:r>
      <w:r w:rsidRPr="00E41059">
        <w:rPr>
          <w:rFonts w:ascii="Calibri" w:hAnsi="Calibri" w:cs="Calibri"/>
          <w:sz w:val="22"/>
          <w:szCs w:val="22"/>
        </w:rPr>
        <w:t xml:space="preserve">. Just 12% of senior leaders support the current law. A separate TeacherTapp poll of </w:t>
      </w:r>
      <w:r w:rsidRPr="00E41059">
        <w:rPr>
          <w:rFonts w:ascii="Calibri" w:hAnsi="Calibri" w:cs="Calibri"/>
          <w:sz w:val="22"/>
          <w:szCs w:val="22"/>
        </w:rPr>
        <w:t xml:space="preserve">over 7,600 </w:t>
      </w:r>
      <w:r w:rsidRPr="00E41059">
        <w:rPr>
          <w:rFonts w:ascii="Calibri" w:hAnsi="Calibri" w:cs="Calibri"/>
          <w:sz w:val="22"/>
          <w:szCs w:val="22"/>
        </w:rPr>
        <w:t>school teachers</w:t>
      </w:r>
      <w:r w:rsidRPr="00E41059">
        <w:rPr>
          <w:rFonts w:ascii="Calibri" w:hAnsi="Calibri" w:cs="Calibri"/>
          <w:sz w:val="22"/>
          <w:szCs w:val="22"/>
        </w:rPr>
        <w:t xml:space="preserve"> recorded 66% saying their school does not hold collective worship – a further indication of the unpopularity of mandatory worship. Just 26% of the public think school assemblies should feature religious worship</w:t>
      </w:r>
      <w:r>
        <w:rPr>
          <w:rStyle w:val="FootnoteReference"/>
          <w:rFonts w:ascii="Calibri" w:hAnsi="Calibri" w:cs="Calibri"/>
          <w:sz w:val="22"/>
          <w:szCs w:val="22"/>
        </w:rPr>
        <w:footnoteReference w:id="30"/>
      </w:r>
      <w:r w:rsidRPr="00E41059">
        <w:rPr>
          <w:rFonts w:ascii="Calibri" w:hAnsi="Calibri" w:cs="Calibri"/>
          <w:sz w:val="22"/>
          <w:szCs w:val="22"/>
        </w:rPr>
        <w:t>.</w:t>
      </w:r>
    </w:p>
    <w:p w:rsidR="00A767C9" w:rsidRPr="00E41059" w:rsidP="00534984">
      <w:pPr>
        <w:pStyle w:val="BriefingBodyText"/>
        <w:rPr>
          <w:rFonts w:ascii="Calibri" w:hAnsi="Calibri" w:cs="Calibri"/>
          <w:sz w:val="22"/>
          <w:szCs w:val="22"/>
        </w:rPr>
      </w:pPr>
      <w:r w:rsidRPr="00E41059">
        <w:rPr>
          <w:rFonts w:ascii="Calibri" w:hAnsi="Calibri" w:cs="Calibri"/>
          <w:sz w:val="22"/>
          <w:szCs w:val="22"/>
        </w:rPr>
        <w:t xml:space="preserve">Research from </w:t>
      </w:r>
      <w:r w:rsidRPr="00E41059">
        <w:rPr>
          <w:rFonts w:ascii="Calibri" w:hAnsi="Calibri" w:cs="Calibri"/>
          <w:sz w:val="22"/>
          <w:szCs w:val="22"/>
        </w:rPr>
        <w:t>this years</w:t>
      </w:r>
      <w:r w:rsidRPr="00E41059">
        <w:rPr>
          <w:rFonts w:ascii="Calibri" w:hAnsi="Calibri" w:cs="Calibri"/>
          <w:sz w:val="22"/>
          <w:szCs w:val="22"/>
        </w:rPr>
        <w:t xml:space="preserve"> also showed children at both community schools and faith schools are critical of the dominance of Christianity in education, including in collective worship, arguing current practices relating to religion in schools "fail to mirror growing non/religious diversity"</w:t>
      </w:r>
      <w:r>
        <w:rPr>
          <w:rStyle w:val="FootnoteReference"/>
          <w:rFonts w:ascii="Calibri" w:hAnsi="Calibri" w:cs="Calibri"/>
          <w:sz w:val="22"/>
          <w:szCs w:val="22"/>
        </w:rPr>
        <w:footnoteReference w:id="31"/>
      </w:r>
      <w:r w:rsidRPr="00E41059">
        <w:rPr>
          <w:rFonts w:ascii="Calibri" w:hAnsi="Calibri" w:cs="Calibri"/>
          <w:sz w:val="22"/>
          <w:szCs w:val="22"/>
        </w:rPr>
        <w:t>.</w:t>
      </w:r>
    </w:p>
    <w:p w:rsidR="00A767C9" w:rsidRPr="00E41059" w:rsidP="00534984">
      <w:pPr>
        <w:pStyle w:val="BriefingCrosshead"/>
        <w:spacing w:before="60" w:after="200"/>
        <w:rPr>
          <w:rFonts w:ascii="Calibri" w:hAnsi="Calibri" w:cs="Calibri"/>
          <w:color w:val="000000" w:themeColor="text1"/>
          <w:sz w:val="22"/>
          <w:szCs w:val="22"/>
        </w:rPr>
      </w:pPr>
      <w:r w:rsidRPr="00E41059">
        <w:rPr>
          <w:rFonts w:ascii="Calibri" w:hAnsi="Calibri" w:cs="Calibri"/>
          <w:color w:val="000000" w:themeColor="text1"/>
          <w:sz w:val="22"/>
          <w:szCs w:val="22"/>
        </w:rPr>
        <w:t>Relationships and sex education</w:t>
      </w:r>
    </w:p>
    <w:p w:rsidR="00A767C9" w:rsidRPr="00E41059" w:rsidP="0071667A">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A</w:t>
      </w:r>
      <w:r w:rsidRPr="00E41059">
        <w:rPr>
          <w:rFonts w:ascii="Calibri" w:hAnsi="Calibri" w:cs="Calibri"/>
          <w:color w:val="000000" w:themeColor="text1"/>
          <w:sz w:val="22"/>
          <w:szCs w:val="22"/>
        </w:rPr>
        <w:t>nother</w:t>
      </w:r>
      <w:r w:rsidRPr="00E41059">
        <w:rPr>
          <w:rFonts w:ascii="Calibri" w:hAnsi="Calibri" w:cs="Calibri"/>
          <w:color w:val="000000" w:themeColor="text1"/>
          <w:sz w:val="22"/>
          <w:szCs w:val="22"/>
        </w:rPr>
        <w:t xml:space="preserve"> measure which would </w:t>
      </w:r>
      <w:r w:rsidRPr="00E41059">
        <w:rPr>
          <w:rFonts w:ascii="Calibri" w:hAnsi="Calibri" w:cs="Calibri"/>
          <w:color w:val="000000" w:themeColor="text1"/>
          <w:sz w:val="22"/>
          <w:szCs w:val="22"/>
        </w:rPr>
        <w:t>help improve</w:t>
      </w:r>
      <w:r w:rsidRPr="00E41059">
        <w:rPr>
          <w:rFonts w:ascii="Calibri" w:hAnsi="Calibri" w:cs="Calibri"/>
          <w:color w:val="000000" w:themeColor="text1"/>
          <w:sz w:val="22"/>
          <w:szCs w:val="22"/>
        </w:rPr>
        <w:t xml:space="preserve"> inclusion and belonging in our schools</w:t>
      </w:r>
      <w:r w:rsidRPr="00E41059">
        <w:rPr>
          <w:rFonts w:ascii="Calibri" w:hAnsi="Calibri" w:cs="Calibri"/>
          <w:color w:val="000000" w:themeColor="text1"/>
          <w:sz w:val="22"/>
          <w:szCs w:val="22"/>
        </w:rPr>
        <w:t xml:space="preserve"> is </w:t>
      </w:r>
      <w:r w:rsidRPr="00E41059">
        <w:rPr>
          <w:rFonts w:ascii="Calibri" w:hAnsi="Calibri" w:cs="Calibri"/>
          <w:color w:val="000000" w:themeColor="text1"/>
          <w:sz w:val="22"/>
          <w:szCs w:val="22"/>
        </w:rPr>
        <w:t xml:space="preserve">no longer allowing </w:t>
      </w:r>
      <w:r w:rsidRPr="00E41059">
        <w:rPr>
          <w:rFonts w:ascii="Calibri" w:hAnsi="Calibri" w:cs="Calibri"/>
          <w:color w:val="000000" w:themeColor="text1"/>
          <w:sz w:val="22"/>
          <w:szCs w:val="22"/>
        </w:rPr>
        <w:t>faith schools to teach</w:t>
      </w:r>
      <w:r w:rsidRPr="00E41059">
        <w:rPr>
          <w:rFonts w:ascii="Calibri" w:hAnsi="Calibri" w:cs="Calibri"/>
          <w:color w:val="000000" w:themeColor="text1"/>
          <w:sz w:val="22"/>
          <w:szCs w:val="22"/>
        </w:rPr>
        <w:t xml:space="preserve"> relationships and sex education</w:t>
      </w:r>
      <w:r w:rsidRPr="00E41059">
        <w:rPr>
          <w:rFonts w:ascii="Calibri" w:hAnsi="Calibri" w:cs="Calibri"/>
          <w:color w:val="000000" w:themeColor="text1"/>
          <w:sz w:val="22"/>
          <w:szCs w:val="22"/>
        </w:rPr>
        <w:t xml:space="preserve"> (RSE)</w:t>
      </w:r>
      <w:r w:rsidRPr="00E41059">
        <w:rPr>
          <w:rFonts w:ascii="Calibri" w:hAnsi="Calibri" w:cs="Calibri"/>
          <w:color w:val="000000" w:themeColor="text1"/>
          <w:sz w:val="22"/>
          <w:szCs w:val="22"/>
        </w:rPr>
        <w:t xml:space="preserve"> in accordance with the tenets of their faith</w:t>
      </w:r>
      <w:r w:rsidRPr="00E41059">
        <w:rPr>
          <w:rFonts w:ascii="Calibri" w:hAnsi="Calibri" w:cs="Calibri"/>
          <w:color w:val="000000" w:themeColor="text1"/>
          <w:sz w:val="22"/>
          <w:szCs w:val="22"/>
        </w:rPr>
        <w:t xml:space="preserve">. </w:t>
      </w:r>
    </w:p>
    <w:p w:rsidR="00A767C9" w:rsidRPr="00E41059" w:rsidP="0071667A">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In 2018, we published research which found that</w:t>
      </w:r>
      <w:r w:rsidRPr="00E41059">
        <w:rPr>
          <w:rFonts w:ascii="Calibri" w:hAnsi="Calibri" w:cs="Calibri"/>
          <w:color w:val="000000" w:themeColor="text1"/>
          <w:sz w:val="22"/>
          <w:szCs w:val="22"/>
        </w:rPr>
        <w:t xml:space="preserve"> more than three-quarters of state-funded secondary faith schools in England are failing to teach RSE impartially</w:t>
      </w:r>
      <w:r>
        <w:rPr>
          <w:rStyle w:val="FootnoteReference"/>
          <w:rFonts w:ascii="Calibri" w:hAnsi="Calibri" w:cs="Calibri"/>
          <w:color w:val="000000" w:themeColor="text1"/>
          <w:sz w:val="22"/>
          <w:szCs w:val="22"/>
        </w:rPr>
        <w:footnoteReference w:id="32"/>
      </w:r>
      <w:r w:rsidRPr="00E41059">
        <w:rPr>
          <w:rFonts w:ascii="Calibri" w:hAnsi="Calibri" w:cs="Calibri"/>
          <w:color w:val="000000" w:themeColor="text1"/>
          <w:sz w:val="22"/>
          <w:szCs w:val="22"/>
        </w:rPr>
        <w:t xml:space="preserve">. This included many faith </w:t>
      </w:r>
      <w:r w:rsidRPr="00E41059">
        <w:rPr>
          <w:rFonts w:ascii="Calibri" w:hAnsi="Calibri" w:cs="Calibri"/>
          <w:color w:val="000000" w:themeColor="text1"/>
          <w:sz w:val="22"/>
          <w:szCs w:val="22"/>
        </w:rPr>
        <w:t>schools explicitly teach</w:t>
      </w:r>
      <w:r w:rsidRPr="00E41059">
        <w:rPr>
          <w:rFonts w:ascii="Calibri" w:hAnsi="Calibri" w:cs="Calibri"/>
          <w:color w:val="000000" w:themeColor="text1"/>
          <w:sz w:val="22"/>
          <w:szCs w:val="22"/>
        </w:rPr>
        <w:t>ing</w:t>
      </w:r>
      <w:r w:rsidRPr="00E41059">
        <w:rPr>
          <w:rFonts w:ascii="Calibri" w:hAnsi="Calibri" w:cs="Calibri"/>
          <w:color w:val="000000" w:themeColor="text1"/>
          <w:sz w:val="22"/>
          <w:szCs w:val="22"/>
        </w:rPr>
        <w:t xml:space="preserve"> that same-sex relationships are wrong and criticis</w:t>
      </w:r>
      <w:r w:rsidRPr="00E41059">
        <w:rPr>
          <w:rFonts w:ascii="Calibri" w:hAnsi="Calibri" w:cs="Calibri"/>
          <w:color w:val="000000" w:themeColor="text1"/>
          <w:sz w:val="22"/>
          <w:szCs w:val="22"/>
        </w:rPr>
        <w:t>ing</w:t>
      </w:r>
      <w:r w:rsidRPr="00E41059">
        <w:rPr>
          <w:rFonts w:ascii="Calibri" w:hAnsi="Calibri" w:cs="Calibri"/>
          <w:color w:val="000000" w:themeColor="text1"/>
          <w:sz w:val="22"/>
          <w:szCs w:val="22"/>
        </w:rPr>
        <w:t xml:space="preserve"> sex outside of marriage. Some condemn</w:t>
      </w:r>
      <w:r w:rsidRPr="00E41059">
        <w:rPr>
          <w:rFonts w:ascii="Calibri" w:hAnsi="Calibri" w:cs="Calibri"/>
          <w:color w:val="000000" w:themeColor="text1"/>
          <w:sz w:val="22"/>
          <w:szCs w:val="22"/>
        </w:rPr>
        <w:t>ed</w:t>
      </w:r>
      <w:r w:rsidRPr="00E41059">
        <w:rPr>
          <w:rFonts w:ascii="Calibri" w:hAnsi="Calibri" w:cs="Calibri"/>
          <w:color w:val="000000" w:themeColor="text1"/>
          <w:sz w:val="22"/>
          <w:szCs w:val="22"/>
        </w:rPr>
        <w:t xml:space="preserve"> contraceptives and abortion and </w:t>
      </w:r>
      <w:r w:rsidRPr="00E41059">
        <w:rPr>
          <w:rFonts w:ascii="Calibri" w:hAnsi="Calibri" w:cs="Calibri"/>
          <w:color w:val="000000" w:themeColor="text1"/>
          <w:sz w:val="22"/>
          <w:szCs w:val="22"/>
        </w:rPr>
        <w:t xml:space="preserve">taught </w:t>
      </w:r>
      <w:r w:rsidRPr="00E41059">
        <w:rPr>
          <w:rFonts w:ascii="Calibri" w:hAnsi="Calibri" w:cs="Calibri"/>
          <w:color w:val="000000" w:themeColor="text1"/>
          <w:sz w:val="22"/>
          <w:szCs w:val="22"/>
        </w:rPr>
        <w:t>taboos around menstruation.</w:t>
      </w:r>
      <w:r w:rsidRPr="00E41059">
        <w:rPr>
          <w:rFonts w:ascii="Calibri" w:hAnsi="Calibri" w:cs="Calibri"/>
          <w:color w:val="000000" w:themeColor="text1"/>
          <w:sz w:val="22"/>
          <w:szCs w:val="22"/>
        </w:rPr>
        <w:t xml:space="preserve"> We even </w:t>
      </w:r>
      <w:r w:rsidRPr="00E41059">
        <w:rPr>
          <w:rFonts w:ascii="Calibri" w:hAnsi="Calibri" w:cs="Calibri"/>
          <w:color w:val="000000" w:themeColor="text1"/>
          <w:sz w:val="22"/>
          <w:szCs w:val="22"/>
        </w:rPr>
        <w:t xml:space="preserve">found </w:t>
      </w:r>
      <w:r w:rsidRPr="00E41059">
        <w:rPr>
          <w:rFonts w:ascii="Calibri" w:hAnsi="Calibri" w:cs="Calibri"/>
          <w:color w:val="000000" w:themeColor="text1"/>
          <w:sz w:val="22"/>
          <w:szCs w:val="22"/>
        </w:rPr>
        <w:t>several schools with</w:t>
      </w:r>
      <w:r w:rsidRPr="00E41059">
        <w:rPr>
          <w:rFonts w:ascii="Calibri" w:hAnsi="Calibri" w:cs="Calibri"/>
          <w:color w:val="000000" w:themeColor="text1"/>
          <w:sz w:val="22"/>
          <w:szCs w:val="22"/>
        </w:rPr>
        <w:t xml:space="preserve"> policies </w:t>
      </w:r>
      <w:r w:rsidRPr="00E41059">
        <w:rPr>
          <w:rFonts w:ascii="Calibri" w:hAnsi="Calibri" w:cs="Calibri"/>
          <w:color w:val="000000" w:themeColor="text1"/>
          <w:sz w:val="22"/>
          <w:szCs w:val="22"/>
        </w:rPr>
        <w:t>describing</w:t>
      </w:r>
      <w:r w:rsidRPr="00E41059">
        <w:rPr>
          <w:rFonts w:ascii="Calibri" w:hAnsi="Calibri" w:cs="Calibri"/>
          <w:color w:val="000000" w:themeColor="text1"/>
          <w:sz w:val="22"/>
          <w:szCs w:val="22"/>
        </w:rPr>
        <w:t xml:space="preserve"> homosexual acts a</w:t>
      </w:r>
      <w:r w:rsidRPr="00E41059">
        <w:rPr>
          <w:rFonts w:ascii="Calibri" w:hAnsi="Calibri" w:cs="Calibri"/>
          <w:color w:val="000000" w:themeColor="text1"/>
          <w:sz w:val="22"/>
          <w:szCs w:val="22"/>
        </w:rPr>
        <w:t>s</w:t>
      </w:r>
      <w:r w:rsidRPr="00E41059">
        <w:rPr>
          <w:rFonts w:ascii="Calibri" w:hAnsi="Calibri" w:cs="Calibri"/>
          <w:color w:val="000000" w:themeColor="text1"/>
          <w:sz w:val="22"/>
          <w:szCs w:val="22"/>
        </w:rPr>
        <w:t xml:space="preserve"> wrong or homosexuality is "disordered". </w:t>
      </w:r>
    </w:p>
    <w:p w:rsidR="00A767C9" w:rsidRPr="00E41059" w:rsidP="00EC4A28">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T</w:t>
      </w:r>
      <w:r w:rsidRPr="00E41059">
        <w:rPr>
          <w:rFonts w:ascii="Calibri" w:hAnsi="Calibri" w:cs="Calibri"/>
          <w:color w:val="000000" w:themeColor="text1"/>
          <w:sz w:val="22"/>
          <w:szCs w:val="22"/>
        </w:rPr>
        <w:t>he promotion of stigmatising ideas about same-sex relationships and LGBT people undermines pupils’ sense of belonging</w:t>
      </w:r>
      <w:r w:rsidRPr="00E41059">
        <w:rPr>
          <w:rFonts w:ascii="Calibri" w:hAnsi="Calibri" w:cs="Calibri"/>
          <w:color w:val="000000" w:themeColor="text1"/>
          <w:sz w:val="22"/>
          <w:szCs w:val="22"/>
        </w:rPr>
        <w:t xml:space="preserve"> in schools.</w:t>
      </w:r>
      <w:r w:rsidRPr="00E41059">
        <w:rPr>
          <w:rFonts w:ascii="Calibri" w:hAnsi="Calibri" w:cs="Calibri"/>
          <w:color w:val="000000" w:themeColor="text1"/>
          <w:sz w:val="22"/>
          <w:szCs w:val="22"/>
        </w:rPr>
        <w:t xml:space="preserve"> </w:t>
      </w:r>
      <w:r w:rsidRPr="00E41059">
        <w:rPr>
          <w:rFonts w:ascii="Calibri" w:hAnsi="Calibri" w:cs="Calibri"/>
          <w:color w:val="000000" w:themeColor="text1"/>
          <w:sz w:val="22"/>
          <w:szCs w:val="22"/>
        </w:rPr>
        <w:t xml:space="preserve">This is </w:t>
      </w:r>
      <w:r w:rsidRPr="00E41059">
        <w:rPr>
          <w:rFonts w:ascii="Calibri" w:hAnsi="Calibri" w:cs="Calibri"/>
          <w:color w:val="000000" w:themeColor="text1"/>
          <w:sz w:val="22"/>
          <w:szCs w:val="22"/>
        </w:rPr>
        <w:t>support</w:t>
      </w:r>
      <w:r w:rsidRPr="00E41059">
        <w:rPr>
          <w:rFonts w:ascii="Calibri" w:hAnsi="Calibri" w:cs="Calibri"/>
          <w:color w:val="000000" w:themeColor="text1"/>
          <w:sz w:val="22"/>
          <w:szCs w:val="22"/>
        </w:rPr>
        <w:t>ed</w:t>
      </w:r>
      <w:r w:rsidRPr="00E41059">
        <w:rPr>
          <w:rFonts w:ascii="Calibri" w:hAnsi="Calibri" w:cs="Calibri"/>
          <w:color w:val="000000" w:themeColor="text1"/>
          <w:sz w:val="22"/>
          <w:szCs w:val="22"/>
        </w:rPr>
        <w:t xml:space="preserve"> by several pieces of research published in 2024 by the Department for Education, which found that </w:t>
      </w:r>
      <w:r w:rsidRPr="00E41059">
        <w:rPr>
          <w:rFonts w:ascii="Calibri" w:hAnsi="Calibri" w:cs="Calibri"/>
          <w:color w:val="000000" w:themeColor="text1"/>
          <w:sz w:val="22"/>
          <w:szCs w:val="22"/>
        </w:rPr>
        <w:t>that some faith schools have refused to teach about same sex marriage, and "really homophobic" external visitors have been used to deliver lessons</w:t>
      </w:r>
      <w:r>
        <w:rPr>
          <w:rStyle w:val="FootnoteReference"/>
          <w:rFonts w:ascii="Calibri" w:hAnsi="Calibri" w:cs="Calibri"/>
          <w:color w:val="000000" w:themeColor="text1"/>
          <w:sz w:val="22"/>
          <w:szCs w:val="22"/>
        </w:rPr>
        <w:footnoteReference w:id="33"/>
      </w:r>
      <w:r w:rsidRPr="00E41059">
        <w:rPr>
          <w:rFonts w:ascii="Calibri" w:hAnsi="Calibri" w:cs="Calibri"/>
          <w:color w:val="000000" w:themeColor="text1"/>
          <w:sz w:val="22"/>
          <w:szCs w:val="22"/>
          <w:vertAlign w:val="superscript"/>
        </w:rPr>
        <w:t>,</w:t>
      </w:r>
      <w:r>
        <w:rPr>
          <w:rStyle w:val="FootnoteReference"/>
          <w:rFonts w:ascii="Calibri" w:hAnsi="Calibri" w:cs="Calibri"/>
          <w:color w:val="000000" w:themeColor="text1"/>
          <w:sz w:val="22"/>
          <w:szCs w:val="22"/>
        </w:rPr>
        <w:footnoteReference w:id="34"/>
      </w:r>
      <w:r w:rsidRPr="00E41059">
        <w:rPr>
          <w:rFonts w:ascii="Calibri" w:hAnsi="Calibri" w:cs="Calibri"/>
          <w:color w:val="000000" w:themeColor="text1"/>
          <w:sz w:val="22"/>
          <w:szCs w:val="22"/>
          <w:vertAlign w:val="superscript"/>
        </w:rPr>
        <w:t>,</w:t>
      </w:r>
      <w:r>
        <w:rPr>
          <w:rStyle w:val="FootnoteReference"/>
          <w:rFonts w:ascii="Calibri" w:hAnsi="Calibri" w:cs="Calibri"/>
          <w:color w:val="000000" w:themeColor="text1"/>
          <w:sz w:val="22"/>
          <w:szCs w:val="22"/>
        </w:rPr>
        <w:footnoteReference w:id="35"/>
      </w:r>
      <w:r w:rsidRPr="00E41059">
        <w:rPr>
          <w:rFonts w:ascii="Calibri" w:hAnsi="Calibri" w:cs="Calibri"/>
          <w:color w:val="000000" w:themeColor="text1"/>
          <w:sz w:val="22"/>
          <w:szCs w:val="22"/>
        </w:rPr>
        <w:t>.</w:t>
      </w:r>
      <w:r w:rsidRPr="00E41059">
        <w:rPr>
          <w:rFonts w:ascii="Calibri" w:hAnsi="Calibri" w:cs="Calibri"/>
          <w:color w:val="000000" w:themeColor="text1"/>
          <w:sz w:val="22"/>
          <w:szCs w:val="22"/>
        </w:rPr>
        <w:t xml:space="preserve"> The reports illustrate the effects of th</w:t>
      </w:r>
      <w:r w:rsidRPr="00E41059">
        <w:rPr>
          <w:rFonts w:ascii="Calibri" w:hAnsi="Calibri" w:cs="Calibri"/>
          <w:color w:val="000000" w:themeColor="text1"/>
          <w:sz w:val="22"/>
          <w:szCs w:val="22"/>
        </w:rPr>
        <w:t>is</w:t>
      </w:r>
      <w:r w:rsidRPr="00E41059">
        <w:rPr>
          <w:rFonts w:ascii="Calibri" w:hAnsi="Calibri" w:cs="Calibri"/>
          <w:color w:val="000000" w:themeColor="text1"/>
          <w:sz w:val="22"/>
          <w:szCs w:val="22"/>
        </w:rPr>
        <w:t xml:space="preserve"> teaching on </w:t>
      </w:r>
      <w:r w:rsidRPr="00E41059">
        <w:rPr>
          <w:rFonts w:ascii="Calibri" w:hAnsi="Calibri" w:cs="Calibri"/>
          <w:color w:val="000000" w:themeColor="text1"/>
          <w:sz w:val="22"/>
          <w:szCs w:val="22"/>
        </w:rPr>
        <w:t>pupils</w:t>
      </w:r>
      <w:r w:rsidRPr="00E41059">
        <w:rPr>
          <w:rFonts w:ascii="Calibri" w:hAnsi="Calibri" w:cs="Calibri"/>
          <w:color w:val="000000" w:themeColor="text1"/>
          <w:sz w:val="22"/>
          <w:szCs w:val="22"/>
        </w:rPr>
        <w:t>:</w:t>
      </w:r>
    </w:p>
    <w:p w:rsidR="00A767C9" w:rsidRPr="00E41059" w:rsidP="0084617A">
      <w:pPr>
        <w:pStyle w:val="Heading4"/>
        <w:spacing w:before="60" w:beforeAutospacing="0" w:after="200" w:afterAutospacing="0"/>
        <w:rPr>
          <w:rFonts w:ascii="Calibri" w:hAnsi="Calibri" w:cs="Calibri"/>
          <w:sz w:val="22"/>
          <w:szCs w:val="22"/>
        </w:rPr>
      </w:pPr>
      <w:r w:rsidRPr="00E41059">
        <w:rPr>
          <w:rFonts w:ascii="Calibri" w:hAnsi="Calibri" w:cs="Calibri"/>
          <w:b w:val="0"/>
          <w:bCs w:val="0"/>
          <w:sz w:val="22"/>
          <w:szCs w:val="22"/>
        </w:rPr>
        <w:t>A</w:t>
      </w:r>
      <w:r w:rsidRPr="00E41059">
        <w:rPr>
          <w:rFonts w:ascii="Calibri" w:hAnsi="Calibri" w:cs="Calibri"/>
          <w:b w:val="0"/>
          <w:bCs w:val="0"/>
          <w:sz w:val="22"/>
          <w:szCs w:val="22"/>
        </w:rPr>
        <w:t>ccording to a teacher at one school, some year 11 pupils had "refused" to attend lessons about the LGBT community.</w:t>
      </w:r>
    </w:p>
    <w:p w:rsidR="00A767C9" w:rsidRPr="00E41059" w:rsidP="0084617A">
      <w:pPr>
        <w:pStyle w:val="Heading4"/>
        <w:spacing w:before="60" w:beforeAutospacing="0" w:after="200" w:afterAutospacing="0"/>
        <w:rPr>
          <w:rFonts w:ascii="Calibri" w:hAnsi="Calibri" w:cs="Calibri"/>
          <w:sz w:val="22"/>
          <w:szCs w:val="22"/>
        </w:rPr>
      </w:pPr>
      <w:r w:rsidRPr="00E41059">
        <w:rPr>
          <w:rFonts w:ascii="Calibri" w:hAnsi="Calibri" w:cs="Calibri"/>
          <w:b w:val="0"/>
          <w:bCs w:val="0"/>
          <w:sz w:val="22"/>
          <w:szCs w:val="22"/>
        </w:rPr>
        <w:t>One pupil said it is "good for people to understand that there are different views" but that bringing in someone "who is just going to say, 'oh you're going to hell'" and "spout homophobic things" made them feel "horrible".</w:t>
      </w:r>
    </w:p>
    <w:p w:rsidR="00A767C9" w:rsidRPr="00E41059" w:rsidP="0084617A">
      <w:pPr>
        <w:pStyle w:val="Heading4"/>
        <w:spacing w:before="60" w:beforeAutospacing="0" w:after="200" w:afterAutospacing="0"/>
        <w:rPr>
          <w:rFonts w:ascii="Calibri" w:hAnsi="Calibri" w:cs="Calibri"/>
          <w:sz w:val="22"/>
          <w:szCs w:val="22"/>
        </w:rPr>
      </w:pPr>
      <w:r w:rsidRPr="00E41059">
        <w:rPr>
          <w:rFonts w:ascii="Calibri" w:hAnsi="Calibri" w:cs="Calibri"/>
          <w:b w:val="0"/>
          <w:bCs w:val="0"/>
          <w:sz w:val="22"/>
          <w:szCs w:val="22"/>
        </w:rPr>
        <w:t>A secondary pupil said LGBT topics had only been mentioned in religious education. They said that instead of "acknowledging that you're learning about homosexuality", the lessons were about how "Catholics don't like homosexuality".</w:t>
      </w:r>
    </w:p>
    <w:p w:rsidR="00A767C9" w:rsidRPr="00E41059" w:rsidP="0084617A">
      <w:pPr>
        <w:pStyle w:val="Heading4"/>
        <w:spacing w:before="60" w:beforeAutospacing="0" w:after="200" w:afterAutospacing="0"/>
        <w:rPr>
          <w:rFonts w:ascii="Calibri" w:hAnsi="Calibri" w:cs="Calibri"/>
          <w:sz w:val="22"/>
          <w:szCs w:val="22"/>
        </w:rPr>
      </w:pPr>
      <w:r w:rsidRPr="00E41059">
        <w:rPr>
          <w:rFonts w:ascii="Calibri" w:hAnsi="Calibri" w:cs="Calibri"/>
          <w:b w:val="0"/>
          <w:bCs w:val="0"/>
          <w:sz w:val="22"/>
          <w:szCs w:val="22"/>
        </w:rPr>
        <w:t>Some pupils said that not learning about same sex relationships meant they were "denied access to important information about how to adopt safer sex practices".</w:t>
      </w:r>
    </w:p>
    <w:p w:rsidR="00A767C9" w:rsidRPr="00E41059" w:rsidP="00EC4A28">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The reports </w:t>
      </w:r>
      <w:r w:rsidRPr="00E41059">
        <w:rPr>
          <w:rFonts w:ascii="Calibri" w:hAnsi="Calibri" w:cs="Calibri"/>
          <w:color w:val="000000" w:themeColor="text1"/>
          <w:sz w:val="22"/>
          <w:szCs w:val="22"/>
        </w:rPr>
        <w:t>demonstrate how faith based RSE is detrimental to the education and wellbeing of pupils</w:t>
      </w:r>
      <w:r w:rsidRPr="00E41059">
        <w:rPr>
          <w:rFonts w:ascii="Calibri" w:hAnsi="Calibri" w:cs="Calibri"/>
          <w:color w:val="000000" w:themeColor="text1"/>
          <w:sz w:val="22"/>
          <w:szCs w:val="22"/>
        </w:rPr>
        <w:t xml:space="preserve">. In ECAT, the Government expresses its vision that “every school and every classroom should be a safe, </w:t>
      </w:r>
      <w:r w:rsidRPr="00E41059">
        <w:rPr>
          <w:rFonts w:ascii="Calibri" w:hAnsi="Calibri" w:cs="Calibri"/>
          <w:color w:val="000000" w:themeColor="text1"/>
          <w:sz w:val="22"/>
          <w:szCs w:val="22"/>
        </w:rPr>
        <w:t xml:space="preserve">calm and supportive place, where every child feels they belong”. </w:t>
      </w:r>
      <w:r w:rsidRPr="00E41059">
        <w:rPr>
          <w:rFonts w:ascii="Calibri" w:hAnsi="Calibri" w:cs="Calibri"/>
          <w:color w:val="000000" w:themeColor="text1"/>
          <w:sz w:val="22"/>
          <w:szCs w:val="22"/>
        </w:rPr>
        <w:t>In order for</w:t>
      </w:r>
      <w:r w:rsidRPr="00E41059">
        <w:rPr>
          <w:rFonts w:ascii="Calibri" w:hAnsi="Calibri" w:cs="Calibri"/>
          <w:color w:val="000000" w:themeColor="text1"/>
          <w:sz w:val="22"/>
          <w:szCs w:val="22"/>
        </w:rPr>
        <w:t xml:space="preserve"> this vision to be credible, </w:t>
      </w:r>
      <w:r w:rsidRPr="00E41059">
        <w:rPr>
          <w:rFonts w:ascii="Calibri" w:hAnsi="Calibri" w:cs="Calibri"/>
          <w:color w:val="000000" w:themeColor="text1"/>
          <w:sz w:val="22"/>
          <w:szCs w:val="22"/>
        </w:rPr>
        <w:t xml:space="preserve">allowances for faith schools relating to RSE must be </w:t>
      </w:r>
      <w:r w:rsidRPr="00E41059">
        <w:rPr>
          <w:rFonts w:ascii="Calibri" w:hAnsi="Calibri" w:cs="Calibri"/>
          <w:color w:val="000000" w:themeColor="text1"/>
          <w:sz w:val="22"/>
          <w:szCs w:val="22"/>
        </w:rPr>
        <w:t>abolished.</w:t>
      </w:r>
    </w:p>
    <w:p w:rsidR="00A767C9" w:rsidRPr="00E41059" w:rsidP="00534984">
      <w:pPr>
        <w:pStyle w:val="BriefingBriefing"/>
        <w:spacing w:after="200"/>
        <w:ind w:left="431" w:hanging="431"/>
        <w:rPr>
          <w:rFonts w:ascii="Calibri" w:hAnsi="Calibri" w:cs="Calibri"/>
          <w:color w:val="000000" w:themeColor="text1"/>
          <w:sz w:val="22"/>
          <w:szCs w:val="22"/>
        </w:rPr>
      </w:pPr>
      <w:r w:rsidRPr="00E41059">
        <w:rPr>
          <w:rFonts w:ascii="Calibri" w:hAnsi="Calibri" w:cs="Calibri"/>
          <w:color w:val="000000" w:themeColor="text1"/>
          <w:sz w:val="22"/>
          <w:szCs w:val="22"/>
        </w:rPr>
        <w:t>Moving to a trust-led school system</w:t>
      </w:r>
    </w:p>
    <w:p w:rsidR="00A767C9" w:rsidRPr="00E41059" w:rsidP="00EC4A28">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 xml:space="preserve">We are concerned that requiring all state-funded schools to join or form school trusts will leave nonreligious schools more vulnerable to takeovers and interference by religious institutions and interest groups. </w:t>
      </w:r>
    </w:p>
    <w:p w:rsidR="00A767C9" w:rsidRPr="00E41059" w:rsidP="00EC4A28">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In 2020, we published research highlighting how academisation and the development of mixed multi-academy trusts has enabled religious groups to increase their influence in thousands of schools in England, including those with no religious character</w:t>
      </w:r>
      <w:r>
        <w:rPr>
          <w:rStyle w:val="FootnoteReference"/>
          <w:rFonts w:ascii="Calibri" w:hAnsi="Calibri" w:cs="Calibri"/>
          <w:color w:val="000000" w:themeColor="text1"/>
          <w:sz w:val="22"/>
          <w:szCs w:val="22"/>
        </w:rPr>
        <w:footnoteReference w:id="36"/>
      </w:r>
      <w:r w:rsidRPr="00E41059">
        <w:rPr>
          <w:rFonts w:ascii="Calibri" w:hAnsi="Calibri" w:cs="Calibri"/>
          <w:color w:val="000000" w:themeColor="text1"/>
          <w:sz w:val="22"/>
          <w:szCs w:val="22"/>
        </w:rPr>
        <w:t>. In the years following, numerous cases have further justified those concerns; with attempts by multi-academy trusts to either merge or convert secular schools into faith schools</w:t>
      </w:r>
      <w:r>
        <w:rPr>
          <w:rStyle w:val="FootnoteReference"/>
          <w:rFonts w:ascii="Calibri" w:hAnsi="Calibri" w:cs="Calibri"/>
          <w:color w:val="000000" w:themeColor="text1"/>
          <w:sz w:val="22"/>
          <w:szCs w:val="22"/>
        </w:rPr>
        <w:footnoteReference w:id="37"/>
      </w:r>
      <w:r w:rsidRPr="00E41059">
        <w:rPr>
          <w:rFonts w:ascii="Calibri" w:hAnsi="Calibri" w:cs="Calibri"/>
          <w:color w:val="000000" w:themeColor="text1"/>
          <w:sz w:val="22"/>
          <w:szCs w:val="22"/>
          <w:vertAlign w:val="superscript"/>
        </w:rPr>
        <w:t>,</w:t>
      </w:r>
      <w:r>
        <w:rPr>
          <w:rStyle w:val="FootnoteReference"/>
          <w:rFonts w:ascii="Calibri" w:hAnsi="Calibri" w:cs="Calibri"/>
          <w:color w:val="000000" w:themeColor="text1"/>
          <w:sz w:val="22"/>
          <w:szCs w:val="22"/>
        </w:rPr>
        <w:footnoteReference w:id="38"/>
      </w:r>
      <w:r w:rsidRPr="00E41059">
        <w:rPr>
          <w:rFonts w:ascii="Calibri" w:hAnsi="Calibri" w:cs="Calibri"/>
          <w:color w:val="000000" w:themeColor="text1"/>
          <w:sz w:val="22"/>
          <w:szCs w:val="22"/>
          <w:vertAlign w:val="superscript"/>
        </w:rPr>
        <w:t>,</w:t>
      </w:r>
      <w:r>
        <w:rPr>
          <w:rStyle w:val="FootnoteReference"/>
          <w:rFonts w:ascii="Calibri" w:hAnsi="Calibri" w:cs="Calibri"/>
          <w:color w:val="000000" w:themeColor="text1"/>
          <w:sz w:val="22"/>
          <w:szCs w:val="22"/>
        </w:rPr>
        <w:footnoteReference w:id="39"/>
      </w:r>
      <w:r w:rsidRPr="00E41059">
        <w:rPr>
          <w:rFonts w:ascii="Calibri" w:hAnsi="Calibri" w:cs="Calibri"/>
          <w:color w:val="000000" w:themeColor="text1"/>
          <w:sz w:val="22"/>
          <w:szCs w:val="22"/>
        </w:rPr>
        <w:t>. Without sufficient safeguards, plans to expand the role of school trusts risks further extending this influence and undermining secular schooling.</w:t>
      </w:r>
    </w:p>
    <w:p w:rsidR="00A767C9" w:rsidRPr="00E41059" w:rsidP="00EC4A28">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It is therefore concerning that ECAT describes the “most effective trusts” as civic institutions that partner with a range of bodies including “faith groups”. ECAT does not specify the nature of these faith group partnerships, but we are aware of multiple cases of academy trusts which facilitate the work of evangelical religious groups that seek to utilise schools to promote religion.</w:t>
      </w:r>
    </w:p>
    <w:p w:rsidR="00A767C9" w:rsidRPr="00E41059" w:rsidP="00EC4A28">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One such school is Jubilee High School in Addlestone, Guildford, which hosts a "Hub Leader" for the Church of England's "Youth Catalyst Project"</w:t>
      </w:r>
      <w:r>
        <w:rPr>
          <w:rStyle w:val="FootnoteReference"/>
          <w:rFonts w:ascii="Calibri" w:hAnsi="Calibri" w:cs="Calibri"/>
          <w:color w:val="000000" w:themeColor="text1"/>
          <w:sz w:val="22"/>
          <w:szCs w:val="22"/>
        </w:rPr>
        <w:footnoteReference w:id="40"/>
      </w:r>
      <w:r w:rsidRPr="00E41059">
        <w:rPr>
          <w:rFonts w:ascii="Calibri" w:hAnsi="Calibri" w:cs="Calibri"/>
          <w:color w:val="000000" w:themeColor="text1"/>
          <w:sz w:val="22"/>
          <w:szCs w:val="22"/>
        </w:rPr>
        <w:t>. The Hub Leader's responsibilities include leading classes and "worship events" where children can "encounter God", despite the school having no religious character. J</w:t>
      </w:r>
      <w:r w:rsidRPr="00E41059">
        <w:rPr>
          <w:rFonts w:ascii="Calibri" w:hAnsi="Calibri" w:cs="Calibri"/>
          <w:color w:val="000000" w:themeColor="text1"/>
          <w:sz w:val="22"/>
          <w:szCs w:val="22"/>
        </w:rPr>
        <w:t>ubilee High</w:t>
      </w:r>
      <w:r w:rsidRPr="00E41059">
        <w:rPr>
          <w:rFonts w:ascii="Calibri" w:hAnsi="Calibri" w:cs="Calibri"/>
          <w:color w:val="000000" w:themeColor="text1"/>
          <w:sz w:val="22"/>
          <w:szCs w:val="22"/>
        </w:rPr>
        <w:t xml:space="preserve"> actively promotes the Youth Catalyst Project to parents. Between the start of the school year in September and May 1st, over half of the general whole school letters sent to families have promoted Youth Catalyst activities or other activities at St Paul's Church, which is partnered with the school via the project. One of the directors at Bourne Education Trust, which Jubilee High School belongs to, is Tony Oakden, a consultant for the Anglican diocese of Guildford. Oakden was also chair of governors at Jub</w:t>
      </w:r>
      <w:r w:rsidRPr="00E41059">
        <w:rPr>
          <w:rFonts w:ascii="Calibri" w:hAnsi="Calibri" w:cs="Calibri"/>
          <w:color w:val="000000" w:themeColor="text1"/>
          <w:sz w:val="22"/>
          <w:szCs w:val="22"/>
        </w:rPr>
        <w:t xml:space="preserve">ilee High School from 2014 to 2017 and provided information about Jubilee High School in St Paul's 2021 annual report. The possibility that the partnership between Bourne Education Trust, the diocese of Guilford, and St Paul’s church came about through Oaken’s role in both the </w:t>
      </w:r>
      <w:r w:rsidRPr="00E41059">
        <w:rPr>
          <w:rFonts w:ascii="Calibri" w:hAnsi="Calibri" w:cs="Calibri"/>
          <w:color w:val="000000" w:themeColor="text1"/>
          <w:sz w:val="22"/>
          <w:szCs w:val="22"/>
        </w:rPr>
        <w:t>diocese</w:t>
      </w:r>
      <w:r w:rsidRPr="00E41059">
        <w:rPr>
          <w:rFonts w:ascii="Calibri" w:hAnsi="Calibri" w:cs="Calibri"/>
          <w:color w:val="000000" w:themeColor="text1"/>
          <w:sz w:val="22"/>
          <w:szCs w:val="22"/>
        </w:rPr>
        <w:t xml:space="preserve"> and the trust is deeply concerning. </w:t>
      </w:r>
    </w:p>
    <w:p w:rsidR="00A767C9" w:rsidRPr="00E41059" w:rsidP="00197FA6">
      <w:pPr>
        <w:pStyle w:val="BriefingBodyText"/>
        <w:rPr>
          <w:rFonts w:ascii="Calibri" w:hAnsi="Calibri" w:cs="Calibri"/>
          <w:color w:val="000000" w:themeColor="text1"/>
          <w:sz w:val="22"/>
          <w:szCs w:val="22"/>
        </w:rPr>
      </w:pPr>
      <w:r w:rsidRPr="00E41059">
        <w:rPr>
          <w:rFonts w:ascii="Calibri" w:hAnsi="Calibri" w:cs="Calibri"/>
          <w:color w:val="000000" w:themeColor="text1"/>
          <w:sz w:val="22"/>
          <w:szCs w:val="22"/>
        </w:rPr>
        <w:t>The Church of England oversees a significant number of academy trusts, many of which include nonreligious schools. In 2025, the CofE spent £35</w:t>
      </w:r>
      <w:r w:rsidRPr="00E41059">
        <w:rPr>
          <w:rFonts w:ascii="Calibri" w:hAnsi="Calibri" w:cs="Calibri"/>
          <w:color w:val="000000" w:themeColor="text1"/>
          <w:sz w:val="22"/>
          <w:szCs w:val="22"/>
        </w:rPr>
        <w:t xml:space="preserve"> million</w:t>
      </w:r>
      <w:r w:rsidRPr="00E41059">
        <w:rPr>
          <w:rFonts w:ascii="Calibri" w:hAnsi="Calibri" w:cs="Calibri"/>
          <w:color w:val="000000" w:themeColor="text1"/>
          <w:sz w:val="22"/>
          <w:szCs w:val="22"/>
        </w:rPr>
        <w:t xml:space="preserve"> on school evangelism projects – part of significant ongoing efforts to grow its congregations using the state education system</w:t>
      </w:r>
      <w:r>
        <w:rPr>
          <w:rStyle w:val="FootnoteReference"/>
          <w:rFonts w:ascii="Calibri" w:hAnsi="Calibri" w:cs="Calibri"/>
          <w:color w:val="000000" w:themeColor="text1"/>
          <w:sz w:val="22"/>
          <w:szCs w:val="22"/>
        </w:rPr>
        <w:footnoteReference w:id="41"/>
      </w:r>
      <w:r w:rsidRPr="00E41059">
        <w:rPr>
          <w:rFonts w:ascii="Calibri" w:hAnsi="Calibri" w:cs="Calibri"/>
          <w:color w:val="000000" w:themeColor="text1"/>
          <w:sz w:val="22"/>
          <w:szCs w:val="22"/>
        </w:rPr>
        <w:t>. The CofE has explicitly stated its intention to use nonreligious schools as part of these efforts</w:t>
      </w:r>
      <w:r>
        <w:rPr>
          <w:rStyle w:val="FootnoteReference"/>
          <w:rFonts w:ascii="Calibri" w:hAnsi="Calibri" w:cs="Calibri"/>
          <w:color w:val="000000" w:themeColor="text1"/>
          <w:sz w:val="22"/>
          <w:szCs w:val="22"/>
        </w:rPr>
        <w:footnoteReference w:id="42"/>
      </w:r>
      <w:r w:rsidRPr="00E41059">
        <w:rPr>
          <w:rFonts w:ascii="Calibri" w:hAnsi="Calibri" w:cs="Calibri"/>
          <w:color w:val="000000" w:themeColor="text1"/>
          <w:sz w:val="22"/>
          <w:szCs w:val="22"/>
        </w:rPr>
        <w:t xml:space="preserve">. Currently, nonreligious schools enjoy no meaningful protections for their character. As the Government’s </w:t>
      </w:r>
      <w:r w:rsidRPr="00E41059">
        <w:rPr>
          <w:rFonts w:ascii="Calibri" w:hAnsi="Calibri" w:cs="Calibri"/>
          <w:color w:val="000000" w:themeColor="text1"/>
          <w:sz w:val="22"/>
          <w:szCs w:val="22"/>
        </w:rPr>
        <w:t>proposals could potentially lead to more nonreligious schools joining trusts controlled by the Church of England, this would put these schools at demonstrable risk of evangelism by the Church.</w:t>
      </w:r>
    </w:p>
    <w:p w:rsidR="00E41059" w:rsidRPr="00E41059" w:rsidP="00E41059">
      <w:pPr>
        <w:pStyle w:val="BriefingCrosshead"/>
        <w:numPr>
          <w:ilvl w:val="0"/>
          <w:numId w:val="0"/>
        </w:numPr>
        <w:ind w:left="720"/>
        <w:rPr>
          <w:rFonts w:ascii="Calibri" w:hAnsi="Calibri" w:cs="Calibri"/>
          <w:sz w:val="22"/>
          <w:szCs w:val="22"/>
        </w:rPr>
      </w:pPr>
    </w:p>
    <w:p w:rsidR="00E41059" w:rsidRPr="00E41059" w:rsidP="00E41059">
      <w:pPr>
        <w:pStyle w:val="BriefingBodyText"/>
        <w:numPr>
          <w:ilvl w:val="0"/>
          <w:numId w:val="0"/>
        </w:numPr>
        <w:ind w:left="720"/>
        <w:rPr>
          <w:rFonts w:ascii="Calibri" w:hAnsi="Calibri" w:cs="Calibri"/>
          <w:i/>
          <w:iCs/>
          <w:sz w:val="22"/>
          <w:szCs w:val="22"/>
          <w:lang w:val="en-US"/>
        </w:rPr>
      </w:pPr>
      <w:r w:rsidRPr="00E41059">
        <w:rPr>
          <w:rFonts w:ascii="Calibri" w:hAnsi="Calibri" w:cs="Calibri"/>
          <w:i/>
          <w:iCs/>
          <w:sz w:val="22"/>
          <w:szCs w:val="22"/>
          <w:lang w:val="en-US"/>
        </w:rPr>
        <w:t>September 2026</w:t>
      </w:r>
    </w:p>
    <w:p w:rsidR="00E41059" w:rsidRPr="00E41059" w:rsidP="00E41059">
      <w:pPr>
        <w:pStyle w:val="BriefingBodyText"/>
        <w:numPr>
          <w:ilvl w:val="0"/>
          <w:numId w:val="0"/>
        </w:numPr>
        <w:ind w:left="720"/>
        <w:rPr>
          <w:rFonts w:ascii="Calibri" w:hAnsi="Calibri" w:cs="Calibri"/>
          <w:sz w:val="22"/>
          <w:szCs w:val="22"/>
          <w:lang w:val="en-US"/>
        </w:rPr>
      </w:pPr>
    </w:p>
    <w:sectPr w:rsidSect="007965A2">
      <w:footerReference w:type="default" r:id="rId9"/>
      <w:headerReference w:type="first" r:id="rId10"/>
      <w:type w:val="continuous"/>
      <w:pgSz w:w="11900" w:h="16840"/>
      <w:pgMar w:top="1440" w:right="1021" w:bottom="1361" w:left="567" w:header="227" w:footer="930" w:gutter="397"/>
      <w:cols w:space="39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BCA80D30-9335-4810-B4EB-08E60AFA8A27}"/>
    <w:embedBold r:id="rId2" w:fontKey="{5A0D2567-0777-4D46-A768-01BDEA0C365A}"/>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F22F63AF-9E27-4906-B6E2-6B39BEF9FE1C}"/>
    <w:embedBold r:id="rId4" w:fontKey="{8DE00601-BA80-42E3-BD39-84AF499DD965}"/>
    <w:embedItalic r:id="rId5" w:fontKey="{94DFCCCE-89AA-4224-87EB-DE6FBD8EFEE4}"/>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embedRegular r:id="rId6" w:fontKey="{94C056D1-522E-411E-86F6-DE1401C5DF0C}"/>
  </w:font>
  <w:font w:name="Poppins SemiBold">
    <w:charset w:val="00"/>
    <w:family w:val="auto"/>
    <w:pitch w:val="variable"/>
    <w:sig w:usb0="00008007" w:usb1="00000000" w:usb2="00000000" w:usb3="00000000" w:csb0="00000093" w:csb1="00000000"/>
    <w:embedRegular r:id="rId7" w:fontKey="{D877FB7A-A704-4EE8-BB69-D4E87633D4C9}"/>
  </w:font>
  <w:font w:name="Poppins">
    <w:charset w:val="00"/>
    <w:family w:val="auto"/>
    <w:pitch w:val="variable"/>
    <w:sig w:usb0="00008007" w:usb1="00000000" w:usb2="00000000" w:usb3="00000000" w:csb0="00000093" w:csb1="00000000"/>
    <w:embedRegular r:id="rId8" w:fontKey="{B0CADA64-4C3D-46AC-B586-222047D2F62B}"/>
    <w:embedBold r:id="rId9" w:fontKey="{04DACDA5-4829-4075-8654-636B9420CEEE}"/>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embedRegular r:id="rId10" w:fontKey="{66A43563-8131-4B4F-A3FA-E8545912E4D9}"/>
    <w:embedBold r:id="rId11" w:fontKey="{49795B1E-246B-41EA-8414-213608637CD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67C9" w:rsidRPr="005A714B">
    <w:pPr>
      <w:pStyle w:val="Footer"/>
    </w:pPr>
    <w:r w:rsidRPr="005A714B">
      <w:t xml:space="preserve"> </w:t>
    </w:r>
  </w:p>
  <w:p w:rsidR="00A767C9" w:rsidRPr="005A714B">
    <w:pPr>
      <w:pStyle w:val="Footer"/>
    </w:pPr>
  </w:p>
  <w:p w:rsidR="00A767C9" w:rsidRPr="005A71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767C9" w:rsidRPr="005A714B" w:rsidP="00A10F0C">
      <w:pPr>
        <w:pStyle w:val="Footer"/>
        <w:rPr>
          <w:sz w:val="20"/>
          <w:szCs w:val="20"/>
        </w:rPr>
      </w:pPr>
      <w:r w:rsidRPr="005A714B">
        <w:rPr>
          <w:sz w:val="20"/>
          <w:szCs w:val="20"/>
        </w:rPr>
        <w:separator/>
      </w:r>
    </w:p>
  </w:footnote>
  <w:footnote w:type="continuationSeparator" w:id="1">
    <w:p w:rsidR="00A767C9" w:rsidRPr="005A714B" w:rsidP="00A0515C">
      <w:r w:rsidRPr="005A714B">
        <w:continuationSeparator/>
      </w:r>
    </w:p>
  </w:footnote>
  <w:footnote w:id="2">
    <w:p w:rsidR="00A767C9" w:rsidRPr="00CA38F3" w:rsidP="00CA38F3">
      <w:pPr>
        <w:pStyle w:val="FootnoteText"/>
        <w:rPr>
          <w:rFonts w:ascii="Aptos" w:hAnsi="Aptos"/>
          <w:sz w:val="16"/>
          <w:szCs w:val="16"/>
          <w:lang w:val="en-US"/>
        </w:rPr>
      </w:pPr>
      <w:r w:rsidRPr="00CA38F3">
        <w:rPr>
          <w:rStyle w:val="FootnoteReference"/>
          <w:rFonts w:ascii="Aptos" w:hAnsi="Aptos"/>
          <w:sz w:val="16"/>
          <w:szCs w:val="16"/>
        </w:rPr>
        <w:footnoteRef/>
      </w:r>
      <w:r w:rsidRPr="00CA38F3">
        <w:rPr>
          <w:rFonts w:ascii="Aptos" w:hAnsi="Aptos"/>
          <w:sz w:val="16"/>
          <w:szCs w:val="16"/>
        </w:rPr>
        <w:t xml:space="preserve"> Fair Admissions Campaign – Research into religiously selective admissions criteria – Available at: </w:t>
      </w:r>
      <w:r>
        <w:fldChar w:fldCharType="begin"/>
      </w:r>
      <w:r>
        <w:instrText xml:space="preserve"> HYPERLINK "https://fairadmissions.org.uk/wp-content/uploads/2017/08/2017-08-29-FINAL-Religious-Selection-Research-Survey.pdf" </w:instrText>
      </w:r>
      <w:r>
        <w:fldChar w:fldCharType="separate"/>
      </w:r>
      <w:r w:rsidRPr="00CA38F3">
        <w:rPr>
          <w:rStyle w:val="Hyperlink"/>
          <w:rFonts w:ascii="Aptos" w:hAnsi="Aptos"/>
          <w:sz w:val="16"/>
          <w:szCs w:val="16"/>
        </w:rPr>
        <w:t>https://fairadmissions.org.uk/wp-content/uploads/2017/08/2017-08-29-FINAL-Religious-Selection-Research-Survey.pdf</w:t>
      </w:r>
      <w:r>
        <w:fldChar w:fldCharType="end"/>
      </w:r>
    </w:p>
  </w:footnote>
  <w:footnote w:id="3">
    <w:p w:rsidR="00A767C9" w:rsidRPr="00CA38F3" w:rsidP="00CA38F3">
      <w:pPr>
        <w:pStyle w:val="FootnoteText"/>
        <w:rPr>
          <w:rFonts w:ascii="Aptos" w:hAnsi="Aptos"/>
          <w:sz w:val="16"/>
          <w:szCs w:val="16"/>
        </w:rPr>
      </w:pPr>
      <w:r w:rsidRPr="00CA38F3">
        <w:rPr>
          <w:rStyle w:val="FootnoteReference"/>
          <w:rFonts w:ascii="Aptos" w:hAnsi="Aptos"/>
          <w:sz w:val="16"/>
          <w:szCs w:val="16"/>
        </w:rPr>
        <w:footnoteRef/>
      </w:r>
      <w:r w:rsidRPr="00CA38F3">
        <w:rPr>
          <w:rFonts w:ascii="Aptos" w:hAnsi="Aptos"/>
          <w:sz w:val="16"/>
          <w:szCs w:val="16"/>
        </w:rPr>
        <w:t xml:space="preserve"> Department for Education – Special educational needs in England 2024/25 – Available at: </w:t>
      </w:r>
      <w:r>
        <w:fldChar w:fldCharType="begin"/>
      </w:r>
      <w:r>
        <w:instrText xml:space="preserve"> HYPERLINK "https://explore-education-statistics.service.gov.uk/find-statistics/special-educational-needs-in-england/2024-25" </w:instrText>
      </w:r>
      <w:r>
        <w:fldChar w:fldCharType="separate"/>
      </w:r>
      <w:r w:rsidRPr="00CA38F3">
        <w:rPr>
          <w:rStyle w:val="Hyperlink"/>
          <w:rFonts w:ascii="Aptos" w:hAnsi="Aptos"/>
          <w:sz w:val="16"/>
          <w:szCs w:val="16"/>
        </w:rPr>
        <w:t>https://explore-education-statistics.service.gov.uk/find-statistics/special-educational-needs-in-england/2024-25</w:t>
      </w:r>
      <w:r>
        <w:fldChar w:fldCharType="end"/>
      </w:r>
    </w:p>
  </w:footnote>
  <w:footnote w:id="4">
    <w:p w:rsidR="00A767C9" w:rsidRPr="00CA38F3" w:rsidP="00CA38F3">
      <w:pPr>
        <w:pStyle w:val="FootnoteText"/>
      </w:pPr>
      <w:r w:rsidRPr="00CA38F3">
        <w:rPr>
          <w:rStyle w:val="FootnoteReference"/>
          <w:rFonts w:ascii="Aptos" w:hAnsi="Aptos"/>
          <w:sz w:val="16"/>
          <w:szCs w:val="16"/>
        </w:rPr>
        <w:footnoteRef/>
      </w:r>
      <w:r w:rsidRPr="00CA38F3">
        <w:rPr>
          <w:rFonts w:ascii="Aptos" w:hAnsi="Aptos"/>
          <w:sz w:val="16"/>
          <w:szCs w:val="16"/>
        </w:rPr>
        <w:t xml:space="preserve"> Teach First – Class Dismissed – Available at: </w:t>
      </w:r>
      <w:r>
        <w:fldChar w:fldCharType="begin"/>
      </w:r>
      <w:r>
        <w:instrText xml:space="preserve"> HYPERLINK "https://www.teachfirst.org.uk/sites/default/files/2026-06/Class-dismissed-closing-the-gap-for-persistently-disadvantaged-pupils.pdf" </w:instrText>
      </w:r>
      <w:r>
        <w:fldChar w:fldCharType="separate"/>
      </w:r>
      <w:r w:rsidRPr="00CA38F3">
        <w:rPr>
          <w:rStyle w:val="Hyperlink"/>
          <w:rFonts w:ascii="Aptos" w:hAnsi="Aptos"/>
          <w:sz w:val="16"/>
          <w:szCs w:val="16"/>
        </w:rPr>
        <w:t>https://www.teachfirst.org.uk/sites/default/files/2026-06/Class-dismissed-closing-the-gap-for-persistently-disadvantaged-pupils.pdf</w:t>
      </w:r>
      <w:r>
        <w:fldChar w:fldCharType="end"/>
      </w:r>
    </w:p>
  </w:footnote>
  <w:footnote w:id="5">
    <w:p w:rsidR="00A767C9" w:rsidRPr="0013722B">
      <w:pPr>
        <w:pStyle w:val="FootnoteText"/>
        <w:rPr>
          <w:rFonts w:ascii="Aptos" w:hAnsi="Aptos"/>
          <w:sz w:val="16"/>
          <w:szCs w:val="16"/>
        </w:rPr>
      </w:pPr>
      <w:r w:rsidRPr="0013722B">
        <w:rPr>
          <w:rStyle w:val="FootnoteReference"/>
          <w:rFonts w:ascii="Aptos" w:hAnsi="Aptos"/>
          <w:sz w:val="16"/>
          <w:szCs w:val="16"/>
        </w:rPr>
        <w:footnoteRef/>
      </w:r>
      <w:r w:rsidRPr="0013722B">
        <w:rPr>
          <w:rFonts w:ascii="Aptos" w:hAnsi="Aptos"/>
          <w:sz w:val="16"/>
          <w:szCs w:val="16"/>
        </w:rPr>
        <w:t xml:space="preserve"> National Secular Society – Revealed: Faith schools among “least inclusive” in England – Available at: </w:t>
      </w:r>
      <w:r>
        <w:fldChar w:fldCharType="begin"/>
      </w:r>
      <w:r>
        <w:instrText xml:space="preserve"> HYPERLINK "https://www.secularism.org.uk/news/2025/12/revealed-faith-schools-among-least-inclusive-in-england" </w:instrText>
      </w:r>
      <w:r>
        <w:fldChar w:fldCharType="separate"/>
      </w:r>
      <w:r w:rsidRPr="0013722B">
        <w:rPr>
          <w:rStyle w:val="Hyperlink"/>
          <w:rFonts w:ascii="Aptos" w:hAnsi="Aptos"/>
          <w:sz w:val="16"/>
          <w:szCs w:val="16"/>
        </w:rPr>
        <w:t>https://www.secularism.org.uk/news/2025/12/revealed-faith-schools-among-least-inclusive-in-england</w:t>
      </w:r>
      <w:r>
        <w:fldChar w:fldCharType="end"/>
      </w:r>
    </w:p>
  </w:footnote>
  <w:footnote w:id="6">
    <w:p w:rsidR="00A767C9" w:rsidRPr="00534984" w:rsidP="00CA38F3">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The Sutton Trust – Social Selection on the Map – Available at: </w:t>
      </w:r>
      <w:r>
        <w:fldChar w:fldCharType="begin"/>
      </w:r>
      <w:r>
        <w:instrText xml:space="preserve"> HYPERLINK "https://www.suttontrust.com/our-research/social-selection-on-the-map/" </w:instrText>
      </w:r>
      <w:r>
        <w:fldChar w:fldCharType="separate"/>
      </w:r>
      <w:r w:rsidRPr="00534984">
        <w:rPr>
          <w:rStyle w:val="Hyperlink"/>
          <w:rFonts w:ascii="Aptos" w:hAnsi="Aptos"/>
          <w:sz w:val="16"/>
          <w:szCs w:val="16"/>
        </w:rPr>
        <w:t>https://www.suttontrust.com/our-research/social-selection-on-the-map/</w:t>
      </w:r>
      <w:r>
        <w:fldChar w:fldCharType="end"/>
      </w:r>
    </w:p>
  </w:footnote>
  <w:footnote w:id="7">
    <w:p w:rsidR="00A767C9" w:rsidRPr="00534984" w:rsidP="00CA38F3">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The Sutton Trust – Selective Comprehensives 2024 – Available at: </w:t>
      </w:r>
      <w:r>
        <w:fldChar w:fldCharType="begin"/>
      </w:r>
      <w:r>
        <w:instrText xml:space="preserve"> HYPERLINK "https://www.suttontrust.com/our-research/selective-comprehensives-2024/" </w:instrText>
      </w:r>
      <w:r>
        <w:fldChar w:fldCharType="separate"/>
      </w:r>
      <w:r w:rsidRPr="00534984">
        <w:rPr>
          <w:rStyle w:val="Hyperlink"/>
          <w:rFonts w:ascii="Aptos" w:hAnsi="Aptos"/>
          <w:sz w:val="16"/>
          <w:szCs w:val="16"/>
        </w:rPr>
        <w:t>https://www.suttontrust.com/our-research/selective-comprehensives-2024/</w:t>
      </w:r>
      <w:r>
        <w:fldChar w:fldCharType="end"/>
      </w:r>
    </w:p>
  </w:footnote>
  <w:footnote w:id="8">
    <w:p w:rsidR="00A767C9" w:rsidRPr="00534984" w:rsidP="00CA38F3">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The Sutton Trust – School Places: A Fair Choice? – Available at: </w:t>
      </w:r>
      <w:r>
        <w:fldChar w:fldCharType="begin"/>
      </w:r>
      <w:r>
        <w:instrText xml:space="preserve"> HYPERLINK "https://www.suttontrust.com/wp-content/uploads/2020/02/School-Places.pdf" </w:instrText>
      </w:r>
      <w:r>
        <w:fldChar w:fldCharType="separate"/>
      </w:r>
      <w:r w:rsidRPr="00534984">
        <w:rPr>
          <w:rStyle w:val="Hyperlink"/>
          <w:rFonts w:ascii="Aptos" w:hAnsi="Aptos"/>
          <w:sz w:val="16"/>
          <w:szCs w:val="16"/>
        </w:rPr>
        <w:t>https://www.suttontrust.com/wp-content/uploads/2020/02/School-Places.pdf</w:t>
      </w:r>
      <w:r>
        <w:fldChar w:fldCharType="end"/>
      </w:r>
    </w:p>
  </w:footnote>
  <w:footnote w:id="9">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The Sutton Trust – Fairer School Admissions - The Sutton Trust -  </w:t>
      </w:r>
      <w:r>
        <w:fldChar w:fldCharType="begin"/>
      </w:r>
      <w:r>
        <w:instrText xml:space="preserve"> HYPERLINK "https://www.suttontrust.com/wp-content/uploads/2020/02/Fairer-School-Admissions-Polling.pdf" </w:instrText>
      </w:r>
      <w:r>
        <w:fldChar w:fldCharType="separate"/>
      </w:r>
      <w:r w:rsidRPr="00534984">
        <w:rPr>
          <w:rStyle w:val="Hyperlink"/>
          <w:rFonts w:ascii="Aptos" w:hAnsi="Aptos"/>
          <w:sz w:val="16"/>
          <w:szCs w:val="16"/>
        </w:rPr>
        <w:t>https://www.suttontrust.com/wp-content/uploads/2020/02/Fairer-School-Admissions-Polling.pdf</w:t>
      </w:r>
      <w:r>
        <w:fldChar w:fldCharType="end"/>
      </w:r>
    </w:p>
  </w:footnote>
  <w:footnote w:id="10">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The Sutton Trust – Selective Comprehensives 2017 – Available at: </w:t>
      </w:r>
      <w:r>
        <w:fldChar w:fldCharType="begin"/>
      </w:r>
      <w:r>
        <w:instrText xml:space="preserve"> HYPERLINK "https://www.suttontrust.com/wp-content/uploads/2019/12/Selective-Comprehensives-2017.pdf" </w:instrText>
      </w:r>
      <w:r>
        <w:fldChar w:fldCharType="separate"/>
      </w:r>
      <w:r w:rsidRPr="00534984">
        <w:rPr>
          <w:rStyle w:val="Hyperlink"/>
          <w:rFonts w:ascii="Aptos" w:hAnsi="Aptos"/>
          <w:sz w:val="16"/>
          <w:szCs w:val="16"/>
        </w:rPr>
        <w:t>https://www.suttontrust.com/wp-content/uploads/2019/12/Selective-Comprehensives-2017.pdf</w:t>
      </w:r>
      <w:r>
        <w:fldChar w:fldCharType="end"/>
      </w:r>
    </w:p>
  </w:footnote>
  <w:footnote w:id="11">
    <w:p w:rsidR="00A767C9" w:rsidRPr="00534984" w:rsidP="005C5C49">
      <w:pPr>
        <w:rPr>
          <w:rFonts w:ascii="Aptos" w:hAnsi="Aptos" w:cs="Poppins"/>
          <w:sz w:val="16"/>
          <w:szCs w:val="16"/>
        </w:rPr>
      </w:pPr>
      <w:r w:rsidRPr="00534984">
        <w:rPr>
          <w:rStyle w:val="FootnoteReference"/>
          <w:rFonts w:ascii="Aptos" w:hAnsi="Aptos" w:cs="Poppins"/>
          <w:sz w:val="16"/>
          <w:szCs w:val="16"/>
        </w:rPr>
        <w:footnoteRef/>
      </w:r>
      <w:r w:rsidRPr="00534984">
        <w:rPr>
          <w:rFonts w:ascii="Aptos" w:hAnsi="Aptos" w:cs="Poppins"/>
          <w:sz w:val="16"/>
          <w:szCs w:val="16"/>
        </w:rPr>
        <w:t xml:space="preserve"> The Sutton Trust – Selective Comprehensives 2019 – Available at: </w:t>
      </w:r>
      <w:r>
        <w:fldChar w:fldCharType="begin"/>
      </w:r>
      <w:r>
        <w:instrText xml:space="preserve"> HYPERLINK "https://www.suttontrust.com/wp-content/uploads/2019/12/SelectiveComprehensives-GreatBritain-1.pdf" </w:instrText>
      </w:r>
      <w:r>
        <w:fldChar w:fldCharType="separate"/>
      </w:r>
      <w:r w:rsidRPr="00534984">
        <w:rPr>
          <w:rStyle w:val="Hyperlink"/>
          <w:rFonts w:ascii="Aptos" w:hAnsi="Aptos" w:cs="Poppins"/>
          <w:sz w:val="16"/>
          <w:szCs w:val="16"/>
        </w:rPr>
        <w:t>https://www.suttontrust.com/wp-content/uploads/2019/12/SelectiveComprehensives-GreatBritain-1.pdf</w:t>
      </w:r>
      <w:r>
        <w:fldChar w:fldCharType="end"/>
      </w:r>
    </w:p>
  </w:footnote>
  <w:footnote w:id="12">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Fair Admissions Campaign – Research into religiously selective admissions criteria – Available at: </w:t>
      </w:r>
      <w:r>
        <w:fldChar w:fldCharType="begin"/>
      </w:r>
      <w:r>
        <w:instrText xml:space="preserve"> HYPERLINK "https://fairadmissions.org.uk/wp-content/uploads/2017/08/2017-08-29-FINAL-Religious-Selection-Research-Survey.pdf" </w:instrText>
      </w:r>
      <w:r>
        <w:fldChar w:fldCharType="separate"/>
      </w:r>
      <w:r w:rsidRPr="00534984">
        <w:rPr>
          <w:rStyle w:val="Hyperlink"/>
          <w:rFonts w:ascii="Aptos" w:hAnsi="Aptos"/>
          <w:sz w:val="16"/>
          <w:szCs w:val="16"/>
        </w:rPr>
        <w:t>https://fairadmissions.org.uk/wp-content/uploads/2017/08/2017-08-29-FINAL-Religious-Selection-Research-Survey.pdf</w:t>
      </w:r>
      <w:r>
        <w:fldChar w:fldCharType="end"/>
      </w:r>
    </w:p>
  </w:footnote>
  <w:footnote w:id="13">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Oxford Review of Education - Serving their communities? The under-admission of children with disabilities and ‘special educational needs’ to ‘faith’ primary schools in England – Available at:</w:t>
      </w:r>
      <w:r w:rsidRPr="00534984">
        <w:rPr>
          <w:rFonts w:ascii="Aptos" w:hAnsi="Aptos"/>
          <w:b/>
          <w:bCs/>
          <w:sz w:val="16"/>
          <w:szCs w:val="16"/>
        </w:rPr>
        <w:t xml:space="preserve"> </w:t>
      </w:r>
      <w:r>
        <w:fldChar w:fldCharType="begin"/>
      </w:r>
      <w:r>
        <w:instrText xml:space="preserve"> HYPERLINK "https://www.tandfonline.com/doi/full/10.1080/03054985.2023.2249818" </w:instrText>
      </w:r>
      <w:r>
        <w:fldChar w:fldCharType="separate"/>
      </w:r>
      <w:r w:rsidRPr="00534984">
        <w:rPr>
          <w:rStyle w:val="Hyperlink"/>
          <w:rFonts w:ascii="Aptos" w:hAnsi="Aptos"/>
          <w:sz w:val="16"/>
          <w:szCs w:val="16"/>
        </w:rPr>
        <w:t>https://www.tandfonline.com/doi/full/10.1080/03054985.2023.2249818</w:t>
      </w:r>
      <w:r>
        <w:fldChar w:fldCharType="end"/>
      </w:r>
    </w:p>
  </w:footnote>
  <w:footnote w:id="14">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LSE – Faith primary schools admitting fewer children with special educational needs – Available at: </w:t>
      </w:r>
      <w:r>
        <w:fldChar w:fldCharType="begin"/>
      </w:r>
      <w:r>
        <w:instrText xml:space="preserve"> HYPERLINK "https://www.lse.ac.uk/news/latest-news-from-lse/j-october-2023/faith-primary-schools-admitting-fewer-children-with-special-educational-needs" </w:instrText>
      </w:r>
      <w:r>
        <w:fldChar w:fldCharType="separate"/>
      </w:r>
      <w:r w:rsidRPr="00534984">
        <w:rPr>
          <w:rStyle w:val="Hyperlink"/>
          <w:rFonts w:ascii="Aptos" w:hAnsi="Aptos"/>
          <w:sz w:val="16"/>
          <w:szCs w:val="16"/>
        </w:rPr>
        <w:t>https://www.lse.ac.uk/news/latest-news-from-lse/j-october-2023/faith-primary-schools-admitting-fewer-children-with-special-educational-needs</w:t>
      </w:r>
      <w:r>
        <w:fldChar w:fldCharType="end"/>
      </w:r>
    </w:p>
  </w:footnote>
  <w:footnote w:id="15">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Department for Education - Promoting the Education of Looked-after and Previously Looked-after Children, 2018, p. 12. Available </w:t>
      </w:r>
      <w:r w:rsidRPr="00534984">
        <w:rPr>
          <w:rFonts w:ascii="Aptos" w:hAnsi="Aptos"/>
          <w:sz w:val="16"/>
          <w:szCs w:val="16"/>
        </w:rPr>
        <w:t>at :</w:t>
      </w:r>
      <w:r w:rsidRPr="00534984">
        <w:rPr>
          <w:rFonts w:ascii="Aptos" w:hAnsi="Aptos"/>
          <w:sz w:val="16"/>
          <w:szCs w:val="16"/>
        </w:rPr>
        <w:t xml:space="preserve"> </w:t>
      </w:r>
      <w:r>
        <w:fldChar w:fldCharType="begin"/>
      </w:r>
      <w:r>
        <w:instrText xml:space="preserve"> HYPERLINK "https://www.gov.uk/government/publications/promoting-the-education-of-looked-after-children" </w:instrText>
      </w:r>
      <w:r>
        <w:fldChar w:fldCharType="separate"/>
      </w:r>
      <w:r w:rsidRPr="00534984">
        <w:rPr>
          <w:rStyle w:val="Hyperlink"/>
          <w:rFonts w:ascii="Aptos" w:hAnsi="Aptos"/>
          <w:sz w:val="16"/>
          <w:szCs w:val="16"/>
        </w:rPr>
        <w:t>https://www.gov.uk/government/publications/promoting-the-education-of-looked-after-children</w:t>
      </w:r>
      <w:r>
        <w:fldChar w:fldCharType="end"/>
      </w:r>
      <w:r w:rsidRPr="00534984">
        <w:rPr>
          <w:rFonts w:ascii="Aptos" w:hAnsi="Aptos"/>
          <w:sz w:val="16"/>
          <w:szCs w:val="16"/>
        </w:rPr>
        <w:t>. Accessed 20 February 2026.</w:t>
      </w:r>
    </w:p>
  </w:footnote>
  <w:footnote w:id="16">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School Admissions Code. Department for Education, 11 March 2022, p. 10, para. 1.7. </w:t>
      </w:r>
      <w:r>
        <w:fldChar w:fldCharType="begin"/>
      </w:r>
      <w:r>
        <w:instrText xml:space="preserve"> HYPERLINK "https://www.gov.uk/government/publications/school-admissions-code--2" </w:instrText>
      </w:r>
      <w:r>
        <w:fldChar w:fldCharType="separate"/>
      </w:r>
      <w:r w:rsidRPr="00534984">
        <w:rPr>
          <w:rStyle w:val="Hyperlink"/>
          <w:rFonts w:ascii="Aptos" w:hAnsi="Aptos"/>
          <w:sz w:val="16"/>
          <w:szCs w:val="16"/>
        </w:rPr>
        <w:t>https://www.gov.uk/government/publications/school-admissions-code--2</w:t>
      </w:r>
      <w:r>
        <w:fldChar w:fldCharType="end"/>
      </w:r>
      <w:r w:rsidRPr="00534984">
        <w:rPr>
          <w:rFonts w:ascii="Aptos" w:hAnsi="Aptos"/>
          <w:sz w:val="16"/>
          <w:szCs w:val="16"/>
        </w:rPr>
        <w:t>. Accessed 20 February 2026.</w:t>
      </w:r>
    </w:p>
  </w:footnote>
  <w:footnote w:id="17">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School Admissions Code. Department for Education, 11 March 2022, p. 16, para 1.37. </w:t>
      </w:r>
      <w:r>
        <w:fldChar w:fldCharType="begin"/>
      </w:r>
      <w:r>
        <w:instrText xml:space="preserve"> HYPERLINK "https://www.gov.uk/government/publications/school-admissions-code--2" </w:instrText>
      </w:r>
      <w:r>
        <w:fldChar w:fldCharType="separate"/>
      </w:r>
      <w:r w:rsidRPr="00534984">
        <w:rPr>
          <w:rStyle w:val="Hyperlink"/>
          <w:rFonts w:ascii="Aptos" w:hAnsi="Aptos"/>
          <w:sz w:val="16"/>
          <w:szCs w:val="16"/>
        </w:rPr>
        <w:t>https://www.gov.uk/government/publications/school-admissions-code--2</w:t>
      </w:r>
      <w:r>
        <w:fldChar w:fldCharType="end"/>
      </w:r>
      <w:r w:rsidRPr="00534984">
        <w:rPr>
          <w:rFonts w:ascii="Aptos" w:hAnsi="Aptos"/>
          <w:sz w:val="16"/>
          <w:szCs w:val="16"/>
        </w:rPr>
        <w:t>. Accessed 20 February 2026.</w:t>
      </w:r>
    </w:p>
  </w:footnote>
  <w:footnote w:id="18">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Foley, Eden, Tallulah Gordon, Jay Harman, and Ruth Wareham. Careless or Uncaring? How Faith Schools Turn Away Children Who Are or Were in Care. Humanists UK, 2021. </w:t>
      </w:r>
      <w:r>
        <w:fldChar w:fldCharType="begin"/>
      </w:r>
      <w:r>
        <w:instrText xml:space="preserve"> HYPERLINK "https://humanists.uk/wp-content/uploads/Humanists_FaithSchools_V2_web.pdf" </w:instrText>
      </w:r>
      <w:r>
        <w:fldChar w:fldCharType="separate"/>
      </w:r>
      <w:r w:rsidRPr="00534984">
        <w:rPr>
          <w:rStyle w:val="Hyperlink"/>
          <w:rFonts w:ascii="Aptos" w:hAnsi="Aptos"/>
          <w:sz w:val="16"/>
          <w:szCs w:val="16"/>
        </w:rPr>
        <w:t>https://humanists.uk/wp-content/uploads/Humanists_FaithSchools_V2_web.pdf</w:t>
      </w:r>
      <w:r>
        <w:fldChar w:fldCharType="end"/>
      </w:r>
      <w:r w:rsidRPr="00534984">
        <w:rPr>
          <w:rFonts w:ascii="Aptos" w:hAnsi="Aptos"/>
          <w:sz w:val="16"/>
          <w:szCs w:val="16"/>
        </w:rPr>
        <w:t>. Accessed 20 February 2026.</w:t>
      </w:r>
    </w:p>
  </w:footnote>
  <w:footnote w:id="19">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Office of the Schools Adjudicator – Annual Report 2023 – Available at: </w:t>
      </w:r>
      <w:r>
        <w:fldChar w:fldCharType="begin"/>
      </w:r>
      <w:r>
        <w:instrText xml:space="preserve"> HYPERLINK "https://assets.publishing.service.gov.uk/media/66054105e8c4420011220428/OSA_Annual_Report_2023.pdf" </w:instrText>
      </w:r>
      <w:r>
        <w:fldChar w:fldCharType="separate"/>
      </w:r>
      <w:r w:rsidRPr="00534984">
        <w:rPr>
          <w:rStyle w:val="Hyperlink"/>
          <w:rFonts w:ascii="Aptos" w:hAnsi="Aptos"/>
          <w:sz w:val="16"/>
          <w:szCs w:val="16"/>
        </w:rPr>
        <w:t>https://assets.publishing.service.gov.uk/media/66054105e8c4420011220428/OSA_Annual_Report_2023.pdf</w:t>
      </w:r>
      <w:r>
        <w:fldChar w:fldCharType="end"/>
      </w:r>
    </w:p>
  </w:footnote>
  <w:footnote w:id="20">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Office of the Schools Adjudicator – Annual Report 2024 – Available at: </w:t>
      </w:r>
      <w:r>
        <w:fldChar w:fldCharType="begin"/>
      </w:r>
      <w:r>
        <w:instrText xml:space="preserve"> HYPERLINK "https://www.gov.uk/government/publications/osa-annual-report" </w:instrText>
      </w:r>
      <w:r>
        <w:fldChar w:fldCharType="separate"/>
      </w:r>
      <w:r w:rsidRPr="00534984">
        <w:rPr>
          <w:rStyle w:val="Hyperlink"/>
          <w:rFonts w:ascii="Aptos" w:hAnsi="Aptos"/>
          <w:sz w:val="16"/>
          <w:szCs w:val="16"/>
        </w:rPr>
        <w:t>https://www.gov.uk/government/publications/osa-annual-report</w:t>
      </w:r>
      <w:r>
        <w:fldChar w:fldCharType="end"/>
      </w:r>
    </w:p>
  </w:footnote>
  <w:footnote w:id="21">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NSPCC Learning. ‘Children in Care (Looked after Children)’. </w:t>
      </w:r>
      <w:r>
        <w:fldChar w:fldCharType="begin"/>
      </w:r>
      <w:r>
        <w:instrText xml:space="preserve"> HYPERLINK "https://learning.nspcc.org.uk/children-and-families-at-risk/children-in-care" </w:instrText>
      </w:r>
      <w:r>
        <w:fldChar w:fldCharType="separate"/>
      </w:r>
      <w:r w:rsidRPr="00534984">
        <w:rPr>
          <w:rStyle w:val="Hyperlink"/>
          <w:rFonts w:ascii="Aptos" w:hAnsi="Aptos"/>
          <w:sz w:val="16"/>
          <w:szCs w:val="16"/>
        </w:rPr>
        <w:t>https://learning.nspcc.org.uk/children-and-families-at-risk/children-in-care</w:t>
      </w:r>
      <w:r>
        <w:fldChar w:fldCharType="end"/>
      </w:r>
      <w:r w:rsidRPr="00534984">
        <w:rPr>
          <w:rFonts w:ascii="Aptos" w:hAnsi="Aptos"/>
          <w:sz w:val="16"/>
          <w:szCs w:val="16"/>
        </w:rPr>
        <w:t>. Accessed 20 February 2026.</w:t>
      </w:r>
    </w:p>
  </w:footnote>
  <w:footnote w:id="22">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The Sutton Trust – School Places: A Fair Choice? – Available at: </w:t>
      </w:r>
      <w:r>
        <w:fldChar w:fldCharType="begin"/>
      </w:r>
      <w:r>
        <w:instrText xml:space="preserve"> HYPERLINK "https://www.suttontrust.com/wp-content/uploads/2020/02/School-Places.pdf" </w:instrText>
      </w:r>
      <w:r>
        <w:fldChar w:fldCharType="separate"/>
      </w:r>
      <w:r w:rsidRPr="00534984">
        <w:rPr>
          <w:rStyle w:val="Hyperlink"/>
          <w:rFonts w:ascii="Aptos" w:hAnsi="Aptos"/>
          <w:sz w:val="16"/>
          <w:szCs w:val="16"/>
        </w:rPr>
        <w:t>https://www.suttontrust.com/wp-content/uploads/2020/02/School-Places.pdf</w:t>
      </w:r>
      <w:r>
        <w:fldChar w:fldCharType="end"/>
      </w:r>
    </w:p>
  </w:footnote>
  <w:footnote w:id="23">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The Sutton Trust – Selective Comprehensives 2024 – Available at: </w:t>
      </w:r>
      <w:r>
        <w:fldChar w:fldCharType="begin"/>
      </w:r>
      <w:r>
        <w:instrText xml:space="preserve"> HYPERLINK "https://www.suttontrust.com/our-research/selective-comprehensives-2024/" </w:instrText>
      </w:r>
      <w:r>
        <w:fldChar w:fldCharType="separate"/>
      </w:r>
      <w:r w:rsidRPr="00534984">
        <w:rPr>
          <w:rStyle w:val="Hyperlink"/>
          <w:rFonts w:ascii="Aptos" w:hAnsi="Aptos"/>
          <w:sz w:val="16"/>
          <w:szCs w:val="16"/>
        </w:rPr>
        <w:t>https://www.suttontrust.com/our-research/selective-comprehensives-2024/</w:t>
      </w:r>
      <w:r>
        <w:fldChar w:fldCharType="end"/>
      </w:r>
    </w:p>
  </w:footnote>
  <w:footnote w:id="24">
    <w:p w:rsidR="00A767C9" w:rsidRPr="00534984" w:rsidP="005C5C49">
      <w:pPr>
        <w:pStyle w:val="FootnoteText"/>
        <w:rPr>
          <w:rFonts w:ascii="Aptos" w:hAnsi="Aptos"/>
          <w:sz w:val="16"/>
          <w:szCs w:val="16"/>
          <w:lang w:val="en-US"/>
        </w:rPr>
      </w:pPr>
      <w:r w:rsidRPr="00534984">
        <w:rPr>
          <w:rStyle w:val="FootnoteReference"/>
          <w:rFonts w:ascii="Aptos" w:hAnsi="Aptos"/>
          <w:sz w:val="16"/>
          <w:szCs w:val="16"/>
        </w:rPr>
        <w:footnoteRef/>
      </w:r>
      <w:r w:rsidRPr="00534984">
        <w:rPr>
          <w:rFonts w:ascii="Aptos" w:hAnsi="Aptos"/>
          <w:sz w:val="16"/>
          <w:szCs w:val="16"/>
        </w:rPr>
        <w:t xml:space="preserve"> </w:t>
      </w:r>
      <w:r w:rsidRPr="00534984">
        <w:rPr>
          <w:rFonts w:ascii="Aptos" w:hAnsi="Aptos"/>
          <w:sz w:val="16"/>
          <w:szCs w:val="16"/>
          <w:lang w:val="en-US"/>
        </w:rPr>
        <w:t xml:space="preserve">National Secular Society – Faith schools coercing families with ‘cultish’ practices, NSS finds – Available at: </w:t>
      </w:r>
      <w:r>
        <w:fldChar w:fldCharType="begin"/>
      </w:r>
      <w:r>
        <w:instrText xml:space="preserve"> HYPERLINK "https://www.secularism.org.uk/news/2023/02/faith-schools-coercing-families-with-cultish-practices-nss-finds" </w:instrText>
      </w:r>
      <w:r>
        <w:fldChar w:fldCharType="separate"/>
      </w:r>
      <w:r w:rsidRPr="00534984">
        <w:rPr>
          <w:rStyle w:val="Hyperlink"/>
          <w:rFonts w:ascii="Aptos" w:hAnsi="Aptos"/>
          <w:sz w:val="16"/>
          <w:szCs w:val="16"/>
          <w:lang w:val="en-US"/>
        </w:rPr>
        <w:t>https://www.secularism.org.uk/news/2023/02/faith-schools-coercing-families-with-cultish-practices-nss-finds</w:t>
      </w:r>
      <w:r>
        <w:fldChar w:fldCharType="end"/>
      </w:r>
    </w:p>
  </w:footnote>
  <w:footnote w:id="25">
    <w:p w:rsidR="00A767C9" w:rsidRPr="00534984" w:rsidP="005C5C49">
      <w:pPr>
        <w:pStyle w:val="FootnoteText"/>
        <w:rPr>
          <w:rFonts w:ascii="Aptos" w:hAnsi="Aptos"/>
          <w:sz w:val="16"/>
          <w:szCs w:val="16"/>
          <w:lang w:val="en-US"/>
        </w:rPr>
      </w:pPr>
      <w:r w:rsidRPr="00534984">
        <w:rPr>
          <w:rStyle w:val="FootnoteReference"/>
          <w:rFonts w:ascii="Aptos" w:hAnsi="Aptos"/>
          <w:sz w:val="16"/>
          <w:szCs w:val="16"/>
        </w:rPr>
        <w:footnoteRef/>
      </w:r>
      <w:r w:rsidRPr="00534984">
        <w:rPr>
          <w:rFonts w:ascii="Aptos" w:hAnsi="Aptos"/>
          <w:sz w:val="16"/>
          <w:szCs w:val="16"/>
        </w:rPr>
        <w:t xml:space="preserve"> </w:t>
      </w:r>
      <w:r w:rsidRPr="00534984">
        <w:rPr>
          <w:rFonts w:ascii="Aptos" w:hAnsi="Aptos"/>
          <w:sz w:val="16"/>
          <w:szCs w:val="16"/>
          <w:lang w:val="en-US"/>
        </w:rPr>
        <w:t xml:space="preserve">National Secular Society – How state school admissions policies enable coercive control in religious communities – Available at: </w:t>
      </w:r>
      <w:r>
        <w:fldChar w:fldCharType="begin"/>
      </w:r>
      <w:r>
        <w:instrText xml:space="preserve"> HYPERLINK "https://www.secularism.org.uk/uploads/nss-report-how-state-school-admissions-policies-enable-coercive-control-in-religious-communities.pdf" </w:instrText>
      </w:r>
      <w:r>
        <w:fldChar w:fldCharType="separate"/>
      </w:r>
      <w:r w:rsidRPr="00534984">
        <w:rPr>
          <w:rStyle w:val="Hyperlink"/>
          <w:rFonts w:ascii="Aptos" w:hAnsi="Aptos"/>
          <w:sz w:val="16"/>
          <w:szCs w:val="16"/>
          <w:lang w:val="en-US"/>
        </w:rPr>
        <w:t>https://www.secularism.org.uk/uploads/nss-report-how-state-school-admissions-policies-enable-coercive-control-in-religious-communities.pdf</w:t>
      </w:r>
      <w:r>
        <w:fldChar w:fldCharType="end"/>
      </w:r>
    </w:p>
  </w:footnote>
  <w:footnote w:id="26">
    <w:p w:rsidR="00A767C9" w:rsidRPr="00534984" w:rsidP="005C5C49">
      <w:pPr>
        <w:pStyle w:val="FootnoteText"/>
        <w:rPr>
          <w:rFonts w:ascii="Aptos" w:hAnsi="Aptos"/>
          <w:sz w:val="16"/>
          <w:szCs w:val="16"/>
          <w:lang w:val="en-US"/>
        </w:rPr>
      </w:pPr>
      <w:r w:rsidRPr="00534984">
        <w:rPr>
          <w:rStyle w:val="FootnoteReference"/>
          <w:rFonts w:ascii="Aptos" w:hAnsi="Aptos"/>
          <w:sz w:val="16"/>
          <w:szCs w:val="16"/>
        </w:rPr>
        <w:footnoteRef/>
      </w:r>
      <w:r w:rsidRPr="00534984">
        <w:rPr>
          <w:rFonts w:ascii="Aptos" w:hAnsi="Aptos"/>
          <w:sz w:val="16"/>
          <w:szCs w:val="16"/>
          <w:lang w:val="en-US"/>
        </w:rPr>
        <w:t xml:space="preserve"> OSA decision – Menorah Foundation School, Menorah Primary School for Boys, Avigdor Hirsch Torah Temimah School and Menorah Primary School for Girls: 28 November 2024 – Available at: </w:t>
      </w:r>
      <w:r>
        <w:fldChar w:fldCharType="begin"/>
      </w:r>
      <w:r>
        <w:instrText xml:space="preserve"> HYPERLINK "https://www.gov.uk/government/publications/menorah-foundation-school-menorah-primary-school-for-boys-avigdor-hirsch-torah-temimah-school-and-menorah-primary-school-for-girls-28-november-2024" </w:instrText>
      </w:r>
      <w:r>
        <w:fldChar w:fldCharType="separate"/>
      </w:r>
      <w:r w:rsidRPr="00534984">
        <w:rPr>
          <w:rStyle w:val="Hyperlink"/>
          <w:rFonts w:ascii="Aptos" w:hAnsi="Aptos"/>
          <w:sz w:val="16"/>
          <w:szCs w:val="16"/>
          <w:lang w:val="en-US"/>
        </w:rPr>
        <w:t>https://www.gov.uk/government/publications/menorah-foundation-school-menorah-primary-school-for-boys-avigdor-hirsch-torah-temimah-school-and-menorah-primary-school-for-girls-28-november-2024</w:t>
      </w:r>
      <w:r>
        <w:fldChar w:fldCharType="end"/>
      </w:r>
    </w:p>
  </w:footnote>
  <w:footnote w:id="27">
    <w:p w:rsidR="00A767C9" w:rsidRPr="009B0A65" w:rsidP="00534984">
      <w:pPr>
        <w:pStyle w:val="FootnoteText"/>
        <w:rPr>
          <w:rFonts w:ascii="Aptos" w:hAnsi="Aptos"/>
          <w:sz w:val="16"/>
          <w:szCs w:val="16"/>
        </w:rPr>
      </w:pPr>
      <w:r w:rsidRPr="00534984">
        <w:rPr>
          <w:rStyle w:val="FootnoteReference"/>
          <w:rFonts w:ascii="Aptos" w:hAnsi="Aptos"/>
          <w:sz w:val="16"/>
          <w:szCs w:val="16"/>
        </w:rPr>
        <w:footnoteRef/>
      </w:r>
      <w:r w:rsidRPr="009B0A65">
        <w:rPr>
          <w:rFonts w:ascii="Aptos" w:hAnsi="Aptos"/>
          <w:sz w:val="16"/>
          <w:szCs w:val="16"/>
        </w:rPr>
        <w:t xml:space="preserve"> </w:t>
      </w:r>
      <w:r w:rsidRPr="009B0A65">
        <w:rPr>
          <w:rFonts w:ascii="Aptos" w:hAnsi="Aptos"/>
          <w:sz w:val="16"/>
          <w:szCs w:val="16"/>
        </w:rPr>
        <w:t xml:space="preserve">UN – Convention on the Rights </w:t>
      </w:r>
      <w:r>
        <w:rPr>
          <w:rFonts w:ascii="Aptos" w:hAnsi="Aptos"/>
          <w:sz w:val="16"/>
          <w:szCs w:val="16"/>
        </w:rPr>
        <w:t xml:space="preserve">of the Child – Available at: </w:t>
      </w:r>
      <w:r>
        <w:fldChar w:fldCharType="begin"/>
      </w:r>
      <w:r>
        <w:instrText xml:space="preserve"> HYPERLINK "https://www.ohchr.org/en/instruments-mechanisms/instruments/convention-rights-child" </w:instrText>
      </w:r>
      <w:r>
        <w:fldChar w:fldCharType="separate"/>
      </w:r>
      <w:r w:rsidRPr="006A0956">
        <w:rPr>
          <w:rStyle w:val="Hyperlink"/>
          <w:rFonts w:ascii="Aptos" w:hAnsi="Aptos"/>
          <w:sz w:val="16"/>
          <w:szCs w:val="16"/>
        </w:rPr>
        <w:t>https://www.ohchr.org/en/instruments-mechanisms/instruments/convention-rights-child</w:t>
      </w:r>
      <w:r>
        <w:fldChar w:fldCharType="end"/>
      </w:r>
    </w:p>
  </w:footnote>
  <w:footnote w:id="28">
    <w:p w:rsidR="00A767C9" w:rsidRPr="009B0A65" w:rsidP="00534984">
      <w:pPr>
        <w:pStyle w:val="FootnoteText"/>
        <w:rPr>
          <w:rFonts w:ascii="Aptos" w:hAnsi="Aptos"/>
          <w:sz w:val="16"/>
          <w:szCs w:val="16"/>
        </w:rPr>
      </w:pPr>
      <w:r w:rsidRPr="00534984">
        <w:rPr>
          <w:rStyle w:val="FootnoteReference"/>
          <w:rFonts w:ascii="Aptos" w:hAnsi="Aptos"/>
          <w:sz w:val="16"/>
          <w:szCs w:val="16"/>
        </w:rPr>
        <w:footnoteRef/>
      </w:r>
      <w:r w:rsidRPr="009B0A65">
        <w:rPr>
          <w:rFonts w:ascii="Aptos" w:hAnsi="Aptos"/>
          <w:sz w:val="16"/>
          <w:szCs w:val="16"/>
        </w:rPr>
        <w:t xml:space="preserve"> </w:t>
      </w:r>
      <w:r w:rsidRPr="009B0A65">
        <w:rPr>
          <w:rFonts w:ascii="Aptos" w:hAnsi="Aptos"/>
          <w:sz w:val="16"/>
          <w:szCs w:val="16"/>
        </w:rPr>
        <w:t xml:space="preserve">National Secular </w:t>
      </w:r>
      <w:r>
        <w:rPr>
          <w:rFonts w:ascii="Aptos" w:hAnsi="Aptos"/>
          <w:sz w:val="16"/>
          <w:szCs w:val="16"/>
        </w:rPr>
        <w:t xml:space="preserve">Society – UN children’s rights committee calls </w:t>
      </w:r>
      <w:r>
        <w:rPr>
          <w:rFonts w:ascii="Aptos" w:hAnsi="Aptos"/>
          <w:sz w:val="16"/>
          <w:szCs w:val="16"/>
        </w:rPr>
        <w:t>on  UK</w:t>
      </w:r>
      <w:r>
        <w:rPr>
          <w:rFonts w:ascii="Aptos" w:hAnsi="Aptos"/>
          <w:sz w:val="16"/>
          <w:szCs w:val="16"/>
        </w:rPr>
        <w:t xml:space="preserve"> to abolish compulsory worship in schools – Available at: </w:t>
      </w:r>
      <w:r>
        <w:fldChar w:fldCharType="begin"/>
      </w:r>
      <w:r>
        <w:instrText xml:space="preserve"> HYPERLINK "https://www.secularism.org.uk/news/2016/06/un-childrens-rights-committee-calls-on-uk-to-abolish-compulsory-worship-in-schools" </w:instrText>
      </w:r>
      <w:r>
        <w:fldChar w:fldCharType="separate"/>
      </w:r>
      <w:r w:rsidRPr="006A0956">
        <w:rPr>
          <w:rStyle w:val="Hyperlink"/>
          <w:rFonts w:ascii="Aptos" w:hAnsi="Aptos"/>
          <w:sz w:val="16"/>
          <w:szCs w:val="16"/>
        </w:rPr>
        <w:t>https://www.secularism.org.uk/news/2016/06/un-childrens-rights-committee-calls-on-uk-to-abolish-compulsory-worship-in-schools</w:t>
      </w:r>
      <w:r>
        <w:fldChar w:fldCharType="end"/>
      </w:r>
    </w:p>
  </w:footnote>
  <w:footnote w:id="29">
    <w:p w:rsidR="00A767C9" w:rsidRPr="009B0A65" w:rsidP="00534984">
      <w:pPr>
        <w:pStyle w:val="FootnoteText"/>
        <w:rPr>
          <w:rFonts w:ascii="Aptos" w:hAnsi="Aptos"/>
          <w:sz w:val="16"/>
          <w:szCs w:val="16"/>
        </w:rPr>
      </w:pPr>
      <w:r w:rsidRPr="00534984">
        <w:rPr>
          <w:rStyle w:val="FootnoteReference"/>
          <w:rFonts w:ascii="Aptos" w:hAnsi="Aptos"/>
          <w:sz w:val="16"/>
          <w:szCs w:val="16"/>
        </w:rPr>
        <w:footnoteRef/>
      </w:r>
      <w:r w:rsidRPr="009B0A65">
        <w:rPr>
          <w:rFonts w:ascii="Aptos" w:hAnsi="Aptos"/>
          <w:sz w:val="16"/>
          <w:szCs w:val="16"/>
        </w:rPr>
        <w:t xml:space="preserve"> </w:t>
      </w:r>
      <w:r w:rsidRPr="009B0A65">
        <w:rPr>
          <w:rFonts w:ascii="Aptos" w:hAnsi="Aptos"/>
          <w:sz w:val="16"/>
          <w:szCs w:val="16"/>
        </w:rPr>
        <w:t>National Secular S</w:t>
      </w:r>
      <w:r>
        <w:rPr>
          <w:rFonts w:ascii="Aptos" w:hAnsi="Aptos"/>
          <w:sz w:val="16"/>
          <w:szCs w:val="16"/>
        </w:rPr>
        <w:t xml:space="preserve">ociety – Most school leaders disagree with law on worship, poll finds – Available at: </w:t>
      </w:r>
      <w:r>
        <w:fldChar w:fldCharType="begin"/>
      </w:r>
      <w:r>
        <w:instrText xml:space="preserve"> HYPERLINK "https://www.secularism.org.uk/news/2024/05/most-school-leaders-disagree-with-law-on-worship-poll-finds" </w:instrText>
      </w:r>
      <w:r>
        <w:fldChar w:fldCharType="separate"/>
      </w:r>
      <w:r w:rsidRPr="006A0956">
        <w:rPr>
          <w:rStyle w:val="Hyperlink"/>
          <w:rFonts w:ascii="Aptos" w:hAnsi="Aptos"/>
          <w:sz w:val="16"/>
          <w:szCs w:val="16"/>
        </w:rPr>
        <w:t>https://www.secularism.org.uk/news/2024/05/most-school-leaders-disagree-with-law-on-worship-poll-finds</w:t>
      </w:r>
      <w:r>
        <w:fldChar w:fldCharType="end"/>
      </w:r>
    </w:p>
  </w:footnote>
  <w:footnote w:id="30">
    <w:p w:rsidR="00A767C9" w:rsidRPr="009B0A65" w:rsidP="00534984">
      <w:pPr>
        <w:pStyle w:val="FootnoteText"/>
        <w:rPr>
          <w:rFonts w:ascii="Aptos" w:hAnsi="Aptos"/>
          <w:sz w:val="16"/>
          <w:szCs w:val="16"/>
        </w:rPr>
      </w:pPr>
      <w:r w:rsidRPr="00534984">
        <w:rPr>
          <w:rStyle w:val="FootnoteReference"/>
          <w:rFonts w:ascii="Aptos" w:hAnsi="Aptos"/>
          <w:sz w:val="16"/>
          <w:szCs w:val="16"/>
        </w:rPr>
        <w:footnoteRef/>
      </w:r>
      <w:r w:rsidRPr="009B0A65">
        <w:rPr>
          <w:rFonts w:ascii="Aptos" w:hAnsi="Aptos"/>
          <w:sz w:val="16"/>
          <w:szCs w:val="16"/>
        </w:rPr>
        <w:t xml:space="preserve"> </w:t>
      </w:r>
      <w:r w:rsidRPr="009B0A65">
        <w:rPr>
          <w:rFonts w:ascii="Aptos" w:hAnsi="Aptos"/>
          <w:sz w:val="16"/>
          <w:szCs w:val="16"/>
        </w:rPr>
        <w:t xml:space="preserve">National Secular </w:t>
      </w:r>
      <w:r>
        <w:rPr>
          <w:rFonts w:ascii="Aptos" w:hAnsi="Aptos"/>
          <w:sz w:val="16"/>
          <w:szCs w:val="16"/>
        </w:rPr>
        <w:t xml:space="preserve">Society – British public opposes religious influence in education, poll finds – Available at: </w:t>
      </w:r>
      <w:r>
        <w:fldChar w:fldCharType="begin"/>
      </w:r>
      <w:r>
        <w:instrText xml:space="preserve"> HYPERLINK "https://www.secularism.org.uk/news/2018/06/british-public-opposes-religious-influence-in-education-poll-finds1" </w:instrText>
      </w:r>
      <w:r>
        <w:fldChar w:fldCharType="separate"/>
      </w:r>
      <w:r w:rsidRPr="006A0956">
        <w:rPr>
          <w:rStyle w:val="Hyperlink"/>
          <w:rFonts w:ascii="Aptos" w:hAnsi="Aptos"/>
          <w:sz w:val="16"/>
          <w:szCs w:val="16"/>
        </w:rPr>
        <w:t>https://www.secularism.org.uk/news/2018/06/british-public-opposes-religious-influence-in-education-poll-finds1</w:t>
      </w:r>
      <w:r>
        <w:fldChar w:fldCharType="end"/>
      </w:r>
    </w:p>
  </w:footnote>
  <w:footnote w:id="31">
    <w:p w:rsidR="00A767C9" w:rsidRPr="00534984" w:rsidP="00534984">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w:t>
      </w:r>
      <w:r>
        <w:rPr>
          <w:rFonts w:ascii="Aptos" w:hAnsi="Aptos"/>
          <w:sz w:val="16"/>
          <w:szCs w:val="16"/>
        </w:rPr>
        <w:t xml:space="preserve">Strhan, Anna – Affective engagements with religion and citizenship in English primary schools – Available at: </w:t>
      </w:r>
      <w:r>
        <w:fldChar w:fldCharType="begin"/>
      </w:r>
      <w:r>
        <w:instrText xml:space="preserve"> HYPERLINK "https://www.tandfonline.com/doi/full/10.1080/01425692.2025.2462954" </w:instrText>
      </w:r>
      <w:r>
        <w:fldChar w:fldCharType="separate"/>
      </w:r>
      <w:r w:rsidRPr="006A0956">
        <w:rPr>
          <w:rStyle w:val="Hyperlink"/>
          <w:rFonts w:ascii="Aptos" w:hAnsi="Aptos"/>
          <w:sz w:val="16"/>
          <w:szCs w:val="16"/>
        </w:rPr>
        <w:t>https://www.tandfonline.com/doi/full/10.1080/01425692.2025.2462954</w:t>
      </w:r>
      <w:r>
        <w:fldChar w:fldCharType="end"/>
      </w:r>
    </w:p>
  </w:footnote>
  <w:footnote w:id="32">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National Secular Society – Unsafe sex education – Available at: </w:t>
      </w:r>
      <w:r>
        <w:fldChar w:fldCharType="begin"/>
      </w:r>
      <w:r>
        <w:instrText xml:space="preserve"> HYPERLINK "https://www.secularism.org.uk/uploads/unsafe-sex-report-april-2018.pdf" </w:instrText>
      </w:r>
      <w:r>
        <w:fldChar w:fldCharType="separate"/>
      </w:r>
      <w:r w:rsidRPr="00534984">
        <w:rPr>
          <w:rStyle w:val="Hyperlink"/>
          <w:rFonts w:ascii="Aptos" w:hAnsi="Aptos"/>
          <w:sz w:val="16"/>
          <w:szCs w:val="16"/>
        </w:rPr>
        <w:t>https://www.secularism.org.uk/uploads/unsafe-sex-report-april-2018.pdf</w:t>
      </w:r>
      <w:r>
        <w:fldChar w:fldCharType="end"/>
      </w:r>
    </w:p>
  </w:footnote>
  <w:footnote w:id="33">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DfE - Evaluation of the government’s 2016 to 2019 anti-homophobic, biphobic</w:t>
      </w:r>
      <w:r w:rsidRPr="00534984">
        <w:rPr>
          <w:rFonts w:ascii="Aptos" w:hAnsi="Aptos"/>
          <w:sz w:val="16"/>
          <w:szCs w:val="16"/>
        </w:rPr>
        <w:t xml:space="preserve"> and transphobic bullying programme in schools – Available at: </w:t>
      </w:r>
      <w:r>
        <w:fldChar w:fldCharType="begin"/>
      </w:r>
      <w:r>
        <w:instrText xml:space="preserve"> HYPERLINK "https://www.gov.uk/government/publications/evaluation-of-the-governments-2016-to-2019-anti-homophobic-biphobic-and-transphobic-bullying-programme-in-schools" </w:instrText>
      </w:r>
      <w:r>
        <w:fldChar w:fldCharType="separate"/>
      </w:r>
      <w:r w:rsidRPr="00534984">
        <w:rPr>
          <w:rStyle w:val="Hyperlink"/>
          <w:rFonts w:ascii="Aptos" w:hAnsi="Aptos"/>
          <w:sz w:val="16"/>
          <w:szCs w:val="16"/>
        </w:rPr>
        <w:t>https://www.gov.uk/government/publications/evaluation-of-the-governments-2016-to-2019-anti-homophobic-biphobic-and-transphobic-bullying-programme-in-schools</w:t>
      </w:r>
      <w:r>
        <w:fldChar w:fldCharType="end"/>
      </w:r>
    </w:p>
  </w:footnote>
  <w:footnote w:id="34">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DfE - Relationships, sex and health education: 2020 curriculum implementation – Available at: </w:t>
      </w:r>
      <w:r>
        <w:fldChar w:fldCharType="begin"/>
      </w:r>
      <w:r>
        <w:instrText xml:space="preserve"> HYPERLINK "https://www.gov.uk/government/publications/relationships-sex-and-health-education-2020-curriculum-implementation" </w:instrText>
      </w:r>
      <w:r>
        <w:fldChar w:fldCharType="separate"/>
      </w:r>
      <w:r w:rsidRPr="00534984">
        <w:rPr>
          <w:rStyle w:val="Hyperlink"/>
          <w:rFonts w:ascii="Aptos" w:hAnsi="Aptos"/>
          <w:sz w:val="16"/>
          <w:szCs w:val="16"/>
        </w:rPr>
        <w:t>https://www.gov.uk/government/publications/relationships-sex-and-health-education-2020-curriculum-implementation</w:t>
      </w:r>
      <w:r>
        <w:fldChar w:fldCharType="end"/>
      </w:r>
    </w:p>
  </w:footnote>
  <w:footnote w:id="35">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DfE - Teaching relationships education to prevent sexual abuse – Available at: </w:t>
      </w:r>
      <w:r>
        <w:fldChar w:fldCharType="begin"/>
      </w:r>
      <w:r>
        <w:instrText xml:space="preserve"> HYPERLINK "https://www.gov.uk/government/publications/teaching-relationships-education-to-prevent-sexual-abuse" </w:instrText>
      </w:r>
      <w:r>
        <w:fldChar w:fldCharType="separate"/>
      </w:r>
      <w:r w:rsidRPr="00534984">
        <w:rPr>
          <w:rStyle w:val="Hyperlink"/>
          <w:rFonts w:ascii="Aptos" w:hAnsi="Aptos"/>
          <w:sz w:val="16"/>
          <w:szCs w:val="16"/>
        </w:rPr>
        <w:t>https://www.gov.uk/government/publications/teaching-relationships-education-to-prevent-sexual-abuse?utm_medium=email&amp;utm_campaign=govuk-notifications-topic</w:t>
      </w:r>
      <w:r>
        <w:fldChar w:fldCharType="end"/>
      </w:r>
    </w:p>
  </w:footnote>
  <w:footnote w:id="36">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National Secular Society – Power grab: Academisation and the threat to secular education – Available at: </w:t>
      </w:r>
      <w:r>
        <w:fldChar w:fldCharType="begin"/>
      </w:r>
      <w:r>
        <w:instrText xml:space="preserve"> HYPERLINK "https://www.secularism.org.uk/faith-schools/academisation" </w:instrText>
      </w:r>
      <w:r>
        <w:fldChar w:fldCharType="separate"/>
      </w:r>
      <w:r w:rsidRPr="00534984">
        <w:rPr>
          <w:rStyle w:val="Hyperlink"/>
          <w:rFonts w:ascii="Aptos" w:hAnsi="Aptos"/>
          <w:sz w:val="16"/>
          <w:szCs w:val="16"/>
        </w:rPr>
        <w:t>https://www.secularism.org.uk/faith-schools/academisation</w:t>
      </w:r>
      <w:r>
        <w:fldChar w:fldCharType="end"/>
      </w:r>
    </w:p>
  </w:footnote>
  <w:footnote w:id="37">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National Secular Society – Plans to merge nonreligious school into faith school cancelled – Available at: </w:t>
      </w:r>
      <w:r>
        <w:fldChar w:fldCharType="begin"/>
      </w:r>
      <w:r>
        <w:instrText xml:space="preserve"> HYPERLINK "https://www.secularism.org.uk/news/2025/11/plans-to-merge-nonreligious-school-into-faith-school-cancelled" </w:instrText>
      </w:r>
      <w:r>
        <w:fldChar w:fldCharType="separate"/>
      </w:r>
      <w:r w:rsidRPr="00534984">
        <w:rPr>
          <w:rStyle w:val="Hyperlink"/>
          <w:rFonts w:ascii="Aptos" w:hAnsi="Aptos"/>
          <w:sz w:val="16"/>
          <w:szCs w:val="16"/>
        </w:rPr>
        <w:t>https://www.secularism.org.uk/news/2025/11/plans-to-merge-nonreligious-school-into-faith-school-cancelled</w:t>
      </w:r>
      <w:r>
        <w:fldChar w:fldCharType="end"/>
      </w:r>
    </w:p>
  </w:footnote>
  <w:footnote w:id="38">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National Secular Society – NSS urges trust to halt faith school takeover of secular school – Available at: </w:t>
      </w:r>
      <w:r>
        <w:fldChar w:fldCharType="begin"/>
      </w:r>
      <w:r>
        <w:instrText xml:space="preserve"> HYPERLINK "https://www.secularism.org.uk/news/2025/07/nss-urges-trust-to-halt-faith-school-takeover-of-secular-school" </w:instrText>
      </w:r>
      <w:r>
        <w:fldChar w:fldCharType="separate"/>
      </w:r>
      <w:r w:rsidRPr="00534984">
        <w:rPr>
          <w:rStyle w:val="Hyperlink"/>
          <w:rFonts w:ascii="Aptos" w:hAnsi="Aptos"/>
          <w:sz w:val="16"/>
          <w:szCs w:val="16"/>
        </w:rPr>
        <w:t>https://www.secularism.org.uk/news/2025/07/nss-urges-trust-to-halt-faith-school-takeover-of-secular-school</w:t>
      </w:r>
      <w:r>
        <w:fldChar w:fldCharType="end"/>
      </w:r>
    </w:p>
  </w:footnote>
  <w:footnote w:id="39">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National Secular Society – NSS opposes plan to convert secular school into faith school – Available at: </w:t>
      </w:r>
      <w:r>
        <w:fldChar w:fldCharType="begin"/>
      </w:r>
      <w:r>
        <w:instrText xml:space="preserve"> HYPERLINK "https://www.secularism.org.uk/news/2024/07/nss-opposes-plan-to-convert-secular-school-into-faith-school" </w:instrText>
      </w:r>
      <w:r>
        <w:fldChar w:fldCharType="separate"/>
      </w:r>
      <w:r w:rsidRPr="00534984">
        <w:rPr>
          <w:rStyle w:val="Hyperlink"/>
          <w:rFonts w:ascii="Aptos" w:hAnsi="Aptos"/>
          <w:sz w:val="16"/>
          <w:szCs w:val="16"/>
        </w:rPr>
        <w:t>https://www.secularism.org.uk/news/2024/07/nss-opposes-plan-to-convert-secular-school-into-faith-school</w:t>
      </w:r>
      <w:r>
        <w:fldChar w:fldCharType="end"/>
      </w:r>
    </w:p>
  </w:footnote>
  <w:footnote w:id="40">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National Secular Society – Head: school evangelism project has “no educational objectives” – Available at: </w:t>
      </w:r>
      <w:r>
        <w:fldChar w:fldCharType="begin"/>
      </w:r>
      <w:r>
        <w:instrText xml:space="preserve"> HYPERLINK "https://www.secularism.org.uk/news/2026/05/head-school-evangelism-project-has-no-educational-objectives" </w:instrText>
      </w:r>
      <w:r>
        <w:fldChar w:fldCharType="separate"/>
      </w:r>
      <w:r w:rsidRPr="00534984">
        <w:rPr>
          <w:rStyle w:val="Hyperlink"/>
          <w:rFonts w:ascii="Aptos" w:hAnsi="Aptos"/>
          <w:sz w:val="16"/>
          <w:szCs w:val="16"/>
        </w:rPr>
        <w:t>https://www.secularism.org.uk/news/2026/05/head-school-evangelism-project-has-no-educational-objectives</w:t>
      </w:r>
      <w:r>
        <w:fldChar w:fldCharType="end"/>
      </w:r>
    </w:p>
  </w:footnote>
  <w:footnote w:id="41">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National Secular Society – Church of England spends £35 million on school evangelism in 2025 – Available at: </w:t>
      </w:r>
      <w:r>
        <w:fldChar w:fldCharType="begin"/>
      </w:r>
      <w:r>
        <w:instrText xml:space="preserve"> HYPERLINK "https://www.secularism.org.uk/news/2026/06/church-of-england-spends-35-million-on-school-evangelism-in-2025" </w:instrText>
      </w:r>
      <w:r>
        <w:fldChar w:fldCharType="separate"/>
      </w:r>
      <w:r w:rsidRPr="00534984">
        <w:rPr>
          <w:rStyle w:val="Hyperlink"/>
          <w:rFonts w:ascii="Aptos" w:hAnsi="Aptos"/>
          <w:sz w:val="16"/>
          <w:szCs w:val="16"/>
        </w:rPr>
        <w:t>https://www.secularism.org.uk/news/2026/06/church-of-england-spends-35-million-on-school-evangelism-in-2025</w:t>
      </w:r>
      <w:r>
        <w:fldChar w:fldCharType="end"/>
      </w:r>
    </w:p>
  </w:footnote>
  <w:footnote w:id="42">
    <w:p w:rsidR="00A767C9" w:rsidRPr="00534984" w:rsidP="005C5C49">
      <w:pPr>
        <w:pStyle w:val="FootnoteText"/>
        <w:rPr>
          <w:rFonts w:ascii="Aptos" w:hAnsi="Aptos"/>
          <w:sz w:val="16"/>
          <w:szCs w:val="16"/>
        </w:rPr>
      </w:pPr>
      <w:r w:rsidRPr="00534984">
        <w:rPr>
          <w:rStyle w:val="FootnoteReference"/>
          <w:rFonts w:ascii="Aptos" w:hAnsi="Aptos"/>
          <w:sz w:val="16"/>
          <w:szCs w:val="16"/>
        </w:rPr>
        <w:footnoteRef/>
      </w:r>
      <w:r w:rsidRPr="00534984">
        <w:rPr>
          <w:rFonts w:ascii="Aptos" w:hAnsi="Aptos"/>
          <w:sz w:val="16"/>
          <w:szCs w:val="16"/>
        </w:rPr>
        <w:t xml:space="preserve"> National Secular Society – CofE launches new school evangelism network – Available at: </w:t>
      </w:r>
      <w:r>
        <w:fldChar w:fldCharType="begin"/>
      </w:r>
      <w:r>
        <w:instrText xml:space="preserve"> HYPERLINK "https://www.secularism.org.uk/news/2024/07/cofe-launches-new-school-evangelism-network" </w:instrText>
      </w:r>
      <w:r>
        <w:fldChar w:fldCharType="separate"/>
      </w:r>
      <w:r w:rsidRPr="00534984">
        <w:rPr>
          <w:rStyle w:val="Hyperlink"/>
          <w:rFonts w:ascii="Aptos" w:hAnsi="Aptos"/>
          <w:sz w:val="16"/>
          <w:szCs w:val="16"/>
        </w:rPr>
        <w:t>https://www.secularism.org.uk/news/2024/07/cofe-launches-new-school-evangelism-network</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67C9" w:rsidRPr="005A714B">
    <w:pPr>
      <w:pStyle w:val="Header"/>
    </w:pPr>
  </w:p>
  <w:p w:rsidR="00A767C9" w:rsidRPr="005A714B">
    <w:pPr>
      <w:pStyle w:val="Header"/>
    </w:pPr>
  </w:p>
  <w:p w:rsidR="00A767C9" w:rsidRPr="005A714B">
    <w:pPr>
      <w:pStyle w:val="Header"/>
    </w:pPr>
  </w:p>
  <w:p w:rsidR="00A767C9" w:rsidRPr="005A714B">
    <w:pPr>
      <w:pStyle w:val="Header"/>
    </w:pPr>
  </w:p>
  <w:p w:rsidR="00A767C9" w:rsidRPr="005A714B">
    <w:pPr>
      <w:pStyle w:val="Header"/>
    </w:pPr>
  </w:p>
  <w:p w:rsidR="00A767C9" w:rsidRPr="005A714B">
    <w:pPr>
      <w:pStyle w:val="Header"/>
    </w:pPr>
  </w:p>
  <w:p w:rsidR="00A767C9" w:rsidRPr="005A714B">
    <w:pPr>
      <w:pStyle w:val="Header"/>
    </w:pPr>
  </w:p>
  <w:p w:rsidR="00A767C9" w:rsidRPr="005A71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CA4FFF"/>
    <w:multiLevelType w:val="hybridMultilevel"/>
    <w:tmpl w:val="44A042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15466C"/>
    <w:multiLevelType w:val="multilevel"/>
    <w:tmpl w:val="BF3A96B4"/>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F37ED7"/>
    <w:multiLevelType w:val="hybridMultilevel"/>
    <w:tmpl w:val="836EAB88"/>
    <w:lvl w:ilvl="0">
      <w:start w:val="1"/>
      <w:numFmt w:val="bullet"/>
      <w:lvlText w:val=""/>
      <w:lvlJc w:val="left"/>
      <w:pPr>
        <w:ind w:left="770" w:hanging="360"/>
      </w:pPr>
      <w:rPr>
        <w:rFonts w:ascii="Symbol" w:hAnsi="Symbol" w:hint="default"/>
      </w:rPr>
    </w:lvl>
    <w:lvl w:ilvl="1" w:tentative="1">
      <w:start w:val="1"/>
      <w:numFmt w:val="bullet"/>
      <w:lvlText w:val="o"/>
      <w:lvlJc w:val="left"/>
      <w:pPr>
        <w:ind w:left="1490" w:hanging="360"/>
      </w:pPr>
      <w:rPr>
        <w:rFonts w:ascii="Courier New" w:hAnsi="Courier New" w:cs="Courier New" w:hint="default"/>
      </w:rPr>
    </w:lvl>
    <w:lvl w:ilvl="2" w:tentative="1">
      <w:start w:val="1"/>
      <w:numFmt w:val="bullet"/>
      <w:lvlText w:val=""/>
      <w:lvlJc w:val="left"/>
      <w:pPr>
        <w:ind w:left="2210" w:hanging="360"/>
      </w:pPr>
      <w:rPr>
        <w:rFonts w:ascii="Wingdings" w:hAnsi="Wingdings" w:hint="default"/>
      </w:rPr>
    </w:lvl>
    <w:lvl w:ilvl="3" w:tentative="1">
      <w:start w:val="1"/>
      <w:numFmt w:val="bullet"/>
      <w:lvlText w:val=""/>
      <w:lvlJc w:val="left"/>
      <w:pPr>
        <w:ind w:left="2930" w:hanging="360"/>
      </w:pPr>
      <w:rPr>
        <w:rFonts w:ascii="Symbol" w:hAnsi="Symbol" w:hint="default"/>
      </w:rPr>
    </w:lvl>
    <w:lvl w:ilvl="4" w:tentative="1">
      <w:start w:val="1"/>
      <w:numFmt w:val="bullet"/>
      <w:lvlText w:val="o"/>
      <w:lvlJc w:val="left"/>
      <w:pPr>
        <w:ind w:left="3650" w:hanging="360"/>
      </w:pPr>
      <w:rPr>
        <w:rFonts w:ascii="Courier New" w:hAnsi="Courier New" w:cs="Courier New" w:hint="default"/>
      </w:rPr>
    </w:lvl>
    <w:lvl w:ilvl="5" w:tentative="1">
      <w:start w:val="1"/>
      <w:numFmt w:val="bullet"/>
      <w:lvlText w:val=""/>
      <w:lvlJc w:val="left"/>
      <w:pPr>
        <w:ind w:left="4370" w:hanging="360"/>
      </w:pPr>
      <w:rPr>
        <w:rFonts w:ascii="Wingdings" w:hAnsi="Wingdings" w:hint="default"/>
      </w:rPr>
    </w:lvl>
    <w:lvl w:ilvl="6" w:tentative="1">
      <w:start w:val="1"/>
      <w:numFmt w:val="bullet"/>
      <w:lvlText w:val=""/>
      <w:lvlJc w:val="left"/>
      <w:pPr>
        <w:ind w:left="5090" w:hanging="360"/>
      </w:pPr>
      <w:rPr>
        <w:rFonts w:ascii="Symbol" w:hAnsi="Symbol" w:hint="default"/>
      </w:rPr>
    </w:lvl>
    <w:lvl w:ilvl="7" w:tentative="1">
      <w:start w:val="1"/>
      <w:numFmt w:val="bullet"/>
      <w:lvlText w:val="o"/>
      <w:lvlJc w:val="left"/>
      <w:pPr>
        <w:ind w:left="5810" w:hanging="360"/>
      </w:pPr>
      <w:rPr>
        <w:rFonts w:ascii="Courier New" w:hAnsi="Courier New" w:cs="Courier New" w:hint="default"/>
      </w:rPr>
    </w:lvl>
    <w:lvl w:ilvl="8" w:tentative="1">
      <w:start w:val="1"/>
      <w:numFmt w:val="bullet"/>
      <w:lvlText w:val=""/>
      <w:lvlJc w:val="left"/>
      <w:pPr>
        <w:ind w:left="6530" w:hanging="360"/>
      </w:pPr>
      <w:rPr>
        <w:rFonts w:ascii="Wingdings" w:hAnsi="Wingdings" w:hint="default"/>
      </w:rPr>
    </w:lvl>
  </w:abstractNum>
  <w:abstractNum w:abstractNumId="3">
    <w:nsid w:val="05F8291F"/>
    <w:multiLevelType w:val="hybridMultilevel"/>
    <w:tmpl w:val="CD70DBA6"/>
    <w:lvl w:ilvl="0">
      <w:start w:val="1"/>
      <w:numFmt w:val="decimal"/>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0A9F29F6"/>
    <w:multiLevelType w:val="multilevel"/>
    <w:tmpl w:val="F1E8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EC302B3"/>
    <w:multiLevelType w:val="hybridMultilevel"/>
    <w:tmpl w:val="8B2A39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13975F2"/>
    <w:multiLevelType w:val="hybridMultilevel"/>
    <w:tmpl w:val="35E60B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47B672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5173CE3"/>
    <w:multiLevelType w:val="hybridMultilevel"/>
    <w:tmpl w:val="F3489A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A7F4276"/>
    <w:multiLevelType w:val="hybridMultilevel"/>
    <w:tmpl w:val="28AC911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B233C38"/>
    <w:multiLevelType w:val="hybridMultilevel"/>
    <w:tmpl w:val="CD70DBA6"/>
    <w:lvl w:ilvl="0">
      <w:start w:val="1"/>
      <w:numFmt w:val="decimal"/>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1E0446CA"/>
    <w:multiLevelType w:val="hybridMultilevel"/>
    <w:tmpl w:val="D5DE26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02141DC"/>
    <w:multiLevelType w:val="multilevel"/>
    <w:tmpl w:val="C62E56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229E4167"/>
    <w:multiLevelType w:val="hybridMultilevel"/>
    <w:tmpl w:val="82A42C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45E6DED"/>
    <w:multiLevelType w:val="hybridMultilevel"/>
    <w:tmpl w:val="F9A4BE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5E5711B"/>
    <w:multiLevelType w:val="hybridMultilevel"/>
    <w:tmpl w:val="0D803302"/>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80172DF"/>
    <w:multiLevelType w:val="multilevel"/>
    <w:tmpl w:val="59BAA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E617FBC"/>
    <w:multiLevelType w:val="hybridMultilevel"/>
    <w:tmpl w:val="457E7EC8"/>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E64660D"/>
    <w:multiLevelType w:val="multilevel"/>
    <w:tmpl w:val="C0364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17E7437"/>
    <w:multiLevelType w:val="hybridMultilevel"/>
    <w:tmpl w:val="661A83B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nsid w:val="328B338D"/>
    <w:multiLevelType w:val="hybridMultilevel"/>
    <w:tmpl w:val="22022474"/>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5A369B1"/>
    <w:multiLevelType w:val="multilevel"/>
    <w:tmpl w:val="158E5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8FA135F"/>
    <w:multiLevelType w:val="hybridMultilevel"/>
    <w:tmpl w:val="895893A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39B80BC4"/>
    <w:multiLevelType w:val="multilevel"/>
    <w:tmpl w:val="5F0A9D7A"/>
    <w:lvl w:ilvl="0">
      <w:start w:val="1"/>
      <w:numFmt w:val="decimal"/>
      <w:pStyle w:val="BriefingBriefing"/>
      <w:lvlText w:val="%1"/>
      <w:lvlJc w:val="left"/>
      <w:pPr>
        <w:ind w:left="432" w:hanging="432"/>
      </w:pPr>
      <w:rPr>
        <w:rFonts w:hint="default"/>
      </w:rPr>
    </w:lvl>
    <w:lvl w:ilvl="1">
      <w:start w:val="1"/>
      <w:numFmt w:val="decimal"/>
      <w:pStyle w:val="BriefingCrosshead"/>
      <w:lvlText w:val="%1.%2"/>
      <w:lvlJc w:val="left"/>
      <w:pPr>
        <w:ind w:left="720" w:hanging="720"/>
      </w:pPr>
      <w:rPr>
        <w:rFonts w:hint="default"/>
      </w:rPr>
    </w:lvl>
    <w:lvl w:ilvl="2">
      <w:start w:val="1"/>
      <w:numFmt w:val="decimal"/>
      <w:pStyle w:val="BriefingBodyText"/>
      <w:lvlText w:val="%1.%2.%3"/>
      <w:lvlJc w:val="left"/>
      <w:pPr>
        <w:ind w:left="720" w:hanging="720"/>
      </w:pPr>
      <w:rPr>
        <w:rFonts w:hint="default"/>
      </w:rPr>
    </w:lvl>
    <w:lvl w:ilvl="3">
      <w:start w:val="1"/>
      <w:numFmt w:val="decimal"/>
      <w:pStyle w:val="Heading4"/>
      <w:lvlText w:val="%1.%2.%3.%4"/>
      <w:lvlJc w:val="left"/>
      <w:pPr>
        <w:ind w:left="720" w:hanging="720"/>
      </w:pPr>
      <w:rPr>
        <w:rFonts w:hint="default"/>
        <w:b w:val="0"/>
        <w:bCs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nsid w:val="3A697B76"/>
    <w:multiLevelType w:val="multilevel"/>
    <w:tmpl w:val="5B8C64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3C415A10"/>
    <w:multiLevelType w:val="hybridMultilevel"/>
    <w:tmpl w:val="C5FCD4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455E6848"/>
    <w:multiLevelType w:val="hybridMultilevel"/>
    <w:tmpl w:val="CD7244C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7">
    <w:nsid w:val="4A170859"/>
    <w:multiLevelType w:val="hybridMultilevel"/>
    <w:tmpl w:val="FA90EA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4ADA44A7"/>
    <w:multiLevelType w:val="hybridMultilevel"/>
    <w:tmpl w:val="0C86D3F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4BAA7582"/>
    <w:multiLevelType w:val="hybridMultilevel"/>
    <w:tmpl w:val="B9463B7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1100E01"/>
    <w:multiLevelType w:val="hybridMultilevel"/>
    <w:tmpl w:val="54E8A3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511019C0"/>
    <w:multiLevelType w:val="hybridMultilevel"/>
    <w:tmpl w:val="0F5222F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51655410"/>
    <w:multiLevelType w:val="hybridMultilevel"/>
    <w:tmpl w:val="28A23DB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5360486E"/>
    <w:multiLevelType w:val="hybridMultilevel"/>
    <w:tmpl w:val="D3C244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57663869"/>
    <w:multiLevelType w:val="hybridMultilevel"/>
    <w:tmpl w:val="97AAB8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5920718D"/>
    <w:multiLevelType w:val="hybridMultilevel"/>
    <w:tmpl w:val="07CED388"/>
    <w:lvl w:ilvl="0">
      <w:start w:val="1"/>
      <w:numFmt w:val="bullet"/>
      <w:lvlText w:val=""/>
      <w:lvlJc w:val="left"/>
      <w:pPr>
        <w:ind w:left="768" w:hanging="360"/>
      </w:pPr>
      <w:rPr>
        <w:rFonts w:ascii="Symbol" w:hAnsi="Symbol" w:hint="default"/>
      </w:rPr>
    </w:lvl>
    <w:lvl w:ilvl="1" w:tentative="1">
      <w:start w:val="1"/>
      <w:numFmt w:val="bullet"/>
      <w:lvlText w:val="o"/>
      <w:lvlJc w:val="left"/>
      <w:pPr>
        <w:ind w:left="1488" w:hanging="360"/>
      </w:pPr>
      <w:rPr>
        <w:rFonts w:ascii="Courier New" w:hAnsi="Courier New" w:cs="Courier New" w:hint="default"/>
      </w:rPr>
    </w:lvl>
    <w:lvl w:ilvl="2" w:tentative="1">
      <w:start w:val="1"/>
      <w:numFmt w:val="bullet"/>
      <w:lvlText w:val=""/>
      <w:lvlJc w:val="left"/>
      <w:pPr>
        <w:ind w:left="2208" w:hanging="360"/>
      </w:pPr>
      <w:rPr>
        <w:rFonts w:ascii="Wingdings" w:hAnsi="Wingdings" w:hint="default"/>
      </w:rPr>
    </w:lvl>
    <w:lvl w:ilvl="3" w:tentative="1">
      <w:start w:val="1"/>
      <w:numFmt w:val="bullet"/>
      <w:lvlText w:val=""/>
      <w:lvlJc w:val="left"/>
      <w:pPr>
        <w:ind w:left="2928" w:hanging="360"/>
      </w:pPr>
      <w:rPr>
        <w:rFonts w:ascii="Symbol" w:hAnsi="Symbol" w:hint="default"/>
      </w:rPr>
    </w:lvl>
    <w:lvl w:ilvl="4" w:tentative="1">
      <w:start w:val="1"/>
      <w:numFmt w:val="bullet"/>
      <w:lvlText w:val="o"/>
      <w:lvlJc w:val="left"/>
      <w:pPr>
        <w:ind w:left="3648" w:hanging="360"/>
      </w:pPr>
      <w:rPr>
        <w:rFonts w:ascii="Courier New" w:hAnsi="Courier New" w:cs="Courier New" w:hint="default"/>
      </w:rPr>
    </w:lvl>
    <w:lvl w:ilvl="5" w:tentative="1">
      <w:start w:val="1"/>
      <w:numFmt w:val="bullet"/>
      <w:lvlText w:val=""/>
      <w:lvlJc w:val="left"/>
      <w:pPr>
        <w:ind w:left="4368" w:hanging="360"/>
      </w:pPr>
      <w:rPr>
        <w:rFonts w:ascii="Wingdings" w:hAnsi="Wingdings" w:hint="default"/>
      </w:rPr>
    </w:lvl>
    <w:lvl w:ilvl="6" w:tentative="1">
      <w:start w:val="1"/>
      <w:numFmt w:val="bullet"/>
      <w:lvlText w:val=""/>
      <w:lvlJc w:val="left"/>
      <w:pPr>
        <w:ind w:left="5088" w:hanging="360"/>
      </w:pPr>
      <w:rPr>
        <w:rFonts w:ascii="Symbol" w:hAnsi="Symbol" w:hint="default"/>
      </w:rPr>
    </w:lvl>
    <w:lvl w:ilvl="7" w:tentative="1">
      <w:start w:val="1"/>
      <w:numFmt w:val="bullet"/>
      <w:lvlText w:val="o"/>
      <w:lvlJc w:val="left"/>
      <w:pPr>
        <w:ind w:left="5808" w:hanging="360"/>
      </w:pPr>
      <w:rPr>
        <w:rFonts w:ascii="Courier New" w:hAnsi="Courier New" w:cs="Courier New" w:hint="default"/>
      </w:rPr>
    </w:lvl>
    <w:lvl w:ilvl="8" w:tentative="1">
      <w:start w:val="1"/>
      <w:numFmt w:val="bullet"/>
      <w:lvlText w:val=""/>
      <w:lvlJc w:val="left"/>
      <w:pPr>
        <w:ind w:left="6528" w:hanging="360"/>
      </w:pPr>
      <w:rPr>
        <w:rFonts w:ascii="Wingdings" w:hAnsi="Wingdings" w:hint="default"/>
      </w:rPr>
    </w:lvl>
  </w:abstractNum>
  <w:abstractNum w:abstractNumId="36">
    <w:nsid w:val="620D577B"/>
    <w:multiLevelType w:val="multilevel"/>
    <w:tmpl w:val="CA4416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nsid w:val="64AE330A"/>
    <w:multiLevelType w:val="multilevel"/>
    <w:tmpl w:val="9A8A2E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nsid w:val="6AEC2213"/>
    <w:multiLevelType w:val="hybridMultilevel"/>
    <w:tmpl w:val="CBBA2B7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6B282C0A"/>
    <w:multiLevelType w:val="multilevel"/>
    <w:tmpl w:val="56B018E0"/>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BA1562A"/>
    <w:multiLevelType w:val="hybridMultilevel"/>
    <w:tmpl w:val="2558EF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6D0A683D"/>
    <w:multiLevelType w:val="hybridMultilevel"/>
    <w:tmpl w:val="0C5448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6F46315A"/>
    <w:multiLevelType w:val="hybridMultilevel"/>
    <w:tmpl w:val="73260B5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6F473976"/>
    <w:multiLevelType w:val="hybridMultilevel"/>
    <w:tmpl w:val="A4DE5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6FD16B9C"/>
    <w:multiLevelType w:val="hybridMultilevel"/>
    <w:tmpl w:val="2D383A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nsid w:val="78CC7041"/>
    <w:multiLevelType w:val="hybridMultilevel"/>
    <w:tmpl w:val="9F0ABB7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78E24626"/>
    <w:multiLevelType w:val="hybridMultilevel"/>
    <w:tmpl w:val="A29CD2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1"/>
  </w:num>
  <w:num w:numId="2">
    <w:abstractNumId w:val="37"/>
  </w:num>
  <w:num w:numId="3">
    <w:abstractNumId w:val="12"/>
  </w:num>
  <w:num w:numId="4">
    <w:abstractNumId w:val="36"/>
  </w:num>
  <w:num w:numId="5">
    <w:abstractNumId w:val="24"/>
  </w:num>
  <w:num w:numId="6">
    <w:abstractNumId w:val="2"/>
  </w:num>
  <w:num w:numId="7">
    <w:abstractNumId w:val="18"/>
  </w:num>
  <w:num w:numId="8">
    <w:abstractNumId w:val="4"/>
  </w:num>
  <w:num w:numId="9">
    <w:abstractNumId w:val="1"/>
  </w:num>
  <w:num w:numId="10">
    <w:abstractNumId w:val="39"/>
  </w:num>
  <w:num w:numId="11">
    <w:abstractNumId w:val="27"/>
  </w:num>
  <w:num w:numId="12">
    <w:abstractNumId w:val="41"/>
  </w:num>
  <w:num w:numId="13">
    <w:abstractNumId w:val="32"/>
  </w:num>
  <w:num w:numId="14">
    <w:abstractNumId w:val="20"/>
  </w:num>
  <w:num w:numId="15">
    <w:abstractNumId w:val="8"/>
  </w:num>
  <w:num w:numId="16">
    <w:abstractNumId w:val="38"/>
  </w:num>
  <w:num w:numId="17">
    <w:abstractNumId w:val="30"/>
  </w:num>
  <w:num w:numId="18">
    <w:abstractNumId w:val="19"/>
  </w:num>
  <w:num w:numId="19">
    <w:abstractNumId w:val="33"/>
  </w:num>
  <w:num w:numId="20">
    <w:abstractNumId w:val="5"/>
  </w:num>
  <w:num w:numId="21">
    <w:abstractNumId w:val="43"/>
  </w:num>
  <w:num w:numId="22">
    <w:abstractNumId w:val="16"/>
  </w:num>
  <w:num w:numId="23">
    <w:abstractNumId w:val="9"/>
  </w:num>
  <w:num w:numId="24">
    <w:abstractNumId w:val="25"/>
  </w:num>
  <w:num w:numId="25">
    <w:abstractNumId w:val="28"/>
  </w:num>
  <w:num w:numId="26">
    <w:abstractNumId w:val="0"/>
  </w:num>
  <w:num w:numId="27">
    <w:abstractNumId w:val="11"/>
  </w:num>
  <w:num w:numId="28">
    <w:abstractNumId w:val="35"/>
  </w:num>
  <w:num w:numId="29">
    <w:abstractNumId w:val="22"/>
  </w:num>
  <w:num w:numId="30">
    <w:abstractNumId w:val="40"/>
  </w:num>
  <w:num w:numId="31">
    <w:abstractNumId w:val="44"/>
  </w:num>
  <w:num w:numId="32">
    <w:abstractNumId w:val="46"/>
  </w:num>
  <w:num w:numId="33">
    <w:abstractNumId w:val="14"/>
  </w:num>
  <w:num w:numId="34">
    <w:abstractNumId w:val="34"/>
  </w:num>
  <w:num w:numId="35">
    <w:abstractNumId w:val="13"/>
  </w:num>
  <w:num w:numId="36">
    <w:abstractNumId w:val="29"/>
  </w:num>
  <w:num w:numId="37">
    <w:abstractNumId w:val="17"/>
  </w:num>
  <w:num w:numId="38">
    <w:abstractNumId w:val="15"/>
  </w:num>
  <w:num w:numId="39">
    <w:abstractNumId w:val="31"/>
  </w:num>
  <w:num w:numId="40">
    <w:abstractNumId w:val="10"/>
  </w:num>
  <w:num w:numId="41">
    <w:abstractNumId w:val="6"/>
  </w:num>
  <w:num w:numId="42">
    <w:abstractNumId w:val="3"/>
  </w:num>
  <w:num w:numId="43">
    <w:abstractNumId w:val="45"/>
  </w:num>
  <w:num w:numId="44">
    <w:abstractNumId w:val="42"/>
  </w:num>
  <w:num w:numId="45">
    <w:abstractNumId w:val="7"/>
  </w:num>
  <w:num w:numId="46">
    <w:abstractNumId w:val="23"/>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stylePaneFormatFilter w:val="3F21" w:allStyles="1" w:alternateStyleNames="0" w:clearFormatting="1" w:customStyles="0" w:directFormattingOnNumbering="1" w:directFormattingOnParagraphs="1" w:directFormattingOnRuns="1" w:directFormattingOnTables="1" w:headingStyles="1" w:latentStyles="0" w:numberingStyles="0" w:stylesInUse="0" w:tableStyles="0" w:top3HeadingStyles="1" w:visibleStyles="0"/>
  <w:doNotTrackMoves/>
  <w:defaultTabStop w:val="720"/>
  <w:drawingGridHorizontalSpacing w:val="181"/>
  <w:drawingGridVerticalSpacing w:val="181"/>
  <w:doNotUseMarginsForDrawingGridOrigin/>
  <w:drawingGridHorizontalOrigin w:val="0"/>
  <w:drawingGridVerticalOrigin w:val="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3779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10F8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3398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link w:val="Heading4Char"/>
    <w:uiPriority w:val="9"/>
    <w:qFormat/>
    <w:rsid w:val="00CE0F4B"/>
    <w:pPr>
      <w:numPr>
        <w:ilvl w:val="3"/>
        <w:numId w:val="46"/>
      </w:numPr>
      <w:spacing w:before="100" w:beforeAutospacing="1" w:after="100" w:afterAutospacing="1"/>
      <w:outlineLvl w:val="3"/>
    </w:pPr>
    <w:rPr>
      <w:rFonts w:ascii="Times New Roman" w:eastAsia="Times New Roman" w:hAnsi="Times New Roman" w:cs="Times New Roman"/>
      <w:b/>
      <w:bCs/>
      <w:lang w:eastAsia="ja-JP"/>
    </w:rPr>
  </w:style>
  <w:style w:type="paragraph" w:styleId="Heading5">
    <w:name w:val="heading 5"/>
    <w:basedOn w:val="Normal"/>
    <w:next w:val="Normal"/>
    <w:link w:val="Heading5Char"/>
    <w:uiPriority w:val="9"/>
    <w:unhideWhenUsed/>
    <w:qFormat/>
    <w:rsid w:val="00197FA6"/>
    <w:pPr>
      <w:keepNext/>
      <w:keepLines/>
      <w:numPr>
        <w:ilvl w:val="4"/>
        <w:numId w:val="46"/>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197FA6"/>
    <w:pPr>
      <w:keepNext/>
      <w:keepLines/>
      <w:numPr>
        <w:ilvl w:val="5"/>
        <w:numId w:val="46"/>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197FA6"/>
    <w:pPr>
      <w:keepNext/>
      <w:keepLines/>
      <w:numPr>
        <w:ilvl w:val="6"/>
        <w:numId w:val="4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97FA6"/>
    <w:pPr>
      <w:keepNext/>
      <w:keepLines/>
      <w:numPr>
        <w:ilvl w:val="7"/>
        <w:numId w:val="4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97FA6"/>
    <w:pPr>
      <w:keepNext/>
      <w:keepLines/>
      <w:numPr>
        <w:ilvl w:val="8"/>
        <w:numId w:val="4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ap">
    <w:name w:val="Gap"/>
    <w:basedOn w:val="Normal"/>
    <w:autoRedefine/>
    <w:qFormat/>
    <w:rsid w:val="007B62C0"/>
    <w:rPr>
      <w:rFonts w:ascii="Calibri" w:eastAsia="MS Mincho" w:hAnsi="Calibri" w:cs="Times New Roman"/>
      <w:color w:val="888B8D"/>
      <w:sz w:val="16"/>
      <w:szCs w:val="16"/>
    </w:rPr>
  </w:style>
  <w:style w:type="paragraph" w:styleId="Header">
    <w:name w:val="header"/>
    <w:basedOn w:val="Normal"/>
    <w:link w:val="HeaderChar"/>
    <w:uiPriority w:val="99"/>
    <w:unhideWhenUsed/>
    <w:rsid w:val="00A0515C"/>
    <w:pPr>
      <w:tabs>
        <w:tab w:val="center" w:pos="4320"/>
        <w:tab w:val="right" w:pos="8640"/>
      </w:tabs>
    </w:pPr>
  </w:style>
  <w:style w:type="character" w:customStyle="1" w:styleId="HeaderChar">
    <w:name w:val="Header Char"/>
    <w:basedOn w:val="DefaultParagraphFont"/>
    <w:link w:val="Header"/>
    <w:uiPriority w:val="99"/>
    <w:rsid w:val="00A0515C"/>
  </w:style>
  <w:style w:type="paragraph" w:styleId="Footer">
    <w:name w:val="footer"/>
    <w:basedOn w:val="Normal"/>
    <w:link w:val="FooterChar"/>
    <w:uiPriority w:val="99"/>
    <w:unhideWhenUsed/>
    <w:rsid w:val="00A0515C"/>
    <w:pPr>
      <w:tabs>
        <w:tab w:val="center" w:pos="4320"/>
        <w:tab w:val="right" w:pos="8640"/>
      </w:tabs>
    </w:pPr>
  </w:style>
  <w:style w:type="character" w:customStyle="1" w:styleId="FooterChar">
    <w:name w:val="Footer Char"/>
    <w:basedOn w:val="DefaultParagraphFont"/>
    <w:link w:val="Footer"/>
    <w:uiPriority w:val="99"/>
    <w:rsid w:val="00A0515C"/>
  </w:style>
  <w:style w:type="paragraph" w:styleId="BalloonText">
    <w:name w:val="Balloon Text"/>
    <w:basedOn w:val="Normal"/>
    <w:link w:val="BalloonTextChar"/>
    <w:uiPriority w:val="99"/>
    <w:semiHidden/>
    <w:unhideWhenUsed/>
    <w:rsid w:val="00A051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515C"/>
    <w:rPr>
      <w:rFonts w:ascii="Lucida Grande" w:hAnsi="Lucida Grande" w:cs="Lucida Grande"/>
      <w:sz w:val="18"/>
      <w:szCs w:val="18"/>
    </w:rPr>
  </w:style>
  <w:style w:type="paragraph" w:customStyle="1" w:styleId="BasicParagraph">
    <w:name w:val="[Basic Paragraph]"/>
    <w:basedOn w:val="Normal"/>
    <w:uiPriority w:val="99"/>
    <w:rsid w:val="00C75140"/>
    <w:pPr>
      <w:widowControl w:val="0"/>
      <w:suppressAutoHyphens/>
      <w:autoSpaceDE w:val="0"/>
      <w:autoSpaceDN w:val="0"/>
      <w:adjustRightInd w:val="0"/>
      <w:spacing w:line="200" w:lineRule="atLeast"/>
      <w:textAlignment w:val="center"/>
    </w:pPr>
    <w:rPr>
      <w:rFonts w:ascii="Helvetica" w:hAnsi="Helvetica" w:cs="Helvetica"/>
      <w:color w:val="000000"/>
      <w:sz w:val="20"/>
      <w:szCs w:val="20"/>
    </w:rPr>
  </w:style>
  <w:style w:type="paragraph" w:customStyle="1" w:styleId="BriefingCrosshead">
    <w:name w:val="Briefing Crosshead"/>
    <w:next w:val="BriefingBodyText"/>
    <w:qFormat/>
    <w:rsid w:val="00090085"/>
    <w:pPr>
      <w:keepNext/>
      <w:numPr>
        <w:ilvl w:val="1"/>
        <w:numId w:val="46"/>
      </w:numPr>
    </w:pPr>
    <w:rPr>
      <w:rFonts w:ascii="Poppins SemiBold" w:hAnsi="Poppins SemiBold" w:cs="Poppins SemiBold"/>
      <w:noProof/>
      <w:color w:val="50569F"/>
    </w:rPr>
  </w:style>
  <w:style w:type="paragraph" w:customStyle="1" w:styleId="BriefingPullout">
    <w:name w:val="Briefing Pullout"/>
    <w:basedOn w:val="Normal"/>
    <w:autoRedefine/>
    <w:qFormat/>
    <w:rsid w:val="00175788"/>
    <w:pPr>
      <w:spacing w:before="60" w:after="240"/>
    </w:pPr>
    <w:rPr>
      <w:rFonts w:ascii="Poppins SemiBold" w:hAnsi="Poppins SemiBold" w:cs="Poppins SemiBold"/>
      <w:color w:val="000000" w:themeColor="text1"/>
      <w:sz w:val="26"/>
      <w:szCs w:val="26"/>
    </w:rPr>
  </w:style>
  <w:style w:type="paragraph" w:customStyle="1" w:styleId="BriefingBodyText">
    <w:name w:val="Briefing Body Text"/>
    <w:basedOn w:val="Normal"/>
    <w:qFormat/>
    <w:rsid w:val="003C08BE"/>
    <w:pPr>
      <w:numPr>
        <w:ilvl w:val="2"/>
        <w:numId w:val="46"/>
      </w:numPr>
      <w:snapToGrid w:val="0"/>
      <w:spacing w:before="60" w:after="200"/>
    </w:pPr>
    <w:rPr>
      <w:rFonts w:ascii="Poppins" w:hAnsi="Poppins" w:cs="Poppins"/>
      <w:sz w:val="17"/>
      <w:szCs w:val="17"/>
    </w:rPr>
  </w:style>
  <w:style w:type="paragraph" w:customStyle="1" w:styleId="BriefingBriefing">
    <w:name w:val="Briefing Briefing"/>
    <w:basedOn w:val="BriefingPullout"/>
    <w:qFormat/>
    <w:rsid w:val="00E12FE3"/>
    <w:pPr>
      <w:numPr>
        <w:numId w:val="46"/>
      </w:numPr>
      <w:pBdr>
        <w:top w:val="single" w:sz="4" w:space="1" w:color="0092D2"/>
      </w:pBdr>
      <w:snapToGrid w:val="0"/>
      <w:spacing w:after="0"/>
    </w:pPr>
    <w:rPr>
      <w:rFonts w:ascii="Poppins" w:hAnsi="Poppins" w:cs="Poppins"/>
      <w:bCs/>
      <w:color w:val="50569F"/>
      <w:sz w:val="36"/>
    </w:rPr>
  </w:style>
  <w:style w:type="paragraph" w:customStyle="1" w:styleId="BriefingStandfirst">
    <w:name w:val="Briefing Standfirst"/>
    <w:basedOn w:val="BasicParagraph"/>
    <w:qFormat/>
    <w:rsid w:val="00512C60"/>
    <w:pPr>
      <w:widowControl/>
      <w:spacing w:before="100" w:after="360" w:line="240" w:lineRule="auto"/>
    </w:pPr>
    <w:rPr>
      <w:rFonts w:ascii="Poppins" w:hAnsi="Poppins" w:cs="Poppins"/>
      <w:spacing w:val="-5"/>
      <w:sz w:val="30"/>
      <w:szCs w:val="30"/>
    </w:rPr>
  </w:style>
  <w:style w:type="paragraph" w:styleId="FootnoteText">
    <w:name w:val="footnote text"/>
    <w:basedOn w:val="Normal"/>
    <w:link w:val="FootnoteTextChar"/>
    <w:uiPriority w:val="99"/>
    <w:unhideWhenUsed/>
    <w:rsid w:val="00DF0FB7"/>
    <w:rPr>
      <w:rFonts w:ascii="Poppins" w:hAnsi="Poppins" w:cs="Poppins"/>
      <w:sz w:val="14"/>
      <w:szCs w:val="14"/>
    </w:rPr>
  </w:style>
  <w:style w:type="character" w:customStyle="1" w:styleId="FootnoteTextChar">
    <w:name w:val="Footnote Text Char"/>
    <w:basedOn w:val="DefaultParagraphFont"/>
    <w:link w:val="FootnoteText"/>
    <w:uiPriority w:val="99"/>
    <w:rsid w:val="00DF0FB7"/>
    <w:rPr>
      <w:rFonts w:ascii="Poppins" w:hAnsi="Poppins" w:cs="Poppins"/>
      <w:sz w:val="14"/>
      <w:szCs w:val="14"/>
    </w:rPr>
  </w:style>
  <w:style w:type="character" w:styleId="FootnoteReference">
    <w:name w:val="footnote reference"/>
    <w:basedOn w:val="DefaultParagraphFont"/>
    <w:uiPriority w:val="99"/>
    <w:unhideWhenUsed/>
    <w:rsid w:val="00DF0FB7"/>
    <w:rPr>
      <w:sz w:val="20"/>
      <w:szCs w:val="20"/>
      <w:vertAlign w:val="superscript"/>
    </w:rPr>
  </w:style>
  <w:style w:type="character" w:styleId="PageNumber">
    <w:name w:val="page number"/>
    <w:basedOn w:val="DefaultParagraphFont"/>
    <w:uiPriority w:val="99"/>
    <w:semiHidden/>
    <w:unhideWhenUsed/>
    <w:rsid w:val="00F123DC"/>
  </w:style>
  <w:style w:type="paragraph" w:customStyle="1" w:styleId="BriefingHeading">
    <w:name w:val="Briefing Heading"/>
    <w:basedOn w:val="BasicParagraph"/>
    <w:qFormat/>
    <w:rsid w:val="00002C47"/>
    <w:pPr>
      <w:spacing w:before="40" w:after="60" w:line="240" w:lineRule="auto"/>
    </w:pPr>
    <w:rPr>
      <w:rFonts w:ascii="Poppins" w:hAnsi="Poppins" w:cs="Poppins"/>
      <w:b/>
      <w:bCs/>
      <w:spacing w:val="-5"/>
      <w:sz w:val="54"/>
      <w:szCs w:val="54"/>
    </w:rPr>
  </w:style>
  <w:style w:type="character" w:styleId="Hyperlink">
    <w:name w:val="Hyperlink"/>
    <w:basedOn w:val="DefaultParagraphFont"/>
    <w:uiPriority w:val="99"/>
    <w:unhideWhenUsed/>
    <w:rsid w:val="00ED4B43"/>
    <w:rPr>
      <w:color w:val="0000FF" w:themeColor="hyperlink"/>
      <w:u w:val="single"/>
    </w:rPr>
  </w:style>
  <w:style w:type="character" w:customStyle="1" w:styleId="UnresolvedMention1">
    <w:name w:val="Unresolved Mention1"/>
    <w:basedOn w:val="DefaultParagraphFont"/>
    <w:uiPriority w:val="99"/>
    <w:semiHidden/>
    <w:unhideWhenUsed/>
    <w:rsid w:val="00ED4B43"/>
    <w:rPr>
      <w:color w:val="605E5C"/>
      <w:shd w:val="clear" w:color="auto" w:fill="E1DFDD"/>
    </w:rPr>
  </w:style>
  <w:style w:type="character" w:customStyle="1" w:styleId="Heading4Char">
    <w:name w:val="Heading 4 Char"/>
    <w:basedOn w:val="DefaultParagraphFont"/>
    <w:link w:val="Heading4"/>
    <w:uiPriority w:val="9"/>
    <w:rsid w:val="00CE0F4B"/>
    <w:rPr>
      <w:rFonts w:ascii="Times New Roman" w:eastAsia="Times New Roman" w:hAnsi="Times New Roman" w:cs="Times New Roman"/>
      <w:b/>
      <w:bCs/>
      <w:lang w:val="en-GB" w:eastAsia="ja-JP"/>
    </w:rPr>
  </w:style>
  <w:style w:type="character" w:customStyle="1" w:styleId="Heading3Char">
    <w:name w:val="Heading 3 Char"/>
    <w:basedOn w:val="DefaultParagraphFont"/>
    <w:link w:val="Heading3"/>
    <w:uiPriority w:val="9"/>
    <w:semiHidden/>
    <w:rsid w:val="0063398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E740A0"/>
    <w:rPr>
      <w:sz w:val="16"/>
      <w:szCs w:val="16"/>
    </w:rPr>
  </w:style>
  <w:style w:type="paragraph" w:styleId="CommentText">
    <w:name w:val="annotation text"/>
    <w:basedOn w:val="Normal"/>
    <w:link w:val="CommentTextChar"/>
    <w:uiPriority w:val="99"/>
    <w:unhideWhenUsed/>
    <w:rsid w:val="00E740A0"/>
    <w:rPr>
      <w:sz w:val="20"/>
      <w:szCs w:val="20"/>
    </w:rPr>
  </w:style>
  <w:style w:type="character" w:customStyle="1" w:styleId="CommentTextChar">
    <w:name w:val="Comment Text Char"/>
    <w:basedOn w:val="DefaultParagraphFont"/>
    <w:link w:val="CommentText"/>
    <w:uiPriority w:val="99"/>
    <w:rsid w:val="00E740A0"/>
    <w:rPr>
      <w:sz w:val="20"/>
      <w:szCs w:val="20"/>
    </w:rPr>
  </w:style>
  <w:style w:type="paragraph" w:styleId="CommentSubject">
    <w:name w:val="annotation subject"/>
    <w:basedOn w:val="CommentText"/>
    <w:next w:val="CommentText"/>
    <w:link w:val="CommentSubjectChar"/>
    <w:uiPriority w:val="99"/>
    <w:semiHidden/>
    <w:unhideWhenUsed/>
    <w:rsid w:val="00E740A0"/>
    <w:rPr>
      <w:b/>
      <w:bCs/>
    </w:rPr>
  </w:style>
  <w:style w:type="character" w:customStyle="1" w:styleId="CommentSubjectChar">
    <w:name w:val="Comment Subject Char"/>
    <w:basedOn w:val="CommentTextChar"/>
    <w:link w:val="CommentSubject"/>
    <w:uiPriority w:val="99"/>
    <w:semiHidden/>
    <w:rsid w:val="00E740A0"/>
    <w:rPr>
      <w:b/>
      <w:bCs/>
      <w:sz w:val="20"/>
      <w:szCs w:val="20"/>
    </w:rPr>
  </w:style>
  <w:style w:type="paragraph" w:styleId="Revision">
    <w:name w:val="Revision"/>
    <w:hidden/>
    <w:uiPriority w:val="99"/>
    <w:semiHidden/>
    <w:rsid w:val="006D6B3D"/>
  </w:style>
  <w:style w:type="character" w:customStyle="1" w:styleId="Heading2Char">
    <w:name w:val="Heading 2 Char"/>
    <w:basedOn w:val="DefaultParagraphFont"/>
    <w:link w:val="Heading2"/>
    <w:uiPriority w:val="9"/>
    <w:rsid w:val="00410F8F"/>
    <w:rPr>
      <w:rFonts w:asciiTheme="majorHAnsi" w:eastAsiaTheme="majorEastAsia" w:hAnsiTheme="majorHAnsi" w:cstheme="majorBidi"/>
      <w:color w:val="365F91" w:themeColor="accent1" w:themeShade="BF"/>
      <w:sz w:val="26"/>
      <w:szCs w:val="26"/>
    </w:rPr>
  </w:style>
  <w:style w:type="paragraph" w:customStyle="1" w:styleId="paragraph">
    <w:name w:val="paragraph"/>
    <w:basedOn w:val="Normal"/>
    <w:rsid w:val="0070789F"/>
    <w:pPr>
      <w:spacing w:before="100" w:beforeAutospacing="1" w:after="100" w:afterAutospacing="1"/>
    </w:pPr>
    <w:rPr>
      <w:rFonts w:ascii="Times New Roman" w:eastAsia="Times New Roman" w:hAnsi="Times New Roman" w:cs="Times New Roman"/>
      <w:lang w:eastAsia="ja-JP"/>
    </w:rPr>
  </w:style>
  <w:style w:type="character" w:customStyle="1" w:styleId="normaltextrun">
    <w:name w:val="normaltextrun"/>
    <w:basedOn w:val="DefaultParagraphFont"/>
    <w:rsid w:val="0070789F"/>
  </w:style>
  <w:style w:type="character" w:customStyle="1" w:styleId="eop">
    <w:name w:val="eop"/>
    <w:basedOn w:val="DefaultParagraphFont"/>
    <w:rsid w:val="0070789F"/>
  </w:style>
  <w:style w:type="character" w:styleId="FollowedHyperlink">
    <w:name w:val="FollowedHyperlink"/>
    <w:basedOn w:val="DefaultParagraphFont"/>
    <w:uiPriority w:val="99"/>
    <w:semiHidden/>
    <w:unhideWhenUsed/>
    <w:rsid w:val="0050386D"/>
    <w:rPr>
      <w:color w:val="800080" w:themeColor="followedHyperlink"/>
      <w:u w:val="single"/>
    </w:rPr>
  </w:style>
  <w:style w:type="character" w:customStyle="1" w:styleId="Heading1Char">
    <w:name w:val="Heading 1 Char"/>
    <w:basedOn w:val="DefaultParagraphFont"/>
    <w:link w:val="Heading1"/>
    <w:uiPriority w:val="9"/>
    <w:rsid w:val="0023779E"/>
    <w:rPr>
      <w:rFonts w:asciiTheme="majorHAnsi" w:eastAsiaTheme="majorEastAsia" w:hAnsiTheme="majorHAnsi" w:cstheme="majorBidi"/>
      <w:color w:val="365F91" w:themeColor="accent1" w:themeShade="BF"/>
      <w:sz w:val="32"/>
      <w:szCs w:val="32"/>
      <w:lang w:val="en-GB"/>
    </w:rPr>
  </w:style>
  <w:style w:type="paragraph" w:styleId="ListParagraph">
    <w:name w:val="List Paragraph"/>
    <w:aliases w:val="Bullet 1,Bullet Points,Colorful List - Accent 11,Dot pt,F5 List Paragraph,Indicator Text,L,List Paragraph Char Char Char,List Paragraph Report,List Paragraph1,List Paragraph12,List Paragraph2,MAIN CONTENT,No Spacing1,Numbered Para 1"/>
    <w:basedOn w:val="Normal"/>
    <w:link w:val="ListParagraphChar"/>
    <w:uiPriority w:val="34"/>
    <w:qFormat/>
    <w:rsid w:val="00430C5A"/>
    <w:pPr>
      <w:ind w:left="720"/>
      <w:contextualSpacing/>
    </w:pPr>
    <w:rPr>
      <w:rFonts w:ascii="Arial" w:eastAsia="Times New Roman" w:hAnsi="Arial" w:cs="Times New Roman"/>
      <w:szCs w:val="20"/>
    </w:rPr>
  </w:style>
  <w:style w:type="character" w:customStyle="1" w:styleId="ListParagraphChar">
    <w:name w:val="List Paragraph Char"/>
    <w:aliases w:val="Bullet 1 Char,Bullet Points Char,Colorful List - Accent 11 Char,Dot pt Char,F5 List Paragraph Char,Indicator Text Char,L Char,List Paragraph Char Char Char Char,List Paragraph Report Char,List Paragraph1 Char,List Paragraph12 Char"/>
    <w:link w:val="ListParagraph"/>
    <w:uiPriority w:val="34"/>
    <w:qFormat/>
    <w:locked/>
    <w:rsid w:val="00430C5A"/>
    <w:rPr>
      <w:rFonts w:ascii="Arial" w:eastAsia="Times New Roman" w:hAnsi="Arial" w:cs="Times New Roman"/>
      <w:szCs w:val="20"/>
      <w:lang w:val="en-GB"/>
    </w:rPr>
  </w:style>
  <w:style w:type="table" w:styleId="TableGrid">
    <w:name w:val="Table Grid"/>
    <w:basedOn w:val="TableNormal"/>
    <w:uiPriority w:val="39"/>
    <w:rsid w:val="00430C5A"/>
    <w:rPr>
      <w:rFonts w:eastAsia="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197FA6"/>
    <w:rPr>
      <w:rFonts w:asciiTheme="majorHAnsi" w:eastAsiaTheme="majorEastAsia" w:hAnsiTheme="majorHAnsi" w:cstheme="majorBidi"/>
      <w:color w:val="365F91" w:themeColor="accent1" w:themeShade="BF"/>
      <w:lang w:val="en-GB"/>
    </w:rPr>
  </w:style>
  <w:style w:type="character" w:customStyle="1" w:styleId="Heading6Char">
    <w:name w:val="Heading 6 Char"/>
    <w:basedOn w:val="DefaultParagraphFont"/>
    <w:link w:val="Heading6"/>
    <w:uiPriority w:val="9"/>
    <w:rsid w:val="00197FA6"/>
    <w:rPr>
      <w:rFonts w:asciiTheme="majorHAnsi" w:eastAsiaTheme="majorEastAsia" w:hAnsiTheme="majorHAnsi" w:cstheme="majorBidi"/>
      <w:color w:val="243F60" w:themeColor="accent1" w:themeShade="7F"/>
      <w:lang w:val="en-GB"/>
    </w:rPr>
  </w:style>
  <w:style w:type="character" w:customStyle="1" w:styleId="Heading7Char">
    <w:name w:val="Heading 7 Char"/>
    <w:basedOn w:val="DefaultParagraphFont"/>
    <w:link w:val="Heading7"/>
    <w:uiPriority w:val="9"/>
    <w:rsid w:val="00197FA6"/>
    <w:rPr>
      <w:rFonts w:asciiTheme="majorHAnsi" w:eastAsiaTheme="majorEastAsia" w:hAnsiTheme="majorHAnsi" w:cstheme="majorBidi"/>
      <w:i/>
      <w:iCs/>
      <w:color w:val="243F60" w:themeColor="accent1" w:themeShade="7F"/>
      <w:lang w:val="en-GB"/>
    </w:rPr>
  </w:style>
  <w:style w:type="character" w:customStyle="1" w:styleId="Heading8Char">
    <w:name w:val="Heading 8 Char"/>
    <w:basedOn w:val="DefaultParagraphFont"/>
    <w:link w:val="Heading8"/>
    <w:uiPriority w:val="9"/>
    <w:semiHidden/>
    <w:rsid w:val="00197FA6"/>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197FA6"/>
    <w:rPr>
      <w:rFonts w:asciiTheme="majorHAnsi" w:eastAsiaTheme="majorEastAsia" w:hAnsiTheme="majorHAnsi" w:cstheme="majorBidi"/>
      <w:i/>
      <w:iCs/>
      <w:color w:val="272727" w:themeColor="text1" w:themeTint="D8"/>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791b39-26da-437e-ac61-c6397a458a7e">
      <Terms xmlns="http://schemas.microsoft.com/office/infopath/2007/PartnerControls"/>
    </lcf76f155ced4ddcb4097134ff3c332f>
    <TaxCatchAll xmlns="869b221a-0216-413a-8410-439dfb06457d" xsi:nil="true"/>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E778040C1F184D9CD15637FC9D02E8" ma:contentTypeVersion="23" ma:contentTypeDescription="Create a new document." ma:contentTypeScope="" ma:versionID="859ae27c8adefa2db47b2b7cefb7318d">
  <xsd:schema xmlns:xsd="http://www.w3.org/2001/XMLSchema" xmlns:xs="http://www.w3.org/2001/XMLSchema" xmlns:p="http://schemas.microsoft.com/office/2006/metadata/properties" xmlns:ns2="59791b39-26da-437e-ac61-c6397a458a7e" xmlns:ns3="869b221a-0216-413a-8410-439dfb06457d" xmlns:ns4="http://schemas.microsoft.com/sharepoint/v4" targetNamespace="http://schemas.microsoft.com/office/2006/metadata/properties" ma:root="true" ma:fieldsID="e42349d2c9128baf13c9a4808f0f1ca3" ns2:_="" ns3:_="" ns4:_="">
    <xsd:import namespace="59791b39-26da-437e-ac61-c6397a458a7e"/>
    <xsd:import namespace="869b221a-0216-413a-8410-439dfb06457d"/>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4:IconOverlay"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91b39-26da-437e-ac61-c6397a458a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7bed69a-f55d-4dc8-8c0d-23b526a98e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9b221a-0216-413a-8410-439dfb06457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2f5bde9-9ce1-439c-bcf3-d9a4ffd1df6b}" ma:internalName="TaxCatchAll" ma:showField="CatchAllData" ma:web="869b221a-0216-413a-8410-439dfb0645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B2AE6-447F-49AA-80F9-9DDC69EC0DC5}">
  <ds:schemaRefs>
    <ds:schemaRef ds:uri="http://schemas.microsoft.com/sharepoint/v3/contenttype/forms"/>
  </ds:schemaRefs>
</ds:datastoreItem>
</file>

<file path=customXml/itemProps2.xml><?xml version="1.0" encoding="utf-8"?>
<ds:datastoreItem xmlns:ds="http://schemas.openxmlformats.org/officeDocument/2006/customXml" ds:itemID="{71495EE3-CB48-43D9-B258-D638DEF54AF8}">
  <ds:schemaRefs>
    <ds:schemaRef ds:uri="http://schemas.microsoft.com/office/2006/metadata/properties"/>
    <ds:schemaRef ds:uri="http://schemas.microsoft.com/office/infopath/2007/PartnerControls"/>
    <ds:schemaRef ds:uri="59791b39-26da-437e-ac61-c6397a458a7e"/>
    <ds:schemaRef ds:uri="869b221a-0216-413a-8410-439dfb06457d"/>
    <ds:schemaRef ds:uri="http://schemas.microsoft.com/sharepoint/v4"/>
  </ds:schemaRefs>
</ds:datastoreItem>
</file>

<file path=customXml/itemProps3.xml><?xml version="1.0" encoding="utf-8"?>
<ds:datastoreItem xmlns:ds="http://schemas.openxmlformats.org/officeDocument/2006/customXml" ds:itemID="{A27179C4-C98E-47D6-B921-62DF99EA4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91b39-26da-437e-ac61-c6397a458a7e"/>
    <ds:schemaRef ds:uri="869b221a-0216-413a-8410-439dfb06457d"/>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6CB38A-E0C1-5643-94C0-7B72115D1593}">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ECA0081</dc:title>
  <cp:revision>0</cp:revision>
</cp:coreProperties>
</file>