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317BA" w:rsidRPr="00661207" w:rsidP="00661207">
      <w:pPr>
        <w:jc w:val="center"/>
        <w:rPr>
          <w:rFonts w:ascii="Calibri" w:hAnsi="Calibri" w:cs="Calibri"/>
          <w:b/>
          <w:bCs/>
        </w:rPr>
      </w:pPr>
      <w:r w:rsidRPr="00661207">
        <w:rPr>
          <w:rFonts w:ascii="Calibri" w:hAnsi="Calibri" w:cs="Calibri"/>
          <w:b/>
          <w:bCs/>
        </w:rPr>
        <w:t xml:space="preserve">Written evidence </w:t>
      </w:r>
      <w:r w:rsidRPr="00661207" w:rsidR="00661207">
        <w:rPr>
          <w:rFonts w:ascii="Calibri" w:hAnsi="Calibri" w:cs="Calibri"/>
          <w:b/>
          <w:bCs/>
        </w:rPr>
        <w:t xml:space="preserve">by Prof </w:t>
      </w:r>
      <w:r w:rsidRPr="00661207" w:rsidR="00661207">
        <w:rPr>
          <w:rFonts w:ascii="Calibri" w:hAnsi="Calibri" w:cs="Calibri"/>
          <w:b/>
          <w:bCs/>
        </w:rPr>
        <w:t>Holly Joseph and</w:t>
      </w:r>
      <w:r w:rsidRPr="00661207" w:rsidR="00661207">
        <w:rPr>
          <w:rFonts w:ascii="Calibri" w:hAnsi="Calibri" w:cs="Calibri"/>
          <w:b/>
          <w:bCs/>
        </w:rPr>
        <w:t xml:space="preserve"> Dr</w:t>
      </w:r>
      <w:r w:rsidRPr="00661207" w:rsidR="00661207">
        <w:rPr>
          <w:rFonts w:ascii="Calibri" w:hAnsi="Calibri" w:cs="Calibri"/>
          <w:b/>
          <w:bCs/>
        </w:rPr>
        <w:t xml:space="preserve"> Daisy Powell, University of Reading</w:t>
      </w:r>
      <w:r w:rsidRPr="00661207" w:rsidR="00661207">
        <w:rPr>
          <w:rFonts w:ascii="Calibri" w:hAnsi="Calibri" w:cs="Calibri"/>
          <w:b/>
          <w:bCs/>
        </w:rPr>
        <w:t xml:space="preserve"> (</w:t>
      </w:r>
      <w:r w:rsidRPr="00661207" w:rsidR="00661207">
        <w:rPr>
          <w:rFonts w:ascii="Calibri" w:hAnsi="Calibri" w:cs="Calibri"/>
          <w:b/>
          <w:bCs/>
        </w:rPr>
        <w:t>ECA0080</w:t>
      </w:r>
      <w:r w:rsidRPr="00661207" w:rsidR="00661207">
        <w:rPr>
          <w:rFonts w:ascii="Calibri" w:hAnsi="Calibri" w:cs="Calibri"/>
          <w:b/>
          <w:bCs/>
        </w:rPr>
        <w:t>)</w:t>
      </w:r>
    </w:p>
    <w:p w:rsidR="00661207" w:rsidRPr="00661207" w:rsidP="00661207">
      <w:pPr>
        <w:rPr>
          <w:rFonts w:ascii="Calibri" w:hAnsi="Calibri" w:cs="Calibri"/>
          <w:b/>
          <w:bCs/>
        </w:rPr>
      </w:pPr>
      <w:r w:rsidRPr="00661207">
        <w:rPr>
          <w:rFonts w:ascii="Calibri" w:hAnsi="Calibri" w:cs="Calibri"/>
          <w:b/>
          <w:bCs/>
        </w:rPr>
        <w:t>Education Committee</w:t>
      </w:r>
    </w:p>
    <w:p w:rsidR="00661207" w:rsidRPr="00661207" w:rsidP="00661207">
      <w:pPr>
        <w:rPr>
          <w:rFonts w:ascii="Calibri" w:hAnsi="Calibri" w:cs="Calibri"/>
          <w:b/>
          <w:bCs/>
        </w:rPr>
      </w:pPr>
      <w:r w:rsidRPr="00661207">
        <w:rPr>
          <w:rFonts w:ascii="Calibri" w:hAnsi="Calibri" w:cs="Calibri"/>
          <w:b/>
          <w:bCs/>
        </w:rPr>
        <w:t>Every Child Achieving and Thriving’ White Paper</w:t>
      </w:r>
    </w:p>
    <w:p w:rsidR="00F317BA" w:rsidRPr="00661207" w:rsidP="00577BC6">
      <w:pPr>
        <w:rPr>
          <w:rFonts w:ascii="Calibri" w:hAnsi="Calibri" w:cs="Calibri"/>
        </w:rPr>
      </w:pPr>
      <w:r w:rsidRPr="00661207">
        <w:rPr>
          <w:rFonts w:ascii="Calibri" w:hAnsi="Calibri" w:cs="Calibri"/>
          <w:b/>
          <w:bCs/>
        </w:rPr>
        <w:t xml:space="preserve"> </w:t>
      </w:r>
    </w:p>
    <w:p w:rsidR="00F317BA" w:rsidRPr="00661207" w:rsidP="00577BC6">
      <w:pPr>
        <w:rPr>
          <w:rFonts w:ascii="Calibri" w:hAnsi="Calibri" w:cs="Calibri"/>
          <w:b/>
          <w:bCs/>
        </w:rPr>
      </w:pPr>
      <w:r w:rsidRPr="00661207">
        <w:rPr>
          <w:rFonts w:ascii="Calibri" w:hAnsi="Calibri" w:cs="Calibri"/>
          <w:b/>
          <w:bCs/>
        </w:rPr>
        <w:t>Summary</w:t>
      </w:r>
    </w:p>
    <w:p w:rsidR="00F317BA" w:rsidRPr="00661207" w:rsidP="003D2F47">
      <w:pPr>
        <w:spacing w:after="0" w:line="276" w:lineRule="auto"/>
        <w:rPr>
          <w:rFonts w:ascii="Calibri" w:hAnsi="Calibri" w:cs="Calibri"/>
        </w:rPr>
      </w:pPr>
      <w:r w:rsidRPr="00661207">
        <w:rPr>
          <w:rFonts w:ascii="Calibri" w:hAnsi="Calibri" w:cs="Calibri"/>
        </w:rPr>
        <w:t>This submission draws on our research into children’s language and literacy development to raise</w:t>
      </w:r>
    </w:p>
    <w:p w:rsidR="00F317BA" w:rsidRPr="00661207" w:rsidP="003D2F47">
      <w:pPr>
        <w:spacing w:after="0" w:line="276" w:lineRule="auto"/>
        <w:rPr>
          <w:rFonts w:ascii="Calibri" w:hAnsi="Calibri" w:cs="Calibri"/>
        </w:rPr>
      </w:pPr>
      <w:r w:rsidRPr="00661207">
        <w:rPr>
          <w:rFonts w:ascii="Calibri" w:hAnsi="Calibri" w:cs="Calibri"/>
        </w:rPr>
        <w:t>three concerns about the White Paper’s approach to family engagement and Best Start Family Hubs.</w:t>
      </w:r>
    </w:p>
    <w:p w:rsidR="00F317BA" w:rsidRPr="00661207" w:rsidP="003D2F47">
      <w:pPr>
        <w:spacing w:after="0" w:line="276" w:lineRule="auto"/>
        <w:rPr>
          <w:rFonts w:ascii="Calibri" w:hAnsi="Calibri" w:cs="Calibri"/>
        </w:rPr>
      </w:pPr>
      <w:r w:rsidRPr="00661207">
        <w:rPr>
          <w:rFonts w:ascii="Calibri" w:hAnsi="Calibri" w:cs="Calibri"/>
        </w:rPr>
        <w:t>First, geographical targeting of Hubs is not the same as equitable reach: evidence from Sure Start</w:t>
      </w:r>
    </w:p>
    <w:p w:rsidR="00F317BA" w:rsidRPr="00661207" w:rsidP="003D2F47">
      <w:pPr>
        <w:spacing w:after="0" w:line="276" w:lineRule="auto"/>
        <w:rPr>
          <w:rFonts w:ascii="Calibri" w:hAnsi="Calibri" w:cs="Calibri"/>
        </w:rPr>
      </w:pPr>
      <w:r w:rsidRPr="00661207">
        <w:rPr>
          <w:rFonts w:ascii="Calibri" w:hAnsi="Calibri" w:cs="Calibri"/>
        </w:rPr>
        <w:t>shows that well-located provision does not automatically reach the most disadvantaged families, and</w:t>
      </w:r>
    </w:p>
    <w:p w:rsidR="00F317BA" w:rsidRPr="00661207" w:rsidP="003D2F47">
      <w:pPr>
        <w:spacing w:after="0" w:line="276" w:lineRule="auto"/>
        <w:rPr>
          <w:rFonts w:ascii="Calibri" w:hAnsi="Calibri" w:cs="Calibri"/>
        </w:rPr>
      </w:pPr>
      <w:r w:rsidRPr="00661207">
        <w:rPr>
          <w:rFonts w:ascii="Calibri" w:hAnsi="Calibri" w:cs="Calibri"/>
        </w:rPr>
        <w:t>Hubs should be evaluated on who they reach and retain, not just on registrations or activities</w:t>
      </w:r>
    </w:p>
    <w:p w:rsidR="00F317BA" w:rsidRPr="00661207" w:rsidP="003D2F47">
      <w:pPr>
        <w:spacing w:after="0" w:line="276" w:lineRule="auto"/>
        <w:rPr>
          <w:rFonts w:ascii="Calibri" w:hAnsi="Calibri" w:cs="Calibri"/>
        </w:rPr>
      </w:pPr>
      <w:r w:rsidRPr="00661207">
        <w:rPr>
          <w:rFonts w:ascii="Calibri" w:hAnsi="Calibri" w:cs="Calibri"/>
        </w:rPr>
        <w:t>delivered. Second, book-gifting, guidance and one-off provision are unlikely to improve children’s</w:t>
      </w:r>
    </w:p>
    <w:p w:rsidR="00F317BA" w:rsidRPr="00661207" w:rsidP="003D2F47">
      <w:pPr>
        <w:spacing w:after="0" w:line="276" w:lineRule="auto"/>
        <w:rPr>
          <w:rFonts w:ascii="Calibri" w:hAnsi="Calibri" w:cs="Calibri"/>
        </w:rPr>
      </w:pPr>
      <w:r w:rsidRPr="00661207">
        <w:rPr>
          <w:rFonts w:ascii="Calibri" w:hAnsi="Calibri" w:cs="Calibri"/>
        </w:rPr>
        <w:t>language and literacy on their own; sustained, relational support and realistic expectations of</w:t>
      </w:r>
    </w:p>
    <w:p w:rsidR="00F317BA" w:rsidRPr="00661207" w:rsidP="003D2F47">
      <w:pPr>
        <w:spacing w:after="0" w:line="276" w:lineRule="auto"/>
        <w:rPr>
          <w:rFonts w:ascii="Calibri" w:hAnsi="Calibri" w:cs="Calibri"/>
        </w:rPr>
      </w:pPr>
      <w:r w:rsidRPr="00661207">
        <w:rPr>
          <w:rFonts w:ascii="Calibri" w:hAnsi="Calibri" w:cs="Calibri"/>
        </w:rPr>
        <w:t xml:space="preserve">intensity </w:t>
      </w:r>
      <w:r w:rsidRPr="00661207">
        <w:rPr>
          <w:rFonts w:ascii="Calibri" w:hAnsi="Calibri" w:cs="Calibri"/>
        </w:rPr>
        <w:t>are</w:t>
      </w:r>
      <w:r w:rsidRPr="00661207">
        <w:rPr>
          <w:rFonts w:ascii="Calibri" w:hAnsi="Calibri" w:cs="Calibri"/>
        </w:rPr>
        <w:t xml:space="preserve"> needed, and proximal outcomes (book access, parental confidence) should not be</w:t>
      </w:r>
    </w:p>
    <w:p w:rsidR="00F317BA" w:rsidRPr="00661207" w:rsidP="003D2F47">
      <w:pPr>
        <w:spacing w:after="0" w:line="276" w:lineRule="auto"/>
        <w:rPr>
          <w:rFonts w:ascii="Calibri" w:hAnsi="Calibri" w:cs="Calibri"/>
        </w:rPr>
      </w:pPr>
      <w:r w:rsidRPr="00661207">
        <w:rPr>
          <w:rFonts w:ascii="Calibri" w:hAnsi="Calibri" w:cs="Calibri"/>
        </w:rPr>
        <w:t>conflated with distal outcomes (child attainment). Third, apparent parental disengagement often</w:t>
      </w:r>
    </w:p>
    <w:p w:rsidR="00F317BA" w:rsidRPr="00661207" w:rsidP="003D2F47">
      <w:pPr>
        <w:spacing w:after="0" w:line="276" w:lineRule="auto"/>
        <w:rPr>
          <w:rFonts w:ascii="Calibri" w:hAnsi="Calibri" w:cs="Calibri"/>
        </w:rPr>
      </w:pPr>
      <w:r w:rsidRPr="00661207">
        <w:rPr>
          <w:rFonts w:ascii="Calibri" w:hAnsi="Calibri" w:cs="Calibri"/>
        </w:rPr>
        <w:t>reflects how services are designed and delivered rather than parental deficit; outreach, trust-building</w:t>
      </w:r>
    </w:p>
    <w:p w:rsidR="00F317BA" w:rsidRPr="00661207" w:rsidP="003D2F47">
      <w:pPr>
        <w:spacing w:after="0" w:line="276" w:lineRule="auto"/>
        <w:rPr>
          <w:rFonts w:ascii="Calibri" w:hAnsi="Calibri" w:cs="Calibri"/>
        </w:rPr>
      </w:pPr>
      <w:r w:rsidRPr="00661207">
        <w:rPr>
          <w:rFonts w:ascii="Calibri" w:hAnsi="Calibri" w:cs="Calibri"/>
        </w:rPr>
        <w:t>and co-design should be funded as core activities, and evaluation itself must be designed so that it</w:t>
      </w:r>
    </w:p>
    <w:p w:rsidR="00F317BA" w:rsidRPr="00661207" w:rsidP="004D7354">
      <w:pPr>
        <w:spacing w:line="276" w:lineRule="auto"/>
        <w:rPr>
          <w:rFonts w:ascii="Calibri" w:hAnsi="Calibri" w:cs="Calibri"/>
        </w:rPr>
      </w:pPr>
      <w:r w:rsidRPr="00661207">
        <w:rPr>
          <w:rFonts w:ascii="Calibri" w:hAnsi="Calibri" w:cs="Calibri"/>
        </w:rPr>
        <w:t>does not exclude the families most in need of support.</w:t>
      </w:r>
      <w:r w:rsidRPr="00661207">
        <w:rPr>
          <w:rFonts w:ascii="Calibri" w:hAnsi="Calibri" w:cs="Calibri"/>
        </w:rPr>
        <w:t xml:space="preserve"> </w:t>
      </w:r>
      <w:r w:rsidRPr="00661207">
        <w:rPr>
          <w:rFonts w:ascii="Calibri" w:hAnsi="Calibri" w:cs="Calibri"/>
        </w:rPr>
        <w:t>We recommend that Hubs be required to publish equity-of-reach data; that outreach and co-design</w:t>
      </w:r>
      <w:r w:rsidRPr="00661207">
        <w:rPr>
          <w:rFonts w:ascii="Calibri" w:hAnsi="Calibri" w:cs="Calibri"/>
        </w:rPr>
        <w:t xml:space="preserve"> </w:t>
      </w:r>
      <w:r w:rsidRPr="00661207">
        <w:rPr>
          <w:rFonts w:ascii="Calibri" w:hAnsi="Calibri" w:cs="Calibri"/>
        </w:rPr>
        <w:t>be funded as core delivery activities, not optional extras; that proximal and distal outcomes be</w:t>
      </w:r>
      <w:r w:rsidRPr="00661207">
        <w:rPr>
          <w:rFonts w:ascii="Calibri" w:hAnsi="Calibri" w:cs="Calibri"/>
        </w:rPr>
        <w:t xml:space="preserve"> </w:t>
      </w:r>
      <w:r w:rsidRPr="00661207">
        <w:rPr>
          <w:rFonts w:ascii="Calibri" w:hAnsi="Calibri" w:cs="Calibri"/>
        </w:rPr>
        <w:t>evaluated separately; and that any move towards mandating parental engagement be paired with</w:t>
      </w:r>
      <w:r w:rsidRPr="00661207">
        <w:rPr>
          <w:rFonts w:ascii="Calibri" w:hAnsi="Calibri" w:cs="Calibri"/>
        </w:rPr>
        <w:t xml:space="preserve"> </w:t>
      </w:r>
      <w:r w:rsidRPr="00661207">
        <w:rPr>
          <w:rFonts w:ascii="Calibri" w:hAnsi="Calibri" w:cs="Calibri"/>
        </w:rPr>
        <w:t>reciprocal obligations on schools and services to demonstrate that provision is accessible, trusted</w:t>
      </w:r>
      <w:r w:rsidRPr="00661207">
        <w:rPr>
          <w:rFonts w:ascii="Calibri" w:hAnsi="Calibri" w:cs="Calibri"/>
        </w:rPr>
        <w:t xml:space="preserve"> </w:t>
      </w:r>
      <w:r w:rsidRPr="00661207">
        <w:rPr>
          <w:rFonts w:ascii="Calibri" w:hAnsi="Calibri" w:cs="Calibri"/>
        </w:rPr>
        <w:t>and responsive.</w:t>
      </w:r>
    </w:p>
    <w:p w:rsidR="00F317BA" w:rsidRPr="00661207" w:rsidP="003D2F47">
      <w:pPr>
        <w:spacing w:after="0" w:line="240" w:lineRule="auto"/>
        <w:rPr>
          <w:rFonts w:ascii="Calibri" w:hAnsi="Calibri" w:cs="Calibri"/>
        </w:rPr>
      </w:pPr>
    </w:p>
    <w:p w:rsidR="00F317BA" w:rsidRPr="00661207" w:rsidP="00577BC6">
      <w:pPr>
        <w:rPr>
          <w:rFonts w:ascii="Calibri" w:hAnsi="Calibri" w:cs="Calibri"/>
          <w:b/>
          <w:bCs/>
        </w:rPr>
      </w:pPr>
      <w:r w:rsidRPr="00661207">
        <w:rPr>
          <w:rFonts w:ascii="Calibri" w:hAnsi="Calibri" w:cs="Calibri"/>
          <w:b/>
          <w:bCs/>
        </w:rPr>
        <w:t>About the authors</w:t>
      </w:r>
    </w:p>
    <w:p w:rsidR="00F317BA" w:rsidRPr="00661207" w:rsidP="00577BC6">
      <w:pPr>
        <w:numPr>
          <w:ilvl w:val="0"/>
          <w:numId w:val="1"/>
        </w:numPr>
        <w:rPr>
          <w:rFonts w:ascii="Calibri" w:hAnsi="Calibri" w:cs="Calibri"/>
        </w:rPr>
      </w:pPr>
      <w:r w:rsidRPr="00661207">
        <w:rPr>
          <w:rFonts w:ascii="Calibri" w:hAnsi="Calibri" w:cs="Calibri"/>
        </w:rPr>
        <w:t xml:space="preserve">We are researchers at the University of Reading, specialising in children’s language and literacy development, the home literacy environment, and community-based approaches to family literacy. We welcome the White Paper’s recognition that children’s educational outcomes are shaped by their experiences at home and in their communities, as well as within schools. Our evidence relates particularly to Chapter 1, </w:t>
      </w:r>
      <w:r w:rsidRPr="00661207">
        <w:rPr>
          <w:rFonts w:ascii="Calibri" w:hAnsi="Calibri" w:cs="Calibri"/>
          <w:i/>
          <w:iCs/>
        </w:rPr>
        <w:t>Our children’s futures</w:t>
      </w:r>
      <w:r w:rsidRPr="00661207">
        <w:rPr>
          <w:rFonts w:ascii="Calibri" w:hAnsi="Calibri" w:cs="Calibri"/>
        </w:rPr>
        <w:t xml:space="preserve">; Chapter 2, </w:t>
      </w:r>
      <w:r w:rsidRPr="00661207">
        <w:rPr>
          <w:rFonts w:ascii="Calibri" w:hAnsi="Calibri" w:cs="Calibri"/>
          <w:i/>
          <w:iCs/>
        </w:rPr>
        <w:t>Narrow to broad</w:t>
      </w:r>
      <w:r w:rsidRPr="00661207">
        <w:rPr>
          <w:rFonts w:ascii="Calibri" w:hAnsi="Calibri" w:cs="Calibri"/>
        </w:rPr>
        <w:t xml:space="preserve">; and Chapter 4, </w:t>
      </w:r>
      <w:r w:rsidRPr="00661207">
        <w:rPr>
          <w:rFonts w:ascii="Calibri" w:hAnsi="Calibri" w:cs="Calibri"/>
          <w:i/>
          <w:iCs/>
        </w:rPr>
        <w:t>Withdrawn to engaging</w:t>
      </w:r>
      <w:r w:rsidRPr="00661207">
        <w:rPr>
          <w:rFonts w:ascii="Calibri" w:hAnsi="Calibri" w:cs="Calibri"/>
        </w:rPr>
        <w:t xml:space="preserve">. </w:t>
      </w:r>
    </w:p>
    <w:p w:rsidR="00F317BA" w:rsidRPr="00661207" w:rsidP="00577BC6">
      <w:pPr>
        <w:numPr>
          <w:ilvl w:val="0"/>
          <w:numId w:val="1"/>
        </w:numPr>
        <w:rPr>
          <w:rFonts w:ascii="Calibri" w:hAnsi="Calibri" w:cs="Calibri"/>
        </w:rPr>
      </w:pPr>
      <w:r w:rsidRPr="00661207">
        <w:rPr>
          <w:rFonts w:ascii="Calibri" w:hAnsi="Calibri" w:cs="Calibri"/>
        </w:rPr>
        <w:t xml:space="preserve">We previously submitted evidence to the Education Committee’s Reading for Pleasure inquiry, published as RFP0108. The Committee’s subsequent report recommended that Best Start Family Hubs provide guided shared-reading sessions, book gifting and inclusive support for parents who lack confidence in reading or have had negative experiences of reading aloud. This submission focuses on what will be required to implement such provision equitably and effectively. </w:t>
      </w:r>
    </w:p>
    <w:p w:rsidR="00F317BA" w:rsidRPr="00661207" w:rsidP="00577BC6">
      <w:pPr>
        <w:rPr>
          <w:rFonts w:ascii="Calibri" w:hAnsi="Calibri" w:cs="Calibri"/>
          <w:b/>
          <w:bCs/>
        </w:rPr>
      </w:pPr>
      <w:r w:rsidRPr="00661207">
        <w:rPr>
          <w:rFonts w:ascii="Calibri" w:hAnsi="Calibri" w:cs="Calibri"/>
          <w:b/>
          <w:bCs/>
        </w:rPr>
        <w:t xml:space="preserve">Chapter 1: Our children’s futures </w:t>
      </w:r>
      <w:r w:rsidRPr="00661207">
        <w:rPr>
          <w:rFonts w:ascii="Calibri" w:hAnsi="Calibri" w:cs="Calibri"/>
          <w:b/>
          <w:bCs/>
        </w:rPr>
        <w:t>(</w:t>
      </w:r>
      <w:r w:rsidRPr="00661207">
        <w:rPr>
          <w:rFonts w:ascii="Calibri" w:hAnsi="Calibri" w:cs="Calibri"/>
          <w:b/>
          <w:bCs/>
        </w:rPr>
        <w:t>Best Start Family Hubs</w:t>
      </w:r>
      <w:r w:rsidRPr="00661207">
        <w:rPr>
          <w:rFonts w:ascii="Calibri" w:hAnsi="Calibri" w:cs="Calibri"/>
          <w:b/>
          <w:bCs/>
        </w:rPr>
        <w:t>)</w:t>
      </w:r>
    </w:p>
    <w:p w:rsidR="00F317BA" w:rsidRPr="00661207" w:rsidP="00D50500">
      <w:pPr>
        <w:pStyle w:val="ListParagraph"/>
        <w:numPr>
          <w:ilvl w:val="0"/>
          <w:numId w:val="2"/>
        </w:numPr>
        <w:rPr>
          <w:rFonts w:ascii="Calibri" w:hAnsi="Calibri" w:cs="Calibri"/>
        </w:rPr>
      </w:pPr>
      <w:r w:rsidRPr="00661207">
        <w:rPr>
          <w:rFonts w:ascii="Calibri" w:hAnsi="Calibri" w:cs="Calibri"/>
        </w:rPr>
        <w:t xml:space="preserve">The White Paper presents Best Start Family Hubs as a single point of access to health, education and family-support services. It states that Hubs will provide advice on supporting learning at home, stay-and-play provision and opportunities to build community networks. We support this integrated model. </w:t>
      </w:r>
    </w:p>
    <w:p w:rsidR="00F317BA" w:rsidRPr="00661207" w:rsidP="00577BC6">
      <w:pPr>
        <w:numPr>
          <w:ilvl w:val="0"/>
          <w:numId w:val="2"/>
        </w:numPr>
        <w:rPr>
          <w:rFonts w:ascii="Calibri" w:hAnsi="Calibri" w:cs="Calibri"/>
        </w:rPr>
      </w:pPr>
      <w:r w:rsidRPr="00661207">
        <w:rPr>
          <w:rFonts w:ascii="Calibri" w:hAnsi="Calibri" w:cs="Calibri"/>
        </w:rPr>
        <w:t xml:space="preserve">The recent IFS evaluation of Sure Start (Carneiro et al., 2025) </w:t>
      </w:r>
      <w:r w:rsidRPr="00661207">
        <w:rPr>
          <w:rFonts w:ascii="Calibri" w:hAnsi="Calibri" w:cs="Calibri"/>
        </w:rPr>
        <w:t xml:space="preserve">provides important evidence that sustained, area-based early-years investment can produce benefits extending into adolescence, including improvements in educational attainment and health. </w:t>
      </w:r>
      <w:r w:rsidRPr="00661207">
        <w:rPr>
          <w:rFonts w:ascii="Calibri" w:hAnsi="Calibri" w:cs="Calibri"/>
        </w:rPr>
        <w:t>Sure</w:t>
      </w:r>
      <w:r w:rsidRPr="00661207">
        <w:rPr>
          <w:rFonts w:ascii="Calibri" w:hAnsi="Calibri" w:cs="Calibri"/>
        </w:rPr>
        <w:t xml:space="preserve"> Start Local Programmes combined education, health and family support and were initially concentrated in highly disadvantaged areas. </w:t>
      </w:r>
    </w:p>
    <w:p w:rsidR="00F317BA" w:rsidRPr="00661207" w:rsidP="00577BC6">
      <w:pPr>
        <w:numPr>
          <w:ilvl w:val="0"/>
          <w:numId w:val="2"/>
        </w:numPr>
        <w:rPr>
          <w:rFonts w:ascii="Calibri" w:hAnsi="Calibri" w:cs="Calibri"/>
        </w:rPr>
      </w:pPr>
      <w:r w:rsidRPr="00661207">
        <w:rPr>
          <w:rFonts w:ascii="Calibri" w:hAnsi="Calibri" w:cs="Calibri"/>
        </w:rPr>
        <w:t xml:space="preserve">However, the Sure Start evidence should not be simplified into a claim that locating provision in deprived areas necessarily means that the most disadvantaged families use it. The IFS estimates that between 55% and 72% of children aged 0–4 used Sure Start at its peak. The available data do not provide a robust account of which eligible families did not attend, or whether sustained engagement was socially patterned. Geographical targeting and equitable reach are related but distinct. </w:t>
      </w:r>
    </w:p>
    <w:p w:rsidR="00F317BA" w:rsidRPr="00661207" w:rsidP="00577BC6">
      <w:pPr>
        <w:numPr>
          <w:ilvl w:val="0"/>
          <w:numId w:val="2"/>
        </w:numPr>
        <w:rPr>
          <w:rFonts w:ascii="Calibri" w:hAnsi="Calibri" w:cs="Calibri"/>
        </w:rPr>
      </w:pPr>
      <w:r w:rsidRPr="00661207">
        <w:rPr>
          <w:rFonts w:ascii="Calibri" w:hAnsi="Calibri" w:cs="Calibri"/>
        </w:rPr>
        <w:t xml:space="preserve">The IFS report identifies several characteristics of the original Local Programmes that might have supported their effectiveness: substantially higher funding per centre, additional parental outreach, teacher input into children’s learning, consultation with parents and local discretion to respond to community needs. While these are plausible mechanisms rather than causal evidence, these features merit explicit attention in the design of Best Start Family Hubs. </w:t>
      </w:r>
    </w:p>
    <w:p w:rsidR="00F317BA" w:rsidRPr="00661207" w:rsidP="00577BC6">
      <w:pPr>
        <w:numPr>
          <w:ilvl w:val="0"/>
          <w:numId w:val="2"/>
        </w:numPr>
        <w:rPr>
          <w:rFonts w:ascii="Calibri" w:hAnsi="Calibri" w:cs="Calibri"/>
        </w:rPr>
      </w:pPr>
      <w:r w:rsidRPr="00661207">
        <w:rPr>
          <w:rFonts w:ascii="Calibri" w:hAnsi="Calibri" w:cs="Calibri"/>
        </w:rPr>
        <w:t xml:space="preserve">Hubs should therefore be evaluated not simply by numbers registered, referrals made or activities delivered. They should report the proportion of the eligible local population that participates, how regularly families attend, who remains engaged, and which groups do not take up or sustain contact. This should include analysis by socioeconomic disadvantage and, where ethically and practically possible, relevant indicators such as social-care involvement, housing insecurity, parental literacy, disability and </w:t>
      </w:r>
      <w:r w:rsidRPr="00661207">
        <w:rPr>
          <w:rFonts w:ascii="Calibri" w:hAnsi="Calibri" w:cs="Calibri"/>
        </w:rPr>
        <w:t xml:space="preserve">home language. </w:t>
      </w:r>
    </w:p>
    <w:p w:rsidR="00F317BA" w:rsidRPr="00661207" w:rsidP="00577BC6">
      <w:pPr>
        <w:rPr>
          <w:rFonts w:ascii="Calibri" w:hAnsi="Calibri" w:cs="Calibri"/>
          <w:b/>
          <w:bCs/>
        </w:rPr>
      </w:pPr>
      <w:r w:rsidRPr="00661207">
        <w:rPr>
          <w:rFonts w:ascii="Calibri" w:hAnsi="Calibri" w:cs="Calibri"/>
          <w:b/>
          <w:bCs/>
        </w:rPr>
        <w:t xml:space="preserve">Chapter 2: Narrow to broad </w:t>
      </w:r>
      <w:r w:rsidRPr="00661207">
        <w:rPr>
          <w:rFonts w:ascii="Calibri" w:hAnsi="Calibri" w:cs="Calibri"/>
          <w:b/>
          <w:bCs/>
        </w:rPr>
        <w:t>(</w:t>
      </w:r>
      <w:r w:rsidRPr="00661207">
        <w:rPr>
          <w:rFonts w:ascii="Calibri" w:hAnsi="Calibri" w:cs="Calibri"/>
          <w:b/>
          <w:bCs/>
        </w:rPr>
        <w:t>early communication and the home learning environment</w:t>
      </w:r>
      <w:r w:rsidRPr="00661207">
        <w:rPr>
          <w:rFonts w:ascii="Calibri" w:hAnsi="Calibri" w:cs="Calibri"/>
          <w:b/>
          <w:bCs/>
        </w:rPr>
        <w:t>)</w:t>
      </w:r>
    </w:p>
    <w:p w:rsidR="00F317BA" w:rsidRPr="00661207" w:rsidP="00D50500">
      <w:pPr>
        <w:pStyle w:val="ListParagraph"/>
        <w:numPr>
          <w:ilvl w:val="0"/>
          <w:numId w:val="3"/>
        </w:numPr>
        <w:rPr>
          <w:rFonts w:ascii="Calibri" w:hAnsi="Calibri" w:cs="Calibri"/>
        </w:rPr>
      </w:pPr>
      <w:r w:rsidRPr="00661207">
        <w:rPr>
          <w:rFonts w:ascii="Calibri" w:hAnsi="Calibri" w:cs="Calibri"/>
        </w:rPr>
        <w:t>There is strong evidence that children’s early language and literacy experiences at home are associated with later educational outcomes. However, intervention evidence is more mixed. Book-gifting and shared-reading programmes tend to produce clearer effects on book access, parental confidence and the quality or frequency of parent–child reading than on children’s language, literacy or later attainment. Effects are also generally smaller in more rigorous studies and depend on dosage, implementation and parti</w:t>
      </w:r>
      <w:r w:rsidRPr="00661207">
        <w:rPr>
          <w:rFonts w:ascii="Calibri" w:hAnsi="Calibri" w:cs="Calibri"/>
        </w:rPr>
        <w:t>cipant engagement.</w:t>
      </w:r>
    </w:p>
    <w:p w:rsidR="00F317BA" w:rsidRPr="00661207" w:rsidP="00577BC6">
      <w:pPr>
        <w:numPr>
          <w:ilvl w:val="0"/>
          <w:numId w:val="3"/>
        </w:numPr>
        <w:rPr>
          <w:rFonts w:ascii="Calibri" w:hAnsi="Calibri" w:cs="Calibri"/>
        </w:rPr>
      </w:pPr>
      <w:r w:rsidRPr="00661207">
        <w:rPr>
          <w:rFonts w:ascii="Calibri" w:hAnsi="Calibri" w:cs="Calibri"/>
        </w:rPr>
        <w:t>Recent implementation guidance rightly recognises that evidence-based home-learning-environment programmes should be delivered alongside relational and context-specific family support. It also acknowledges the limited number of such programmes supported by higher-level causal evidence. We welcome this pragmatic approach. However, relational support, outreach and adaptation should be specified, adequately funded and evaluated as core components of provision, rather than treated as an unspecified context surr</w:t>
      </w:r>
      <w:r w:rsidRPr="00661207">
        <w:rPr>
          <w:rFonts w:ascii="Calibri" w:hAnsi="Calibri" w:cs="Calibri"/>
        </w:rPr>
        <w:t>ounding the delivery of a standardised programme</w:t>
      </w:r>
      <w:r w:rsidRPr="00661207">
        <w:rPr>
          <w:rFonts w:ascii="Calibri" w:hAnsi="Calibri" w:cs="Calibri"/>
        </w:rPr>
        <w:t xml:space="preserve"> </w:t>
      </w:r>
    </w:p>
    <w:p w:rsidR="00F317BA" w:rsidRPr="00661207" w:rsidP="00577BC6">
      <w:pPr>
        <w:numPr>
          <w:ilvl w:val="0"/>
          <w:numId w:val="3"/>
        </w:numPr>
        <w:rPr>
          <w:rFonts w:ascii="Calibri" w:hAnsi="Calibri" w:cs="Calibri"/>
        </w:rPr>
      </w:pPr>
      <w:r w:rsidRPr="00661207">
        <w:rPr>
          <w:rFonts w:ascii="Calibri" w:hAnsi="Calibri" w:cs="Calibri"/>
        </w:rPr>
        <w:t xml:space="preserve">Family-facing programmes should also be designed with realistic expectations about intensity. The PACT trials (e.g. Burgoyne et al., </w:t>
      </w:r>
      <w:r w:rsidRPr="00661207">
        <w:rPr>
          <w:rFonts w:ascii="Calibri" w:hAnsi="Calibri" w:cs="Calibri"/>
        </w:rPr>
        <w:t xml:space="preserve">2018; </w:t>
      </w:r>
      <w:r w:rsidRPr="00661207">
        <w:rPr>
          <w:rFonts w:ascii="Calibri" w:hAnsi="Calibri" w:cs="Calibri"/>
        </w:rPr>
        <w:t xml:space="preserve">2024) demonstrate that an intervention that was effective in one context did not produce the same overall language effects when recruitment, delivery setting and participant characteristics changed. </w:t>
      </w:r>
      <w:r w:rsidRPr="00661207">
        <w:rPr>
          <w:rFonts w:ascii="Calibri" w:hAnsi="Calibri" w:cs="Calibri"/>
        </w:rPr>
        <w:t>In the most recent trial (Menzies et al., 20</w:t>
      </w:r>
      <w:r w:rsidRPr="00661207">
        <w:rPr>
          <w:rFonts w:ascii="Calibri" w:hAnsi="Calibri" w:cs="Calibri"/>
        </w:rPr>
        <w:t>24)</w:t>
      </w:r>
      <w:r w:rsidRPr="00661207">
        <w:rPr>
          <w:rFonts w:ascii="Calibri" w:hAnsi="Calibri" w:cs="Calibri"/>
        </w:rPr>
        <w:t xml:space="preserve">, recruitment from nurseries in disadvantaged areas nevertheless produced a comparatively well-educated sample with high existing book ownership and shared-reading activity, illustrating the distinction between targeting disadvantaged places </w:t>
      </w:r>
      <w:r w:rsidRPr="00661207">
        <w:rPr>
          <w:rFonts w:ascii="Calibri" w:hAnsi="Calibri" w:cs="Calibri"/>
        </w:rPr>
        <w:t xml:space="preserve">and reaching families with the greatest potential to benefit. </w:t>
      </w:r>
      <w:r w:rsidRPr="00661207">
        <w:rPr>
          <w:rFonts w:ascii="Calibri" w:hAnsi="Calibri" w:cs="Calibri"/>
        </w:rPr>
        <w:t>Rather than adopting a single standardised offer, Hubs should be able to vary the duration, frequency and form of support according to families’ starting points and practical constraints.</w:t>
      </w:r>
    </w:p>
    <w:p w:rsidR="00F317BA" w:rsidRPr="00661207" w:rsidP="00577BC6">
      <w:pPr>
        <w:numPr>
          <w:ilvl w:val="0"/>
          <w:numId w:val="3"/>
        </w:numPr>
        <w:rPr>
          <w:rFonts w:ascii="Calibri" w:hAnsi="Calibri" w:cs="Calibri"/>
        </w:rPr>
      </w:pPr>
      <w:r w:rsidRPr="00661207">
        <w:rPr>
          <w:rFonts w:ascii="Calibri" w:hAnsi="Calibri" w:cs="Calibri"/>
        </w:rPr>
        <w:t>Government should distinguish clearly between different intended outcomes. Increasing the number of books in the home, strengthening parental confidence, changing shared-reading behaviour and improving child language are separate aims and should be measured separately. Improvement in a proximal outcome should not be presented as evidence that longer-term educational outcomes will necessarily follow.</w:t>
      </w:r>
    </w:p>
    <w:p w:rsidR="00F317BA" w:rsidRPr="00661207" w:rsidP="00577BC6">
      <w:pPr>
        <w:numPr>
          <w:ilvl w:val="0"/>
          <w:numId w:val="3"/>
        </w:numPr>
        <w:rPr>
          <w:rFonts w:ascii="Calibri" w:hAnsi="Calibri" w:cs="Calibri"/>
        </w:rPr>
      </w:pPr>
      <w:r w:rsidRPr="00661207">
        <w:rPr>
          <w:rFonts w:ascii="Calibri" w:hAnsi="Calibri" w:cs="Calibri"/>
        </w:rPr>
        <w:t xml:space="preserve">Commissioning and evaluation should therefore test the full pathway from provision to child outcomes: who is reached, how much support families receive, whether adult behaviour changes, whether the wider home learning environment changes, and whether any gains are sustained. This would </w:t>
      </w:r>
      <w:r w:rsidRPr="00661207">
        <w:rPr>
          <w:rFonts w:ascii="Calibri" w:hAnsi="Calibri" w:cs="Calibri"/>
        </w:rPr>
        <w:t xml:space="preserve">help identify where the programme’s theory of change breaks down </w:t>
      </w:r>
      <w:r w:rsidRPr="00661207">
        <w:rPr>
          <w:rFonts w:ascii="Calibri" w:hAnsi="Calibri" w:cs="Calibri"/>
        </w:rPr>
        <w:t xml:space="preserve">and prevent programmes from being judged either successful or unsuccessful </w:t>
      </w:r>
      <w:r w:rsidRPr="00661207">
        <w:rPr>
          <w:rFonts w:ascii="Calibri" w:hAnsi="Calibri" w:cs="Calibri"/>
        </w:rPr>
        <w:t>on the basis of</w:t>
      </w:r>
      <w:r w:rsidRPr="00661207">
        <w:rPr>
          <w:rFonts w:ascii="Calibri" w:hAnsi="Calibri" w:cs="Calibri"/>
        </w:rPr>
        <w:t xml:space="preserve"> a single outcome.</w:t>
      </w:r>
    </w:p>
    <w:p w:rsidR="00F317BA" w:rsidRPr="00661207" w:rsidP="00577BC6">
      <w:pPr>
        <w:numPr>
          <w:ilvl w:val="0"/>
          <w:numId w:val="3"/>
        </w:numPr>
        <w:rPr>
          <w:rFonts w:ascii="Calibri" w:hAnsi="Calibri" w:cs="Calibri"/>
        </w:rPr>
      </w:pPr>
      <w:r w:rsidRPr="00661207">
        <w:rPr>
          <w:rFonts w:ascii="Calibri" w:hAnsi="Calibri" w:cs="Calibri"/>
        </w:rPr>
        <w:t>Evaluation design is itself part of equitable implementation. Lengthy baseline surveys, requests for sensitive demographic information and repeated assessments of young children may deter participation, particularly when introduced before relationships and trust have been established. In the Room to Play evaluation (Evangelou et al., 20</w:t>
      </w:r>
      <w:r w:rsidRPr="00661207">
        <w:rPr>
          <w:rFonts w:ascii="Calibri" w:hAnsi="Calibri" w:cs="Calibri"/>
        </w:rPr>
        <w:t>13</w:t>
      </w:r>
      <w:r w:rsidRPr="00661207">
        <w:rPr>
          <w:rFonts w:ascii="Calibri" w:hAnsi="Calibri" w:cs="Calibri"/>
        </w:rPr>
        <w:t xml:space="preserve">), attendance </w:t>
      </w:r>
      <w:r w:rsidRPr="00661207">
        <w:rPr>
          <w:rFonts w:ascii="Calibri" w:hAnsi="Calibri" w:cs="Calibri"/>
        </w:rPr>
        <w:t>ell by approximately half during one survey week, raising the possibility that families most wary of services were also least likely to appear in the evaluation data</w:t>
      </w:r>
      <w:r w:rsidRPr="00661207">
        <w:rPr>
          <w:rFonts w:ascii="Calibri" w:hAnsi="Calibri" w:cs="Calibri"/>
        </w:rPr>
        <w:t>. Our own community research has similarly required adapted consent processes, delayed data collection and, in some settings, the omission of initial parent surveys and child pre-tests</w:t>
      </w:r>
      <w:r w:rsidRPr="00661207">
        <w:rPr>
          <w:rFonts w:ascii="Calibri" w:hAnsi="Calibri" w:cs="Calibri"/>
        </w:rPr>
        <w:t xml:space="preserve"> (Fletcher-Watson et al., 2025)</w:t>
      </w:r>
      <w:r w:rsidRPr="00661207">
        <w:rPr>
          <w:rFonts w:ascii="Calibri" w:hAnsi="Calibri" w:cs="Calibri"/>
        </w:rPr>
        <w:t>. This creates a genuine tension: robust evaluation is essential, but conventional research requirements can undermine reach and produce evidence based disproportionately on families who are already comfortable engaging with professionals and researchers.</w:t>
      </w:r>
    </w:p>
    <w:p w:rsidR="00F317BA" w:rsidRPr="00661207" w:rsidP="00577BC6">
      <w:pPr>
        <w:numPr>
          <w:ilvl w:val="0"/>
          <w:numId w:val="3"/>
        </w:numPr>
        <w:rPr>
          <w:rFonts w:ascii="Calibri" w:hAnsi="Calibri" w:cs="Calibri"/>
        </w:rPr>
      </w:pPr>
      <w:r w:rsidRPr="00661207">
        <w:rPr>
          <w:rFonts w:ascii="Calibri" w:hAnsi="Calibri" w:cs="Calibri"/>
        </w:rPr>
        <w:t>Government-funded evaluations should therefore use proportionate, staged and co-designed data collection. A minimal core dataset could be collected initially, with more detailed measures introduced after trust has developed. Families should be offered flexible ways to participate, including accessible formats, different languages and assessment appointments that fit around their circumstances. Evaluations should also report who declines individual measures or is lost during data collection, rather than trea</w:t>
      </w:r>
      <w:r w:rsidRPr="00661207">
        <w:rPr>
          <w:rFonts w:ascii="Calibri" w:hAnsi="Calibri" w:cs="Calibri"/>
        </w:rPr>
        <w:t>ting missing data only as a statistical problem. Where appropriate and ethically justified, routine administrative data may reduce the need to repeatedly test children or ask parents to provide the same information.</w:t>
      </w:r>
    </w:p>
    <w:p w:rsidR="00F317BA" w:rsidRPr="00661207" w:rsidP="00577BC6">
      <w:pPr>
        <w:rPr>
          <w:rFonts w:ascii="Calibri" w:hAnsi="Calibri" w:cs="Calibri"/>
          <w:b/>
          <w:bCs/>
        </w:rPr>
      </w:pPr>
      <w:r w:rsidRPr="00661207">
        <w:rPr>
          <w:rFonts w:ascii="Calibri" w:hAnsi="Calibri" w:cs="Calibri"/>
          <w:b/>
          <w:bCs/>
        </w:rPr>
        <w:t xml:space="preserve">Chapter 4: Withdrawn to engaging </w:t>
      </w:r>
      <w:r w:rsidRPr="00661207">
        <w:rPr>
          <w:rFonts w:ascii="Calibri" w:hAnsi="Calibri" w:cs="Calibri"/>
          <w:b/>
          <w:bCs/>
        </w:rPr>
        <w:t>(</w:t>
      </w:r>
      <w:r w:rsidRPr="00661207">
        <w:rPr>
          <w:rFonts w:ascii="Calibri" w:hAnsi="Calibri" w:cs="Calibri"/>
          <w:b/>
          <w:bCs/>
        </w:rPr>
        <w:t>parental engagement</w:t>
      </w:r>
      <w:r w:rsidRPr="00661207">
        <w:rPr>
          <w:rFonts w:ascii="Calibri" w:hAnsi="Calibri" w:cs="Calibri"/>
          <w:b/>
          <w:bCs/>
        </w:rPr>
        <w:t>)</w:t>
      </w:r>
    </w:p>
    <w:p w:rsidR="00F317BA" w:rsidRPr="00661207" w:rsidP="00D50500">
      <w:pPr>
        <w:numPr>
          <w:ilvl w:val="0"/>
          <w:numId w:val="3"/>
        </w:numPr>
        <w:rPr>
          <w:rFonts w:ascii="Calibri" w:hAnsi="Calibri" w:cs="Calibri"/>
        </w:rPr>
      </w:pPr>
      <w:r w:rsidRPr="00661207">
        <w:rPr>
          <w:rFonts w:ascii="Calibri" w:hAnsi="Calibri" w:cs="Calibri"/>
        </w:rPr>
        <w:t xml:space="preserve">The White Paper usefully recognises that poverty, housing pressures, language barriers and previous negative experiences of education can inhibit </w:t>
      </w:r>
      <w:r w:rsidRPr="00661207">
        <w:rPr>
          <w:rFonts w:ascii="Calibri" w:hAnsi="Calibri" w:cs="Calibri"/>
        </w:rPr>
        <w:t>engagement, and</w:t>
      </w:r>
      <w:r w:rsidRPr="00661207">
        <w:rPr>
          <w:rFonts w:ascii="Calibri" w:hAnsi="Calibri" w:cs="Calibri"/>
        </w:rPr>
        <w:t xml:space="preserve"> proposes targeted approaches to build trusting relationships. However, its parallel emphasis on high expectations of families and, in extreme cases, powers to mandate engagement creates a risk that structural or relational barriers are reframed as parental non-compliance. </w:t>
      </w:r>
    </w:p>
    <w:p w:rsidR="00F317BA" w:rsidRPr="00661207" w:rsidP="00D50500">
      <w:pPr>
        <w:numPr>
          <w:ilvl w:val="0"/>
          <w:numId w:val="3"/>
        </w:numPr>
        <w:rPr>
          <w:rFonts w:ascii="Calibri" w:hAnsi="Calibri" w:cs="Calibri"/>
        </w:rPr>
      </w:pPr>
      <w:r w:rsidRPr="00661207">
        <w:rPr>
          <w:rFonts w:ascii="Calibri" w:hAnsi="Calibri" w:cs="Calibri"/>
        </w:rPr>
        <w:t xml:space="preserve">Research suggests that apparent disengagement may instead reflect how services are designed and delivered. Families can be deterred by fear of judgement, inaccessible locations, inflexible provision, language barriers, previous negative experiences of education or a sense that initiatives are being imposed upon rather than developed with them. </w:t>
      </w:r>
      <w:r w:rsidRPr="00661207">
        <w:rPr>
          <w:rFonts w:ascii="Calibri" w:hAnsi="Calibri" w:cs="Calibri"/>
        </w:rPr>
        <w:t xml:space="preserve">Evangelou and colleagues </w:t>
      </w:r>
      <w:r w:rsidRPr="00661207">
        <w:rPr>
          <w:rFonts w:ascii="Calibri" w:hAnsi="Calibri" w:cs="Calibri"/>
        </w:rPr>
        <w:t>(20</w:t>
      </w:r>
      <w:r w:rsidRPr="00661207">
        <w:rPr>
          <w:rFonts w:ascii="Calibri" w:hAnsi="Calibri" w:cs="Calibri"/>
        </w:rPr>
        <w:t>13</w:t>
      </w:r>
      <w:r w:rsidRPr="00661207">
        <w:rPr>
          <w:rFonts w:ascii="Calibri" w:hAnsi="Calibri" w:cs="Calibri"/>
        </w:rPr>
        <w:t xml:space="preserve">) </w:t>
      </w:r>
      <w:r w:rsidRPr="00661207">
        <w:rPr>
          <w:rFonts w:ascii="Calibri" w:hAnsi="Calibri" w:cs="Calibri"/>
        </w:rPr>
        <w:t xml:space="preserve">found that familiar locations, low-threshold entry, skilled and stable staff, flexibility and time to build trust were central to engaging families who did not use conventional provision. </w:t>
      </w:r>
    </w:p>
    <w:p w:rsidR="00F317BA" w:rsidRPr="00661207" w:rsidP="00D50500">
      <w:pPr>
        <w:numPr>
          <w:ilvl w:val="0"/>
          <w:numId w:val="3"/>
        </w:numPr>
        <w:rPr>
          <w:rFonts w:ascii="Calibri" w:hAnsi="Calibri" w:cs="Calibri"/>
        </w:rPr>
      </w:pPr>
      <w:r w:rsidRPr="00661207">
        <w:rPr>
          <w:rFonts w:ascii="Calibri" w:hAnsi="Calibri" w:cs="Calibri"/>
        </w:rPr>
        <w:t>Our community literacy research in areas of socioeconomic disadvantage has adopted a participatory approach. Local parents were recruited as community researchers; relationships and priorities were explored before programmes were designed; and sessions were delivered in familiar, hyperlocal community venues. Families and local practitioners identified trust, fear of judgement, limited outreach and over-professionalisation as important barriers. Our outcome evidence remains preliminary, but indicates that ou</w:t>
      </w:r>
      <w:r w:rsidRPr="00661207">
        <w:rPr>
          <w:rFonts w:ascii="Calibri" w:hAnsi="Calibri" w:cs="Calibri"/>
        </w:rPr>
        <w:t xml:space="preserve">treach, co-design and relationship-building are substantive components of provision rather than optional additions. </w:t>
      </w:r>
    </w:p>
    <w:p w:rsidR="00F317BA" w:rsidRPr="00661207" w:rsidP="00577BC6">
      <w:pPr>
        <w:rPr>
          <w:rFonts w:ascii="Calibri" w:hAnsi="Calibri" w:cs="Calibri"/>
          <w:b/>
          <w:bCs/>
        </w:rPr>
      </w:pPr>
      <w:r w:rsidRPr="00661207">
        <w:rPr>
          <w:rFonts w:ascii="Calibri" w:hAnsi="Calibri" w:cs="Calibri"/>
          <w:b/>
          <w:bCs/>
        </w:rPr>
        <w:t>Recommendations</w:t>
      </w:r>
    </w:p>
    <w:p w:rsidR="00F317BA" w:rsidRPr="00661207" w:rsidP="00183D64">
      <w:pPr>
        <w:pStyle w:val="ListParagraph"/>
        <w:numPr>
          <w:ilvl w:val="0"/>
          <w:numId w:val="5"/>
        </w:numPr>
        <w:rPr>
          <w:rFonts w:ascii="Calibri" w:hAnsi="Calibri" w:cs="Calibri"/>
        </w:rPr>
      </w:pPr>
      <w:r w:rsidRPr="00661207">
        <w:rPr>
          <w:rFonts w:ascii="Calibri" w:hAnsi="Calibri" w:cs="Calibri"/>
        </w:rPr>
        <w:t>Best Start Family Hubs should be required to publish an equity-of-reach assessment, examining recruitment, sustained engagement and dosage</w:t>
      </w:r>
      <w:r w:rsidRPr="00661207">
        <w:rPr>
          <w:rFonts w:ascii="Calibri" w:hAnsi="Calibri" w:cs="Calibri"/>
        </w:rPr>
        <w:t>, rather than just</w:t>
      </w:r>
      <w:r w:rsidRPr="00661207">
        <w:rPr>
          <w:rFonts w:ascii="Calibri" w:hAnsi="Calibri" w:cs="Calibri"/>
        </w:rPr>
        <w:t xml:space="preserve"> registration or one-off contact. </w:t>
      </w:r>
    </w:p>
    <w:p w:rsidR="00F317BA" w:rsidRPr="00661207" w:rsidP="00577BC6">
      <w:pPr>
        <w:numPr>
          <w:ilvl w:val="0"/>
          <w:numId w:val="5"/>
        </w:numPr>
        <w:rPr>
          <w:rFonts w:ascii="Calibri" w:hAnsi="Calibri" w:cs="Calibri"/>
        </w:rPr>
      </w:pPr>
      <w:r w:rsidRPr="00661207">
        <w:rPr>
          <w:rFonts w:ascii="Calibri" w:hAnsi="Calibri" w:cs="Calibri"/>
        </w:rPr>
        <w:t xml:space="preserve">Outreach, relationship-building and community co-design should be recognised and funded as core delivery activities. </w:t>
      </w:r>
    </w:p>
    <w:p w:rsidR="00F317BA" w:rsidRPr="00661207" w:rsidP="00577BC6">
      <w:pPr>
        <w:numPr>
          <w:ilvl w:val="0"/>
          <w:numId w:val="5"/>
        </w:numPr>
        <w:rPr>
          <w:rFonts w:ascii="Calibri" w:hAnsi="Calibri" w:cs="Calibri"/>
        </w:rPr>
      </w:pPr>
      <w:r w:rsidRPr="00661207">
        <w:rPr>
          <w:rFonts w:ascii="Calibri" w:hAnsi="Calibri" w:cs="Calibri"/>
        </w:rPr>
        <w:t>Evaluation should be both rigorous and inclusive. Research procedures should be co-designed with families, proportionate to the stage of programme development, and monitored for their effects on recruitment and retention. Evaluations should report who declines, disengages or is lost to follow-up, and compare participants with the intended population wherever possible. The need for conventional trial data should be balanced against the risk that burdensome assessment selectively excludes the families whose e</w:t>
      </w:r>
      <w:r w:rsidRPr="00661207">
        <w:rPr>
          <w:rFonts w:ascii="Calibri" w:hAnsi="Calibri" w:cs="Calibri"/>
        </w:rPr>
        <w:t>xperiences most need to inform policy</w:t>
      </w:r>
      <w:r w:rsidRPr="00661207">
        <w:rPr>
          <w:rFonts w:ascii="Calibri" w:hAnsi="Calibri" w:cs="Calibri"/>
        </w:rPr>
        <w:t xml:space="preserve">. </w:t>
      </w:r>
    </w:p>
    <w:p w:rsidR="00F317BA" w:rsidRPr="00661207" w:rsidP="00577BC6">
      <w:pPr>
        <w:numPr>
          <w:ilvl w:val="0"/>
          <w:numId w:val="5"/>
        </w:numPr>
        <w:rPr>
          <w:rFonts w:ascii="Calibri" w:hAnsi="Calibri" w:cs="Calibri"/>
        </w:rPr>
      </w:pPr>
      <w:r w:rsidRPr="00661207">
        <w:rPr>
          <w:rFonts w:ascii="Calibri" w:hAnsi="Calibri" w:cs="Calibri"/>
        </w:rPr>
        <w:t>Government should separately evaluate proximal outcomes</w:t>
      </w:r>
      <w:r w:rsidRPr="00661207">
        <w:rPr>
          <w:rFonts w:ascii="Calibri" w:hAnsi="Calibri" w:cs="Calibri"/>
        </w:rPr>
        <w:t xml:space="preserve"> </w:t>
      </w:r>
      <w:r w:rsidRPr="00661207">
        <w:rPr>
          <w:rFonts w:ascii="Calibri" w:hAnsi="Calibri" w:cs="Calibri"/>
        </w:rPr>
        <w:t>such as book access, confidence and parental behaviour</w:t>
      </w:r>
      <w:r w:rsidRPr="00661207">
        <w:rPr>
          <w:rFonts w:ascii="Calibri" w:hAnsi="Calibri" w:cs="Calibri"/>
        </w:rPr>
        <w:t xml:space="preserve">, </w:t>
      </w:r>
      <w:r w:rsidRPr="00661207">
        <w:rPr>
          <w:rFonts w:ascii="Calibri" w:hAnsi="Calibri" w:cs="Calibri"/>
        </w:rPr>
        <w:t xml:space="preserve">and distal outcomes such as child language, literacy and attainment. </w:t>
      </w:r>
    </w:p>
    <w:p w:rsidR="00F317BA" w:rsidRPr="00661207" w:rsidP="00577BC6">
      <w:pPr>
        <w:numPr>
          <w:ilvl w:val="0"/>
          <w:numId w:val="5"/>
        </w:numPr>
        <w:rPr>
          <w:rFonts w:ascii="Calibri" w:hAnsi="Calibri" w:cs="Calibri"/>
        </w:rPr>
      </w:pPr>
      <w:r w:rsidRPr="00661207">
        <w:rPr>
          <w:rFonts w:ascii="Calibri" w:hAnsi="Calibri" w:cs="Calibri"/>
        </w:rPr>
        <w:t xml:space="preserve">The proposed parental-engagement framework should place reciprocal responsibilities on schools and services to demonstrate that provision is accessible, trusted and responsive. Mandating engagement should not substitute for investigating why families have disengaged. </w:t>
      </w:r>
    </w:p>
    <w:p w:rsidR="00F317BA" w:rsidRPr="00661207" w:rsidP="00FC32DB">
      <w:pPr>
        <w:rPr>
          <w:rFonts w:ascii="Calibri" w:hAnsi="Calibri" w:cs="Calibri"/>
          <w:b/>
          <w:bCs/>
        </w:rPr>
      </w:pPr>
      <w:r w:rsidRPr="00661207">
        <w:rPr>
          <w:rFonts w:ascii="Calibri" w:hAnsi="Calibri" w:cs="Calibri"/>
          <w:b/>
          <w:bCs/>
        </w:rPr>
        <w:t>Conclusion</w:t>
      </w:r>
    </w:p>
    <w:p w:rsidR="00F317BA" w:rsidRPr="00661207" w:rsidP="00BF7EC3">
      <w:pPr>
        <w:pStyle w:val="ListParagraph"/>
        <w:numPr>
          <w:ilvl w:val="0"/>
          <w:numId w:val="5"/>
        </w:numPr>
        <w:rPr>
          <w:rFonts w:ascii="Calibri" w:hAnsi="Calibri" w:cs="Calibri"/>
        </w:rPr>
      </w:pPr>
      <w:r w:rsidRPr="00661207">
        <w:rPr>
          <w:rFonts w:ascii="Calibri" w:hAnsi="Calibri" w:cs="Calibri"/>
        </w:rPr>
        <w:t>The White Paper offers a substantial opportunity to rebuild integrated early family services. Its success will depend not only on what is offered, but on who is reached, the quality and intensity of support they receive, and whether services are shaped with, rather than simply delivered to, local families.</w:t>
      </w:r>
    </w:p>
    <w:p w:rsidR="00F317BA" w:rsidRPr="00661207" w:rsidP="00B96D79">
      <w:pPr>
        <w:rPr>
          <w:rFonts w:ascii="Calibri" w:hAnsi="Calibri" w:cs="Calibri"/>
          <w:b/>
          <w:bCs/>
        </w:rPr>
      </w:pPr>
      <w:r w:rsidRPr="00661207">
        <w:rPr>
          <w:rFonts w:ascii="Calibri" w:hAnsi="Calibri" w:cs="Calibri"/>
          <w:b/>
          <w:bCs/>
        </w:rPr>
        <w:t>References</w:t>
      </w:r>
    </w:p>
    <w:p w:rsidR="00F317BA" w:rsidRPr="00661207" w:rsidP="00B96D79">
      <w:pPr>
        <w:rPr>
          <w:rFonts w:ascii="Calibri" w:hAnsi="Calibri" w:cs="Calibri"/>
        </w:rPr>
      </w:pPr>
      <w:r w:rsidRPr="00661207">
        <w:rPr>
          <w:rFonts w:ascii="Calibri" w:hAnsi="Calibri" w:cs="Calibri"/>
        </w:rPr>
        <w:t>Burgoyne, K., Gardner, R., Whiteley, H., Snowling, M. J., &amp; Hulme, C. (2018). Evaluation of a parent‐delivered early language enrichment programme: Evidence from a randomised controlled trial. </w:t>
      </w:r>
      <w:r w:rsidRPr="00661207">
        <w:rPr>
          <w:rFonts w:ascii="Calibri" w:hAnsi="Calibri" w:cs="Calibri"/>
          <w:i/>
          <w:iCs/>
        </w:rPr>
        <w:t>Journal of Child Psychology and Psychiatry</w:t>
      </w:r>
      <w:r w:rsidRPr="00661207">
        <w:rPr>
          <w:rFonts w:ascii="Calibri" w:hAnsi="Calibri" w:cs="Calibri"/>
        </w:rPr>
        <w:t>, </w:t>
      </w:r>
      <w:r w:rsidRPr="00661207">
        <w:rPr>
          <w:rFonts w:ascii="Calibri" w:hAnsi="Calibri" w:cs="Calibri"/>
          <w:i/>
          <w:iCs/>
        </w:rPr>
        <w:t>59</w:t>
      </w:r>
      <w:r w:rsidRPr="00661207">
        <w:rPr>
          <w:rFonts w:ascii="Calibri" w:hAnsi="Calibri" w:cs="Calibri"/>
        </w:rPr>
        <w:t>(5), 545-555.</w:t>
      </w:r>
    </w:p>
    <w:p w:rsidR="00F317BA" w:rsidRPr="00661207" w:rsidP="00B96D79">
      <w:pPr>
        <w:rPr>
          <w:rFonts w:ascii="Calibri" w:hAnsi="Calibri" w:cs="Calibri"/>
        </w:rPr>
      </w:pPr>
      <w:r w:rsidRPr="00661207">
        <w:rPr>
          <w:rFonts w:ascii="Calibri" w:hAnsi="Calibri" w:cs="Calibri"/>
        </w:rPr>
        <w:t>Burgoyne, K., Boundy, L., Eerola, P., Zhang, Q., Einbeck, J., Cramman, H., &amp; Menzies, V. (2025). Failure to replicate effects of parent‐delivered early language intervention: Evidence from a randomised controlled trial with implications for universal language intervention. </w:t>
      </w:r>
      <w:r w:rsidRPr="00661207">
        <w:rPr>
          <w:rFonts w:ascii="Calibri" w:hAnsi="Calibri" w:cs="Calibri"/>
          <w:i/>
          <w:iCs/>
        </w:rPr>
        <w:t>JCPP Advances</w:t>
      </w:r>
      <w:r w:rsidRPr="00661207">
        <w:rPr>
          <w:rFonts w:ascii="Calibri" w:hAnsi="Calibri" w:cs="Calibri"/>
        </w:rPr>
        <w:t>, e70064.</w:t>
      </w:r>
    </w:p>
    <w:p w:rsidR="00F317BA" w:rsidRPr="00661207" w:rsidP="00B96D79">
      <w:pPr>
        <w:rPr>
          <w:rFonts w:ascii="Calibri" w:hAnsi="Calibri" w:cs="Calibri"/>
        </w:rPr>
      </w:pPr>
      <w:r w:rsidRPr="00661207">
        <w:rPr>
          <w:rFonts w:ascii="Calibri" w:hAnsi="Calibri" w:cs="Calibri"/>
        </w:rPr>
        <w:t>Carneiro, P., Cattan, S., Conti, G., Crawford, C., Farquharson, C., &amp; Ridpath, N. (2025). </w:t>
      </w:r>
      <w:r w:rsidRPr="00661207">
        <w:rPr>
          <w:rFonts w:ascii="Calibri" w:hAnsi="Calibri" w:cs="Calibri"/>
          <w:i/>
          <w:iCs/>
        </w:rPr>
        <w:t>The short-and medium-term effects of Sure Start on children's outcomes</w:t>
      </w:r>
      <w:r w:rsidRPr="00661207">
        <w:rPr>
          <w:rFonts w:ascii="Calibri" w:hAnsi="Calibri" w:cs="Calibri"/>
        </w:rPr>
        <w:t>. IFS Report.</w:t>
      </w:r>
    </w:p>
    <w:p w:rsidR="00F317BA" w:rsidRPr="00661207" w:rsidP="00B96D79">
      <w:pPr>
        <w:rPr>
          <w:rFonts w:ascii="Calibri" w:hAnsi="Calibri" w:cs="Calibri"/>
        </w:rPr>
      </w:pPr>
      <w:r w:rsidRPr="00661207">
        <w:rPr>
          <w:rFonts w:ascii="Calibri" w:hAnsi="Calibri" w:cs="Calibri"/>
        </w:rPr>
        <w:t>Fletcher-Watson, S., Joseph, H., Crane, L., Pavlopoulou, G., Lukito, S., Funnell, E., ... &amp; Crompton, C. J. (2025). Applied principles for inclusive practice in neurodevelopmental research: A selection and report of illustrative case studies. </w:t>
      </w:r>
      <w:r w:rsidRPr="00661207">
        <w:rPr>
          <w:rFonts w:ascii="Calibri" w:hAnsi="Calibri" w:cs="Calibri"/>
          <w:i/>
          <w:iCs/>
        </w:rPr>
        <w:t>Current developmental disorders reports</w:t>
      </w:r>
      <w:r w:rsidRPr="00661207">
        <w:rPr>
          <w:rFonts w:ascii="Calibri" w:hAnsi="Calibri" w:cs="Calibri"/>
        </w:rPr>
        <w:t>, </w:t>
      </w:r>
      <w:r w:rsidRPr="00661207">
        <w:rPr>
          <w:rFonts w:ascii="Calibri" w:hAnsi="Calibri" w:cs="Calibri"/>
          <w:i/>
          <w:iCs/>
        </w:rPr>
        <w:t>12</w:t>
      </w:r>
      <w:r w:rsidRPr="00661207">
        <w:rPr>
          <w:rFonts w:ascii="Calibri" w:hAnsi="Calibri" w:cs="Calibri"/>
        </w:rPr>
        <w:t>(1), 7.</w:t>
      </w:r>
    </w:p>
    <w:p w:rsidR="00F317BA" w:rsidRPr="00661207" w:rsidP="00B96D79">
      <w:pPr>
        <w:rPr>
          <w:rFonts w:ascii="Calibri" w:hAnsi="Calibri" w:cs="Calibri"/>
        </w:rPr>
      </w:pPr>
      <w:r w:rsidRPr="00661207">
        <w:rPr>
          <w:rFonts w:ascii="Calibri" w:hAnsi="Calibri" w:cs="Calibri"/>
        </w:rPr>
        <w:t xml:space="preserve">Menzies, V., Eerola, P., Ashraf, B., Zhang, Q., Cramman, H., &amp; Einbeck, J. (2024). </w:t>
      </w:r>
      <w:r w:rsidRPr="00661207">
        <w:rPr>
          <w:rFonts w:ascii="Calibri" w:hAnsi="Calibri" w:cs="Calibri"/>
          <w:i/>
          <w:iCs/>
        </w:rPr>
        <w:t>Evaluating the impact of the Parents and Children Together (PACT) programme on the language skills of 3-to 4-year-old nursery children. A two-armed randomised trial</w:t>
      </w:r>
      <w:r w:rsidRPr="00661207">
        <w:rPr>
          <w:rFonts w:ascii="Calibri" w:hAnsi="Calibri" w:cs="Calibri"/>
        </w:rPr>
        <w:t>.</w:t>
      </w:r>
      <w:r w:rsidRPr="00661207">
        <w:rPr>
          <w:rFonts w:ascii="Calibri" w:hAnsi="Calibri" w:cs="Calibri"/>
        </w:rPr>
        <w:t xml:space="preserve"> Report for the Education </w:t>
      </w:r>
      <w:r w:rsidRPr="00661207">
        <w:rPr>
          <w:rFonts w:ascii="Calibri" w:hAnsi="Calibri" w:cs="Calibri"/>
        </w:rPr>
        <w:t>Endowment Foundation.</w:t>
      </w:r>
    </w:p>
    <w:p w:rsidR="00F317BA" w:rsidRPr="00661207" w:rsidP="00B96D79">
      <w:pPr>
        <w:rPr>
          <w:rFonts w:ascii="Calibri" w:hAnsi="Calibri" w:cs="Calibri"/>
        </w:rPr>
      </w:pPr>
    </w:p>
    <w:p w:rsidR="00F317BA" w:rsidRPr="00661207" w:rsidP="00FC32DB">
      <w:pPr>
        <w:rPr>
          <w:rFonts w:ascii="Calibri" w:hAnsi="Calibri" w:cs="Calibri"/>
        </w:rPr>
      </w:pPr>
    </w:p>
    <w:p w:rsidR="00F317BA" w:rsidRPr="00661207">
      <w:pPr>
        <w:rPr>
          <w:rFonts w:ascii="Calibri" w:hAnsi="Calibri" w:cs="Calibri"/>
          <w:i/>
          <w:iCs/>
        </w:rPr>
      </w:pPr>
      <w:r w:rsidRPr="00661207">
        <w:rPr>
          <w:rFonts w:ascii="Calibri" w:hAnsi="Calibri" w:cs="Calibri"/>
          <w:i/>
          <w:iCs/>
        </w:rPr>
        <w:t>September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1E4555"/>
    <w:multiLevelType w:val="multilevel"/>
    <w:tmpl w:val="FCF00A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5691313"/>
    <w:multiLevelType w:val="multilevel"/>
    <w:tmpl w:val="2318C34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8143C7C"/>
    <w:multiLevelType w:val="multilevel"/>
    <w:tmpl w:val="3D16E446"/>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6F33A5A"/>
    <w:multiLevelType w:val="multilevel"/>
    <w:tmpl w:val="F536D6B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CCF6688"/>
    <w:multiLevelType w:val="multilevel"/>
    <w:tmpl w:val="48A450DC"/>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577B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7B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7B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7B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7B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7B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7B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7B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7B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7B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7B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7B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7B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7B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7B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7B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7B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7BC6"/>
    <w:rPr>
      <w:rFonts w:eastAsiaTheme="majorEastAsia" w:cstheme="majorBidi"/>
      <w:color w:val="272727" w:themeColor="text1" w:themeTint="D8"/>
    </w:rPr>
  </w:style>
  <w:style w:type="paragraph" w:styleId="Title">
    <w:name w:val="Title"/>
    <w:basedOn w:val="Normal"/>
    <w:next w:val="Normal"/>
    <w:link w:val="TitleChar"/>
    <w:uiPriority w:val="10"/>
    <w:qFormat/>
    <w:rsid w:val="00577B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7B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7B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7B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7BC6"/>
    <w:pPr>
      <w:spacing w:before="160"/>
      <w:jc w:val="center"/>
    </w:pPr>
    <w:rPr>
      <w:i/>
      <w:iCs/>
      <w:color w:val="404040" w:themeColor="text1" w:themeTint="BF"/>
    </w:rPr>
  </w:style>
  <w:style w:type="character" w:customStyle="1" w:styleId="QuoteChar">
    <w:name w:val="Quote Char"/>
    <w:basedOn w:val="DefaultParagraphFont"/>
    <w:link w:val="Quote"/>
    <w:uiPriority w:val="29"/>
    <w:rsid w:val="00577BC6"/>
    <w:rPr>
      <w:i/>
      <w:iCs/>
      <w:color w:val="404040" w:themeColor="text1" w:themeTint="BF"/>
    </w:rPr>
  </w:style>
  <w:style w:type="paragraph" w:styleId="ListParagraph">
    <w:name w:val="List Paragraph"/>
    <w:basedOn w:val="Normal"/>
    <w:uiPriority w:val="34"/>
    <w:qFormat/>
    <w:rsid w:val="00577BC6"/>
    <w:pPr>
      <w:ind w:left="720"/>
      <w:contextualSpacing/>
    </w:pPr>
  </w:style>
  <w:style w:type="character" w:styleId="IntenseEmphasis">
    <w:name w:val="Intense Emphasis"/>
    <w:basedOn w:val="DefaultParagraphFont"/>
    <w:uiPriority w:val="21"/>
    <w:qFormat/>
    <w:rsid w:val="00577BC6"/>
    <w:rPr>
      <w:i/>
      <w:iCs/>
      <w:color w:val="0F4761" w:themeColor="accent1" w:themeShade="BF"/>
    </w:rPr>
  </w:style>
  <w:style w:type="paragraph" w:styleId="IntenseQuote">
    <w:name w:val="Intense Quote"/>
    <w:basedOn w:val="Normal"/>
    <w:next w:val="Normal"/>
    <w:link w:val="IntenseQuoteChar"/>
    <w:uiPriority w:val="30"/>
    <w:qFormat/>
    <w:rsid w:val="00577B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7BC6"/>
    <w:rPr>
      <w:i/>
      <w:iCs/>
      <w:color w:val="0F4761" w:themeColor="accent1" w:themeShade="BF"/>
    </w:rPr>
  </w:style>
  <w:style w:type="character" w:styleId="IntenseReference">
    <w:name w:val="Intense Reference"/>
    <w:basedOn w:val="DefaultParagraphFont"/>
    <w:uiPriority w:val="32"/>
    <w:qFormat/>
    <w:rsid w:val="00577BC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ECA0080</dc:title>
  <cp:revision>0</cp:revision>
</cp:coreProperties>
</file>