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73A5" w:rsidRPr="002073A5" w:rsidP="002073A5">
      <w:pPr>
        <w:pStyle w:val="breadcrumb-item"/>
        <w:ind w:left="720"/>
        <w:jc w:val="center"/>
        <w:rPr>
          <w:rFonts w:ascii="Calibri" w:hAnsi="Calibri" w:cs="Calibri"/>
          <w:color w:val="000000"/>
          <w:sz w:val="22"/>
          <w:szCs w:val="22"/>
        </w:rPr>
      </w:pPr>
      <w:r w:rsidRPr="002073A5">
        <w:rPr>
          <w:rFonts w:ascii="Calibri" w:hAnsi="Calibri" w:cs="Calibri"/>
          <w:b/>
          <w:bCs/>
          <w:sz w:val="22"/>
          <w:szCs w:val="22"/>
        </w:rPr>
        <w:t xml:space="preserve">Written evidence by </w:t>
      </w:r>
      <w:r w:rsidRPr="002073A5">
        <w:rPr>
          <w:rFonts w:ascii="Calibri" w:hAnsi="Calibri" w:cs="Calibri"/>
          <w:b/>
          <w:bCs/>
          <w:sz w:val="22"/>
          <w:szCs w:val="22"/>
        </w:rPr>
        <w:t>The National College</w:t>
      </w:r>
      <w:r w:rsidRPr="002073A5">
        <w:rPr>
          <w:rFonts w:ascii="Calibri" w:hAnsi="Calibri" w:cs="Calibri"/>
          <w:b/>
          <w:bCs/>
          <w:sz w:val="22"/>
          <w:szCs w:val="22"/>
        </w:rPr>
        <w:t xml:space="preserve"> (ECA0078)</w:t>
      </w:r>
    </w:p>
    <w:p w:rsidR="00630B38" w:rsidRPr="002073A5" w:rsidP="002073A5">
      <w:pPr>
        <w:jc w:val="center"/>
        <w:rPr>
          <w:rFonts w:ascii="Calibri" w:hAnsi="Calibri" w:cs="Calibri"/>
          <w:b/>
          <w:bCs/>
          <w:sz w:val="22"/>
          <w:szCs w:val="22"/>
        </w:rPr>
      </w:pPr>
    </w:p>
    <w:p w:rsidR="002073A5" w:rsidRPr="002073A5" w:rsidP="002073A5">
      <w:pPr>
        <w:rPr>
          <w:rFonts w:ascii="Calibri" w:hAnsi="Calibri" w:cs="Calibri"/>
          <w:b/>
          <w:bCs/>
          <w:sz w:val="22"/>
          <w:szCs w:val="22"/>
        </w:rPr>
      </w:pPr>
      <w:r w:rsidRPr="002073A5">
        <w:rPr>
          <w:rFonts w:ascii="Calibri" w:hAnsi="Calibri" w:cs="Calibri"/>
          <w:b/>
          <w:bCs/>
          <w:sz w:val="22"/>
          <w:szCs w:val="22"/>
        </w:rPr>
        <w:t>Education Committee</w:t>
      </w:r>
    </w:p>
    <w:p w:rsidR="002073A5" w:rsidRPr="002073A5" w:rsidP="002073A5">
      <w:pPr>
        <w:rPr>
          <w:rFonts w:ascii="Calibri" w:hAnsi="Calibri" w:cs="Calibri"/>
          <w:b/>
          <w:bCs/>
          <w:sz w:val="22"/>
          <w:szCs w:val="22"/>
        </w:rPr>
      </w:pPr>
      <w:r w:rsidRPr="002073A5">
        <w:rPr>
          <w:rFonts w:ascii="Calibri" w:eastAsia="Aptos" w:hAnsi="Calibri" w:cs="Calibri"/>
          <w:b/>
          <w:bCs/>
          <w:sz w:val="22"/>
          <w:szCs w:val="22"/>
        </w:rPr>
        <w:t>Every Child Achieving and Thriving’ White Paper</w:t>
      </w:r>
    </w:p>
    <w:p w:rsidR="00630B38" w:rsidRPr="002073A5" w:rsidP="002073A5">
      <w:pPr>
        <w:rPr>
          <w:rFonts w:ascii="Calibri" w:hAnsi="Calibri" w:cs="Calibri"/>
          <w:b/>
          <w:bCs/>
          <w:color w:val="E97132" w:themeColor="accent2"/>
          <w:sz w:val="22"/>
          <w:szCs w:val="22"/>
        </w:rPr>
      </w:pPr>
      <w:r w:rsidRPr="002073A5">
        <w:rPr>
          <w:rFonts w:ascii="Calibri" w:hAnsi="Calibri" w:cs="Calibri"/>
          <w:b/>
          <w:bCs/>
          <w:color w:val="E97132" w:themeColor="accent2"/>
          <w:sz w:val="22"/>
          <w:szCs w:val="22"/>
        </w:rPr>
        <w:t>About The National College</w:t>
      </w:r>
    </w:p>
    <w:p w:rsidR="00630B38" w:rsidRPr="002073A5" w:rsidP="0094274A">
      <w:pPr>
        <w:jc w:val="both"/>
        <w:rPr>
          <w:rFonts w:ascii="Calibri" w:hAnsi="Calibri" w:cs="Calibri"/>
          <w:color w:val="000000" w:themeColor="text1"/>
          <w:sz w:val="22"/>
          <w:szCs w:val="22"/>
        </w:rPr>
      </w:pPr>
      <w:r>
        <w:fldChar w:fldCharType="begin"/>
      </w:r>
      <w:r>
        <w:instrText xml:space="preserve"> HYPERLINK "https://nationalcollege.com/" </w:instrText>
      </w:r>
      <w:r>
        <w:fldChar w:fldCharType="separate"/>
      </w:r>
      <w:r w:rsidRPr="002073A5">
        <w:rPr>
          <w:rStyle w:val="Hyperlink"/>
          <w:rFonts w:ascii="Calibri" w:hAnsi="Calibri" w:cs="Calibri"/>
          <w:sz w:val="22"/>
          <w:szCs w:val="22"/>
        </w:rPr>
        <w:t>The National College (TNC)</w:t>
      </w:r>
      <w:r>
        <w:fldChar w:fldCharType="end"/>
      </w:r>
      <w:r w:rsidRPr="002073A5">
        <w:rPr>
          <w:rFonts w:ascii="Calibri" w:hAnsi="Calibri" w:cs="Calibri"/>
          <w:color w:val="000000" w:themeColor="text1"/>
          <w:sz w:val="22"/>
          <w:szCs w:val="22"/>
        </w:rPr>
        <w:t xml:space="preserve"> is the UK's leading ‘empowerment platform’ for the education sector. Our integrated platform brings together professional development, compliance management and people development in one place, underpinning how schools and trusts operate day to day. </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We work with more than 17,000 schools, colleges and nurseries</w:t>
      </w:r>
      <w:r w:rsidRPr="002073A5">
        <w:rPr>
          <w:rFonts w:ascii="Calibri" w:hAnsi="Calibri" w:cs="Calibri"/>
          <w:color w:val="000000" w:themeColor="text1"/>
          <w:sz w:val="22"/>
          <w:szCs w:val="22"/>
        </w:rPr>
        <w:t xml:space="preserve"> across the country</w:t>
      </w:r>
      <w:r w:rsidRPr="002073A5">
        <w:rPr>
          <w:rFonts w:ascii="Calibri" w:hAnsi="Calibri" w:cs="Calibri"/>
          <w:color w:val="000000" w:themeColor="text1"/>
          <w:sz w:val="22"/>
          <w:szCs w:val="22"/>
        </w:rPr>
        <w:t xml:space="preserve">, including over 70% of multi-academy trusts, </w:t>
      </w:r>
      <w:r w:rsidRPr="002073A5">
        <w:rPr>
          <w:rFonts w:ascii="Calibri" w:hAnsi="Calibri" w:cs="Calibri"/>
          <w:color w:val="000000" w:themeColor="text1"/>
          <w:sz w:val="22"/>
          <w:szCs w:val="22"/>
        </w:rPr>
        <w:t>and our platform supports</w:t>
      </w:r>
      <w:r w:rsidRPr="002073A5">
        <w:rPr>
          <w:rFonts w:ascii="Calibri" w:hAnsi="Calibri" w:cs="Calibri"/>
          <w:color w:val="000000" w:themeColor="text1"/>
          <w:sz w:val="22"/>
          <w:szCs w:val="22"/>
        </w:rPr>
        <w:t xml:space="preserve"> more than 1.2 million active users</w:t>
      </w:r>
      <w:r w:rsidRPr="002073A5">
        <w:rPr>
          <w:rFonts w:ascii="Calibri" w:hAnsi="Calibri" w:cs="Calibri"/>
          <w:color w:val="000000" w:themeColor="text1"/>
          <w:sz w:val="22"/>
          <w:szCs w:val="22"/>
        </w:rPr>
        <w:t xml:space="preserve">. Our reach and scale </w:t>
      </w:r>
      <w:r w:rsidRPr="002073A5">
        <w:rPr>
          <w:rFonts w:ascii="Calibri" w:hAnsi="Calibri" w:cs="Calibri"/>
          <w:color w:val="000000" w:themeColor="text1"/>
          <w:sz w:val="22"/>
          <w:szCs w:val="22"/>
        </w:rPr>
        <w:t>gives</w:t>
      </w:r>
      <w:r w:rsidRPr="002073A5">
        <w:rPr>
          <w:rFonts w:ascii="Calibri" w:hAnsi="Calibri" w:cs="Calibri"/>
          <w:color w:val="000000" w:themeColor="text1"/>
          <w:sz w:val="22"/>
          <w:szCs w:val="22"/>
        </w:rPr>
        <w:t xml:space="preserve"> us</w:t>
      </w:r>
      <w:r w:rsidRPr="002073A5">
        <w:rPr>
          <w:rFonts w:ascii="Calibri" w:hAnsi="Calibri" w:cs="Calibri"/>
          <w:color w:val="000000" w:themeColor="text1"/>
          <w:sz w:val="22"/>
          <w:szCs w:val="22"/>
        </w:rPr>
        <w:t xml:space="preserve"> a unique insight into the day-to-day realities facing teachers, leaders and support staff across the country.</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The National College’s delivery model</w:t>
      </w:r>
      <w:r w:rsidRPr="002073A5">
        <w:rPr>
          <w:rFonts w:ascii="Calibri" w:hAnsi="Calibri" w:cs="Calibri"/>
          <w:color w:val="000000" w:themeColor="text1"/>
          <w:sz w:val="22"/>
          <w:szCs w:val="22"/>
        </w:rPr>
        <w:t xml:space="preserve"> combines professional development, technology and AI-enabled workforce tools, and is flexible, modular and expert-led, ensuring </w:t>
      </w:r>
      <w:r w:rsidRPr="002073A5">
        <w:rPr>
          <w:rFonts w:ascii="Calibri" w:hAnsi="Calibri" w:cs="Calibri"/>
          <w:color w:val="000000" w:themeColor="text1"/>
          <w:sz w:val="22"/>
          <w:szCs w:val="22"/>
        </w:rPr>
        <w:t xml:space="preserve">CPD provision </w:t>
      </w:r>
      <w:r w:rsidRPr="002073A5">
        <w:rPr>
          <w:rFonts w:ascii="Calibri" w:hAnsi="Calibri" w:cs="Calibri"/>
          <w:color w:val="000000" w:themeColor="text1"/>
          <w:sz w:val="22"/>
          <w:szCs w:val="22"/>
        </w:rPr>
        <w:t xml:space="preserve">is </w:t>
      </w:r>
      <w:r w:rsidRPr="002073A5">
        <w:rPr>
          <w:rFonts w:ascii="Calibri" w:hAnsi="Calibri" w:cs="Calibri"/>
          <w:color w:val="000000" w:themeColor="text1"/>
          <w:sz w:val="22"/>
          <w:szCs w:val="22"/>
        </w:rPr>
        <w:t xml:space="preserve">both </w:t>
      </w:r>
      <w:r w:rsidRPr="002073A5">
        <w:rPr>
          <w:rFonts w:ascii="Calibri" w:hAnsi="Calibri" w:cs="Calibri"/>
          <w:color w:val="000000" w:themeColor="text1"/>
          <w:sz w:val="22"/>
          <w:szCs w:val="22"/>
        </w:rPr>
        <w:t xml:space="preserve">evidence-based and directly applicable to classroom and leadership practice. </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We welcome the </w:t>
      </w:r>
      <w:r w:rsidRPr="002073A5">
        <w:rPr>
          <w:rFonts w:ascii="Calibri" w:hAnsi="Calibri" w:cs="Calibri"/>
          <w:color w:val="000000" w:themeColor="text1"/>
          <w:sz w:val="22"/>
          <w:szCs w:val="22"/>
        </w:rPr>
        <w:t>g</w:t>
      </w:r>
      <w:r w:rsidRPr="002073A5">
        <w:rPr>
          <w:rFonts w:ascii="Calibri" w:hAnsi="Calibri" w:cs="Calibri"/>
          <w:color w:val="000000" w:themeColor="text1"/>
          <w:sz w:val="22"/>
          <w:szCs w:val="22"/>
        </w:rPr>
        <w:t xml:space="preserve">overnment's </w:t>
      </w:r>
      <w:r w:rsidRPr="002073A5">
        <w:rPr>
          <w:rFonts w:ascii="Calibri" w:hAnsi="Calibri" w:cs="Calibri"/>
          <w:color w:val="000000" w:themeColor="text1"/>
          <w:sz w:val="22"/>
          <w:szCs w:val="22"/>
        </w:rPr>
        <w:t>commitment</w:t>
      </w:r>
      <w:r w:rsidRPr="002073A5">
        <w:rPr>
          <w:rFonts w:ascii="Calibri" w:hAnsi="Calibri" w:cs="Calibri"/>
          <w:color w:val="000000" w:themeColor="text1"/>
          <w:sz w:val="22"/>
          <w:szCs w:val="22"/>
        </w:rPr>
        <w:t xml:space="preserve"> in </w:t>
      </w:r>
      <w:r w:rsidRPr="002073A5">
        <w:rPr>
          <w:rFonts w:ascii="Calibri" w:hAnsi="Calibri" w:cs="Calibri"/>
          <w:color w:val="000000" w:themeColor="text1"/>
          <w:sz w:val="22"/>
          <w:szCs w:val="22"/>
        </w:rPr>
        <w:t xml:space="preserve">the </w:t>
      </w:r>
      <w:r w:rsidRPr="002073A5">
        <w:rPr>
          <w:rFonts w:ascii="Calibri" w:hAnsi="Calibri" w:cs="Calibri"/>
          <w:i/>
          <w:iCs/>
          <w:color w:val="000000" w:themeColor="text1"/>
          <w:sz w:val="22"/>
          <w:szCs w:val="22"/>
        </w:rPr>
        <w:t>Every</w:t>
      </w:r>
      <w:r w:rsidRPr="002073A5">
        <w:rPr>
          <w:rFonts w:ascii="Calibri" w:hAnsi="Calibri" w:cs="Calibri"/>
          <w:i/>
          <w:iCs/>
          <w:color w:val="000000" w:themeColor="text1"/>
          <w:sz w:val="22"/>
          <w:szCs w:val="22"/>
        </w:rPr>
        <w:t xml:space="preserve"> Child Achieving and Thriving</w:t>
      </w:r>
      <w:r w:rsidRPr="002073A5">
        <w:rPr>
          <w:rFonts w:ascii="Calibri" w:hAnsi="Calibri" w:cs="Calibri"/>
          <w:color w:val="000000" w:themeColor="text1"/>
          <w:sz w:val="22"/>
          <w:szCs w:val="22"/>
        </w:rPr>
        <w:t xml:space="preserve"> White Paper to support and invest in a high-quality workforce. </w:t>
      </w:r>
      <w:r w:rsidRPr="002073A5">
        <w:rPr>
          <w:rFonts w:ascii="Calibri" w:hAnsi="Calibri" w:cs="Calibri"/>
          <w:color w:val="000000" w:themeColor="text1"/>
          <w:sz w:val="22"/>
          <w:szCs w:val="22"/>
        </w:rPr>
        <w:t>In particular, we</w:t>
      </w:r>
      <w:r w:rsidRPr="002073A5">
        <w:rPr>
          <w:rFonts w:ascii="Calibri" w:hAnsi="Calibri" w:cs="Calibri"/>
          <w:color w:val="000000" w:themeColor="text1"/>
          <w:sz w:val="22"/>
          <w:szCs w:val="22"/>
        </w:rPr>
        <w:t xml:space="preserve"> support the recognition that high-quality teaching is the greatest in-school determinant of pupil outcomes, and that career-long professional development, strong leadership and workforce wellbeing are central to improving recruitment, retention and educational outcomes.</w:t>
      </w:r>
      <w:r w:rsidRPr="002073A5">
        <w:rPr>
          <w:rFonts w:ascii="Calibri" w:hAnsi="Calibri" w:cs="Calibri"/>
          <w:color w:val="000000" w:themeColor="text1"/>
          <w:sz w:val="22"/>
          <w:szCs w:val="22"/>
        </w:rPr>
        <w:t xml:space="preserve"> </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We also share the view that AI has a significant role to play in the future of education, not least in tackling teacher workload challenges, </w:t>
      </w:r>
      <w:r w:rsidRPr="002073A5">
        <w:rPr>
          <w:rFonts w:ascii="Calibri" w:hAnsi="Calibri" w:cs="Calibri"/>
          <w:color w:val="000000" w:themeColor="text1"/>
          <w:sz w:val="22"/>
          <w:szCs w:val="22"/>
        </w:rPr>
        <w:t>reducing administrative burdens</w:t>
      </w:r>
      <w:r w:rsidRPr="002073A5">
        <w:rPr>
          <w:rFonts w:ascii="Calibri" w:hAnsi="Calibri" w:cs="Calibri"/>
          <w:color w:val="000000" w:themeColor="text1"/>
          <w:sz w:val="22"/>
          <w:szCs w:val="22"/>
        </w:rPr>
        <w:t xml:space="preserve"> and enabling more high-quality interactions between teachers and pupils.</w:t>
      </w:r>
      <w:r w:rsidRPr="002073A5">
        <w:rPr>
          <w:rFonts w:ascii="Calibri" w:hAnsi="Calibri" w:cs="Calibri"/>
          <w:color w:val="000000" w:themeColor="text1"/>
          <w:sz w:val="22"/>
          <w:szCs w:val="22"/>
        </w:rPr>
        <w:t xml:space="preserve"> The National College has an established portfolio of AI</w:t>
      </w:r>
      <w:r w:rsidRPr="002073A5">
        <w:rPr>
          <w:rFonts w:ascii="Calibri" w:hAnsi="Calibri" w:cs="Calibri"/>
          <w:color w:val="000000" w:themeColor="text1"/>
          <w:sz w:val="22"/>
          <w:szCs w:val="22"/>
        </w:rPr>
        <w:t xml:space="preserve"> </w:t>
      </w:r>
      <w:r w:rsidRPr="002073A5">
        <w:rPr>
          <w:rFonts w:ascii="Calibri" w:hAnsi="Calibri" w:cs="Calibri"/>
          <w:color w:val="000000" w:themeColor="text1"/>
          <w:sz w:val="22"/>
          <w:szCs w:val="22"/>
        </w:rPr>
        <w:t xml:space="preserve">tools which are </w:t>
      </w:r>
      <w:r w:rsidRPr="002073A5">
        <w:rPr>
          <w:rFonts w:ascii="Calibri" w:hAnsi="Calibri" w:cs="Calibri"/>
          <w:color w:val="000000" w:themeColor="text1"/>
          <w:sz w:val="22"/>
          <w:szCs w:val="22"/>
        </w:rPr>
        <w:t>already</w:t>
      </w:r>
      <w:r w:rsidRPr="002073A5">
        <w:rPr>
          <w:rFonts w:ascii="Calibri" w:hAnsi="Calibri" w:cs="Calibri"/>
          <w:color w:val="000000" w:themeColor="text1"/>
          <w:sz w:val="22"/>
          <w:szCs w:val="22"/>
        </w:rPr>
        <w:t xml:space="preserve"> saving thousands of hours of teacher time, </w:t>
      </w:r>
      <w:r w:rsidRPr="002073A5">
        <w:rPr>
          <w:rFonts w:ascii="Calibri" w:hAnsi="Calibri" w:cs="Calibri"/>
          <w:color w:val="000000" w:themeColor="text1"/>
          <w:sz w:val="22"/>
          <w:szCs w:val="22"/>
        </w:rPr>
        <w:t>enhancing personalised learning, and boosting outcomes for students.</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We are supportive of the priority to make every teacher a SEND teacher. Using our experience, we stand ready now to shape the implementation and delivery of the principles of the White Paper.</w:t>
      </w:r>
      <w:r w:rsidRPr="002073A5">
        <w:rPr>
          <w:rFonts w:ascii="Calibri" w:hAnsi="Calibri" w:cs="Calibri"/>
          <w:color w:val="000000" w:themeColor="text1"/>
          <w:sz w:val="22"/>
          <w:szCs w:val="22"/>
        </w:rPr>
        <w:t xml:space="preserve"> This evidence sets out </w:t>
      </w:r>
      <w:r w:rsidRPr="002073A5">
        <w:rPr>
          <w:rFonts w:ascii="Calibri" w:hAnsi="Calibri" w:cs="Calibri"/>
          <w:color w:val="000000" w:themeColor="text1"/>
          <w:sz w:val="22"/>
          <w:szCs w:val="22"/>
        </w:rPr>
        <w:t>our</w:t>
      </w:r>
      <w:r w:rsidRPr="002073A5">
        <w:rPr>
          <w:rFonts w:ascii="Calibri" w:hAnsi="Calibri" w:cs="Calibri"/>
          <w:color w:val="000000" w:themeColor="text1"/>
          <w:sz w:val="22"/>
          <w:szCs w:val="22"/>
        </w:rPr>
        <w:t xml:space="preserve"> recommendations </w:t>
      </w:r>
      <w:r w:rsidRPr="002073A5">
        <w:rPr>
          <w:rFonts w:ascii="Calibri" w:hAnsi="Calibri" w:cs="Calibri"/>
          <w:color w:val="000000" w:themeColor="text1"/>
          <w:sz w:val="22"/>
          <w:szCs w:val="22"/>
        </w:rPr>
        <w:t xml:space="preserve">to aid the </w:t>
      </w:r>
      <w:r w:rsidRPr="002073A5">
        <w:rPr>
          <w:rFonts w:ascii="Calibri" w:hAnsi="Calibri" w:cs="Calibri"/>
          <w:color w:val="000000" w:themeColor="text1"/>
          <w:sz w:val="22"/>
          <w:szCs w:val="22"/>
        </w:rPr>
        <w:t>Committee’s work.</w:t>
      </w:r>
    </w:p>
    <w:p w:rsidR="00630B38" w:rsidRPr="002073A5" w:rsidP="0094274A">
      <w:pPr>
        <w:jc w:val="both"/>
        <w:rPr>
          <w:rFonts w:ascii="Calibri" w:hAnsi="Calibri" w:cs="Calibri"/>
          <w:b/>
          <w:bCs/>
          <w:color w:val="E97132" w:themeColor="accent2"/>
          <w:sz w:val="22"/>
          <w:szCs w:val="22"/>
        </w:rPr>
      </w:pPr>
      <w:r w:rsidRPr="002073A5">
        <w:rPr>
          <w:rFonts w:ascii="Calibri" w:hAnsi="Calibri" w:cs="Calibri"/>
          <w:b/>
          <w:bCs/>
          <w:color w:val="E97132" w:themeColor="accent2"/>
          <w:sz w:val="22"/>
          <w:szCs w:val="22"/>
        </w:rPr>
        <w:t>Response</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Given our expertise, o</w:t>
      </w:r>
      <w:r w:rsidRPr="002073A5">
        <w:rPr>
          <w:rFonts w:ascii="Calibri" w:hAnsi="Calibri" w:cs="Calibri"/>
          <w:color w:val="000000" w:themeColor="text1"/>
          <w:sz w:val="22"/>
          <w:szCs w:val="22"/>
        </w:rPr>
        <w:t>ur evidence focuses on three areas identified by the Committee</w:t>
      </w:r>
      <w:r w:rsidRPr="002073A5">
        <w:rPr>
          <w:rFonts w:ascii="Calibri" w:hAnsi="Calibri" w:cs="Calibri"/>
          <w:color w:val="000000" w:themeColor="text1"/>
          <w:sz w:val="22"/>
          <w:szCs w:val="22"/>
        </w:rPr>
        <w:t xml:space="preserve"> under the Workforce </w:t>
      </w:r>
      <w:r w:rsidRPr="002073A5">
        <w:rPr>
          <w:rFonts w:ascii="Calibri" w:hAnsi="Calibri" w:cs="Calibri"/>
          <w:color w:val="000000" w:themeColor="text1"/>
          <w:sz w:val="22"/>
          <w:szCs w:val="22"/>
        </w:rPr>
        <w:t>subheading</w:t>
      </w:r>
      <w:r w:rsidRPr="002073A5">
        <w:rPr>
          <w:rFonts w:ascii="Calibri" w:hAnsi="Calibri" w:cs="Calibri"/>
          <w:color w:val="000000" w:themeColor="text1"/>
          <w:sz w:val="22"/>
          <w:szCs w:val="22"/>
        </w:rPr>
        <w:t>:</w:t>
      </w:r>
    </w:p>
    <w:p w:rsidR="00630B38" w:rsidRPr="002073A5" w:rsidP="0094274A">
      <w:pPr>
        <w:pStyle w:val="ListParagraph"/>
        <w:numPr>
          <w:ilvl w:val="0"/>
          <w:numId w:val="20"/>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The availability and quality of continuous professional development, mentoring, and leadership support.</w:t>
      </w:r>
    </w:p>
    <w:p w:rsidR="00630B38" w:rsidRPr="002073A5" w:rsidP="0094274A">
      <w:pPr>
        <w:pStyle w:val="ListParagraph"/>
        <w:numPr>
          <w:ilvl w:val="0"/>
          <w:numId w:val="20"/>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The extent to which the proposals address workload, wellbeing, and job satisfaction across the school workforce.</w:t>
      </w:r>
    </w:p>
    <w:p w:rsidR="00630B38" w:rsidRPr="002073A5" w:rsidP="0094274A">
      <w:pPr>
        <w:pStyle w:val="ListParagraph"/>
        <w:numPr>
          <w:ilvl w:val="0"/>
          <w:numId w:val="20"/>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How teachers and support staff are being equipped to develop the skills and confidence to use digital technology and AI appropriately and effectively.</w:t>
      </w:r>
    </w:p>
    <w:p w:rsidR="00630B38" w:rsidRPr="002073A5" w:rsidP="0094274A">
      <w:pPr>
        <w:jc w:val="both"/>
        <w:rPr>
          <w:rFonts w:ascii="Calibri" w:hAnsi="Calibri" w:cs="Calibri"/>
          <w:b/>
          <w:bCs/>
          <w:color w:val="E97132" w:themeColor="accent2"/>
          <w:sz w:val="22"/>
          <w:szCs w:val="22"/>
        </w:rPr>
      </w:pPr>
      <w:r w:rsidRPr="002073A5">
        <w:rPr>
          <w:rFonts w:ascii="Calibri" w:hAnsi="Calibri" w:cs="Calibri"/>
          <w:b/>
          <w:bCs/>
          <w:color w:val="000000" w:themeColor="text1"/>
          <w:sz w:val="22"/>
          <w:szCs w:val="22"/>
        </w:rPr>
        <w:t>The availability and quality of continuous professional development, mentoring, and leadership support</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We welcome the White Paper's emphasis on the importance of high-quality training for teachers and share the view that great teaching is "at the foundation of achieving the best outcomes for all children."</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We particularly welcome the proposed Teacher Training Entitlement (TTE), reforms to the Early Career Teacher Entitlement and National Professional Qualifications, and the significant investment in SEND professional development. We </w:t>
      </w:r>
      <w:r w:rsidRPr="002073A5">
        <w:rPr>
          <w:rFonts w:ascii="Calibri" w:hAnsi="Calibri" w:cs="Calibri"/>
          <w:color w:val="000000" w:themeColor="text1"/>
          <w:sz w:val="22"/>
          <w:szCs w:val="22"/>
        </w:rPr>
        <w:t xml:space="preserve">likewise support </w:t>
      </w:r>
      <w:r w:rsidRPr="002073A5">
        <w:rPr>
          <w:rFonts w:ascii="Calibri" w:hAnsi="Calibri" w:cs="Calibri"/>
          <w:color w:val="000000" w:themeColor="text1"/>
          <w:sz w:val="22"/>
          <w:szCs w:val="22"/>
        </w:rPr>
        <w:t>the Department's commitment to strengthening the evidence base on what constitutes effective CPD and how it can be implemented successfully.</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However, the Department must make clear how it plans, in practice, to deliver the promised training for teachers</w:t>
      </w:r>
      <w:r w:rsidRPr="002073A5">
        <w:rPr>
          <w:rFonts w:ascii="Calibri" w:hAnsi="Calibri" w:cs="Calibri"/>
          <w:color w:val="000000" w:themeColor="text1"/>
          <w:sz w:val="22"/>
          <w:szCs w:val="22"/>
        </w:rPr>
        <w:t xml:space="preserve"> in a way that is properly </w:t>
      </w:r>
      <w:r w:rsidRPr="002073A5">
        <w:rPr>
          <w:rFonts w:ascii="Calibri" w:hAnsi="Calibri" w:cs="Calibri"/>
          <w:color w:val="000000" w:themeColor="text1"/>
          <w:sz w:val="22"/>
          <w:szCs w:val="22"/>
        </w:rPr>
        <w:t>supportive of teachers</w:t>
      </w:r>
      <w:r w:rsidRPr="002073A5">
        <w:rPr>
          <w:rFonts w:ascii="Calibri" w:hAnsi="Calibri" w:cs="Calibri"/>
          <w:color w:val="000000" w:themeColor="text1"/>
          <w:sz w:val="22"/>
          <w:szCs w:val="22"/>
        </w:rPr>
        <w:t>. T</w:t>
      </w:r>
      <w:r w:rsidRPr="002073A5">
        <w:rPr>
          <w:rFonts w:ascii="Calibri" w:hAnsi="Calibri" w:cs="Calibri"/>
          <w:color w:val="000000" w:themeColor="text1"/>
          <w:sz w:val="22"/>
          <w:szCs w:val="22"/>
        </w:rPr>
        <w:t xml:space="preserve">he success of these reforms will depend not simply on the policy itself, but on whether implementation reflects the operational realities of </w:t>
      </w:r>
      <w:r w:rsidRPr="002073A5">
        <w:rPr>
          <w:rFonts w:ascii="Calibri" w:hAnsi="Calibri" w:cs="Calibri"/>
          <w:color w:val="000000" w:themeColor="text1"/>
          <w:sz w:val="22"/>
          <w:szCs w:val="22"/>
        </w:rPr>
        <w:t>schools and</w:t>
      </w:r>
      <w:r w:rsidRPr="002073A5">
        <w:rPr>
          <w:rFonts w:ascii="Calibri" w:hAnsi="Calibri" w:cs="Calibri"/>
          <w:color w:val="000000" w:themeColor="text1"/>
          <w:sz w:val="22"/>
          <w:szCs w:val="22"/>
        </w:rPr>
        <w:t xml:space="preserve"> take</w:t>
      </w:r>
      <w:r w:rsidRPr="002073A5">
        <w:rPr>
          <w:rFonts w:ascii="Calibri" w:hAnsi="Calibri" w:cs="Calibri"/>
          <w:color w:val="000000" w:themeColor="text1"/>
          <w:sz w:val="22"/>
          <w:szCs w:val="22"/>
        </w:rPr>
        <w:t>s</w:t>
      </w:r>
      <w:r w:rsidRPr="002073A5">
        <w:rPr>
          <w:rFonts w:ascii="Calibri" w:hAnsi="Calibri" w:cs="Calibri"/>
          <w:color w:val="000000" w:themeColor="text1"/>
          <w:sz w:val="22"/>
          <w:szCs w:val="22"/>
        </w:rPr>
        <w:t xml:space="preserve"> account of existing challenges around teacher workload and capacity, which risk blunting the effectiveness of </w:t>
      </w:r>
      <w:r w:rsidRPr="002073A5">
        <w:rPr>
          <w:rFonts w:ascii="Calibri" w:hAnsi="Calibri" w:cs="Calibri"/>
          <w:color w:val="000000" w:themeColor="text1"/>
          <w:sz w:val="22"/>
          <w:szCs w:val="22"/>
        </w:rPr>
        <w:t xml:space="preserve">any </w:t>
      </w:r>
      <w:r w:rsidRPr="002073A5">
        <w:rPr>
          <w:rFonts w:ascii="Calibri" w:hAnsi="Calibri" w:cs="Calibri"/>
          <w:color w:val="000000" w:themeColor="text1"/>
          <w:sz w:val="22"/>
          <w:szCs w:val="22"/>
        </w:rPr>
        <w:t xml:space="preserve">new, mandatory training programmes. </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Through our work with more than 17,000 schools, colleges and nurseries, including over 70% of multi-academy trusts, and our experience delivering national programmes on behalf of the Department for Education, The National College has developed a unique perspective on what enables professional development to succeed at scale.</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Our experience suggests that the effectiveness of CPD depends less on the volume of training available than on how it is designed, delivered and embedded into everyday practice.</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Teachers consistently tell us that they value professional learning which is:</w:t>
      </w:r>
    </w:p>
    <w:p w:rsidR="00630B38" w:rsidRPr="002073A5" w:rsidP="0094274A">
      <w:pPr>
        <w:numPr>
          <w:ilvl w:val="0"/>
          <w:numId w:val="13"/>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flexible enough to fit around the realities of the school day</w:t>
      </w:r>
    </w:p>
    <w:p w:rsidR="00630B38" w:rsidRPr="002073A5" w:rsidP="0094274A">
      <w:pPr>
        <w:numPr>
          <w:ilvl w:val="0"/>
          <w:numId w:val="13"/>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delivered in protected hours to maximise completion</w:t>
      </w:r>
      <w:r w:rsidRPr="002073A5">
        <w:rPr>
          <w:rFonts w:ascii="Calibri" w:hAnsi="Calibri" w:cs="Calibri"/>
          <w:color w:val="000000" w:themeColor="text1"/>
          <w:sz w:val="22"/>
          <w:szCs w:val="22"/>
        </w:rPr>
        <w:t xml:space="preserve"> rates and impact in schools</w:t>
      </w:r>
    </w:p>
    <w:p w:rsidR="00630B38" w:rsidRPr="002073A5" w:rsidP="0094274A">
      <w:pPr>
        <w:numPr>
          <w:ilvl w:val="0"/>
          <w:numId w:val="13"/>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directly applicable to classroom and leadership practice</w:t>
      </w:r>
      <w:r w:rsidRPr="002073A5">
        <w:rPr>
          <w:rFonts w:ascii="Calibri" w:hAnsi="Calibri" w:cs="Calibri"/>
          <w:color w:val="000000" w:themeColor="text1"/>
          <w:sz w:val="22"/>
          <w:szCs w:val="22"/>
        </w:rPr>
        <w:t>, including accounting for different contexts found across different schools</w:t>
      </w:r>
    </w:p>
    <w:p w:rsidR="00630B38" w:rsidRPr="002073A5" w:rsidP="0094274A">
      <w:pPr>
        <w:numPr>
          <w:ilvl w:val="0"/>
          <w:numId w:val="13"/>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available at the point of need rather than at fixed points in the academic year; and</w:t>
      </w:r>
    </w:p>
    <w:p w:rsidR="00630B38" w:rsidRPr="002073A5" w:rsidP="0094274A">
      <w:pPr>
        <w:numPr>
          <w:ilvl w:val="0"/>
          <w:numId w:val="13"/>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reinforced through coaching, mentoring and collaborative professional discussion.</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Our own delivery model reflects this evidence. </w:t>
      </w:r>
      <w:r w:rsidRPr="002073A5">
        <w:rPr>
          <w:rFonts w:ascii="Calibri" w:hAnsi="Calibri" w:cs="Calibri"/>
          <w:color w:val="000000" w:themeColor="text1"/>
          <w:sz w:val="22"/>
          <w:szCs w:val="22"/>
        </w:rPr>
        <w:t xml:space="preserve">The National College’s CPD succeeds in being modular, flexible, and asynchronous: short, stackable units that fit around the school day rather than rigid, time-intensive requirements. A programme structured around a foundational core, followed by flexible, role-relevant progression, is more likely to achieve the breadth of reach - and engagement - in schools that </w:t>
      </w:r>
      <w:r w:rsidRPr="002073A5">
        <w:rPr>
          <w:rFonts w:ascii="Calibri" w:hAnsi="Calibri" w:cs="Calibri"/>
          <w:color w:val="000000" w:themeColor="text1"/>
          <w:sz w:val="22"/>
          <w:szCs w:val="22"/>
        </w:rPr>
        <w:t xml:space="preserve">the </w:t>
      </w:r>
      <w:r w:rsidRPr="002073A5">
        <w:rPr>
          <w:rFonts w:ascii="Calibri" w:hAnsi="Calibri" w:cs="Calibri"/>
          <w:i/>
          <w:iCs/>
          <w:color w:val="000000" w:themeColor="text1"/>
          <w:sz w:val="22"/>
          <w:szCs w:val="22"/>
        </w:rPr>
        <w:t>Every</w:t>
      </w:r>
      <w:r w:rsidRPr="002073A5">
        <w:rPr>
          <w:rFonts w:ascii="Calibri" w:hAnsi="Calibri" w:cs="Calibri"/>
          <w:i/>
          <w:iCs/>
          <w:color w:val="000000" w:themeColor="text1"/>
          <w:sz w:val="22"/>
          <w:szCs w:val="22"/>
        </w:rPr>
        <w:t xml:space="preserve"> Child Achieving and Thriving</w:t>
      </w:r>
      <w:r w:rsidRPr="002073A5">
        <w:rPr>
          <w:rFonts w:ascii="Calibri" w:hAnsi="Calibri" w:cs="Calibri"/>
          <w:color w:val="000000" w:themeColor="text1"/>
          <w:sz w:val="22"/>
          <w:szCs w:val="22"/>
        </w:rPr>
        <w:t xml:space="preserve"> </w:t>
      </w:r>
      <w:r w:rsidRPr="002073A5">
        <w:rPr>
          <w:rFonts w:ascii="Calibri" w:hAnsi="Calibri" w:cs="Calibri"/>
          <w:color w:val="000000" w:themeColor="text1"/>
          <w:sz w:val="22"/>
          <w:szCs w:val="22"/>
        </w:rPr>
        <w:t>White Paper</w:t>
      </w:r>
      <w:r w:rsidRPr="002073A5">
        <w:rPr>
          <w:rFonts w:ascii="Calibri" w:hAnsi="Calibri" w:cs="Calibri"/>
          <w:i/>
          <w:iCs/>
          <w:color w:val="000000" w:themeColor="text1"/>
          <w:sz w:val="22"/>
          <w:szCs w:val="22"/>
        </w:rPr>
        <w:t xml:space="preserve"> </w:t>
      </w:r>
      <w:r w:rsidRPr="002073A5">
        <w:rPr>
          <w:rFonts w:ascii="Calibri" w:hAnsi="Calibri" w:cs="Calibri"/>
          <w:color w:val="000000" w:themeColor="text1"/>
          <w:sz w:val="22"/>
          <w:szCs w:val="22"/>
        </w:rPr>
        <w:t>aspires</w:t>
      </w:r>
      <w:r w:rsidRPr="002073A5">
        <w:rPr>
          <w:rFonts w:ascii="Calibri" w:hAnsi="Calibri" w:cs="Calibri"/>
          <w:color w:val="000000" w:themeColor="text1"/>
          <w:sz w:val="22"/>
          <w:szCs w:val="22"/>
        </w:rPr>
        <w:t xml:space="preserve"> to. </w:t>
      </w:r>
      <w:r w:rsidRPr="002073A5">
        <w:rPr>
          <w:rFonts w:ascii="Calibri" w:hAnsi="Calibri" w:cs="Calibri"/>
          <w:color w:val="000000" w:themeColor="text1"/>
          <w:sz w:val="22"/>
          <w:szCs w:val="22"/>
        </w:rPr>
        <w:t xml:space="preserve"> </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The government should </w:t>
      </w:r>
      <w:r w:rsidRPr="002073A5">
        <w:rPr>
          <w:rFonts w:ascii="Calibri" w:hAnsi="Calibri" w:cs="Calibri"/>
          <w:color w:val="000000" w:themeColor="text1"/>
          <w:sz w:val="22"/>
          <w:szCs w:val="22"/>
        </w:rPr>
        <w:t xml:space="preserve">consider creating protected hours for the delivery of this training. Our experience running the </w:t>
      </w:r>
      <w:r w:rsidRPr="002073A5">
        <w:rPr>
          <w:rFonts w:ascii="Calibri" w:hAnsi="Calibri" w:cs="Calibri"/>
          <w:color w:val="000000" w:themeColor="text1"/>
          <w:sz w:val="22"/>
          <w:szCs w:val="22"/>
        </w:rPr>
        <w:t xml:space="preserve">DfE’s mental health training course showed we still had </w:t>
      </w:r>
      <w:r w:rsidRPr="002073A5">
        <w:rPr>
          <w:rFonts w:ascii="Calibri" w:hAnsi="Calibri" w:cs="Calibri"/>
          <w:color w:val="000000" w:themeColor="text1"/>
          <w:sz w:val="22"/>
          <w:szCs w:val="22"/>
        </w:rPr>
        <w:t xml:space="preserve">those enrolled having not completed their </w:t>
      </w:r>
      <w:r w:rsidRPr="002073A5">
        <w:rPr>
          <w:rFonts w:ascii="Calibri" w:hAnsi="Calibri" w:cs="Calibri"/>
          <w:color w:val="000000" w:themeColor="text1"/>
          <w:sz w:val="22"/>
          <w:szCs w:val="22"/>
        </w:rPr>
        <w:t xml:space="preserve">training </w:t>
      </w:r>
      <w:r w:rsidRPr="002073A5">
        <w:rPr>
          <w:rFonts w:ascii="Calibri" w:hAnsi="Calibri" w:cs="Calibri"/>
          <w:color w:val="000000" w:themeColor="text1"/>
          <w:sz w:val="22"/>
          <w:szCs w:val="22"/>
        </w:rPr>
        <w:t xml:space="preserve">after </w:t>
      </w:r>
      <w:r w:rsidRPr="002073A5">
        <w:rPr>
          <w:rFonts w:ascii="Calibri" w:hAnsi="Calibri" w:cs="Calibri"/>
          <w:color w:val="000000" w:themeColor="text1"/>
          <w:sz w:val="22"/>
          <w:szCs w:val="22"/>
        </w:rPr>
        <w:t xml:space="preserve">12 months </w:t>
      </w:r>
      <w:r w:rsidRPr="002073A5">
        <w:rPr>
          <w:rFonts w:ascii="Calibri" w:hAnsi="Calibri" w:cs="Calibri"/>
          <w:color w:val="000000" w:themeColor="text1"/>
          <w:sz w:val="22"/>
          <w:szCs w:val="22"/>
        </w:rPr>
        <w:t>of the programme</w:t>
      </w:r>
      <w:r w:rsidRPr="002073A5">
        <w:rPr>
          <w:rFonts w:ascii="Calibri" w:hAnsi="Calibri" w:cs="Calibri"/>
          <w:color w:val="000000" w:themeColor="text1"/>
          <w:sz w:val="22"/>
          <w:szCs w:val="22"/>
        </w:rPr>
        <w:t xml:space="preserve">. This is because where training is not mandatory, and not delivered within flexible and protected hours, completion rates and impact suffer, and </w:t>
      </w:r>
      <w:r w:rsidRPr="002073A5">
        <w:rPr>
          <w:rFonts w:ascii="Calibri" w:hAnsi="Calibri" w:cs="Calibri"/>
          <w:color w:val="000000" w:themeColor="text1"/>
          <w:sz w:val="22"/>
          <w:szCs w:val="22"/>
        </w:rPr>
        <w:t xml:space="preserve">it is </w:t>
      </w:r>
      <w:r w:rsidRPr="002073A5">
        <w:rPr>
          <w:rFonts w:ascii="Calibri" w:hAnsi="Calibri" w:cs="Calibri"/>
          <w:color w:val="000000" w:themeColor="text1"/>
          <w:sz w:val="22"/>
          <w:szCs w:val="22"/>
        </w:rPr>
        <w:t>therefore not a wholly efficient use of public money or i</w:t>
      </w:r>
      <w:r w:rsidRPr="002073A5">
        <w:rPr>
          <w:rFonts w:ascii="Calibri" w:hAnsi="Calibri" w:cs="Calibri"/>
          <w:color w:val="000000" w:themeColor="text1"/>
          <w:sz w:val="22"/>
          <w:szCs w:val="22"/>
        </w:rPr>
        <w:t xml:space="preserve">n </w:t>
      </w:r>
      <w:r w:rsidRPr="002073A5">
        <w:rPr>
          <w:rFonts w:ascii="Calibri" w:hAnsi="Calibri" w:cs="Calibri"/>
          <w:color w:val="000000" w:themeColor="text1"/>
          <w:sz w:val="22"/>
          <w:szCs w:val="22"/>
        </w:rPr>
        <w:t xml:space="preserve">alignment with </w:t>
      </w:r>
      <w:r w:rsidRPr="002073A5">
        <w:rPr>
          <w:rFonts w:ascii="Calibri" w:hAnsi="Calibri" w:cs="Calibri"/>
          <w:color w:val="000000" w:themeColor="text1"/>
          <w:sz w:val="22"/>
          <w:szCs w:val="22"/>
        </w:rPr>
        <w:t>achieving the government’s objectives.</w:t>
      </w:r>
      <w:r w:rsidRPr="002073A5">
        <w:rPr>
          <w:rFonts w:ascii="Calibri" w:hAnsi="Calibri" w:cs="Calibri"/>
          <w:color w:val="000000" w:themeColor="text1"/>
          <w:sz w:val="22"/>
          <w:szCs w:val="22"/>
        </w:rPr>
        <w:t xml:space="preserve"> I</w:t>
      </w:r>
      <w:r w:rsidRPr="002073A5">
        <w:rPr>
          <w:rFonts w:ascii="Calibri" w:hAnsi="Calibri" w:cs="Calibri"/>
          <w:color w:val="000000" w:themeColor="text1"/>
          <w:sz w:val="22"/>
          <w:szCs w:val="22"/>
        </w:rPr>
        <w:t>NSET</w:t>
      </w:r>
      <w:r w:rsidRPr="002073A5">
        <w:rPr>
          <w:rFonts w:ascii="Calibri" w:hAnsi="Calibri" w:cs="Calibri"/>
          <w:color w:val="000000" w:themeColor="text1"/>
          <w:sz w:val="22"/>
          <w:szCs w:val="22"/>
        </w:rPr>
        <w:t xml:space="preserve"> days would be an option</w:t>
      </w:r>
      <w:r w:rsidRPr="002073A5">
        <w:rPr>
          <w:rFonts w:ascii="Calibri" w:hAnsi="Calibri" w:cs="Calibri"/>
          <w:color w:val="000000" w:themeColor="text1"/>
          <w:sz w:val="22"/>
          <w:szCs w:val="22"/>
        </w:rPr>
        <w:t>,</w:t>
      </w:r>
      <w:r w:rsidRPr="002073A5">
        <w:rPr>
          <w:rFonts w:ascii="Calibri" w:hAnsi="Calibri" w:cs="Calibri"/>
          <w:color w:val="000000" w:themeColor="text1"/>
          <w:sz w:val="22"/>
          <w:szCs w:val="22"/>
        </w:rPr>
        <w:t xml:space="preserve"> although we are mindful of the wider concern around children in education and </w:t>
      </w:r>
      <w:r w:rsidRPr="002073A5">
        <w:rPr>
          <w:rFonts w:ascii="Calibri" w:hAnsi="Calibri" w:cs="Calibri"/>
          <w:color w:val="000000" w:themeColor="text1"/>
          <w:sz w:val="22"/>
          <w:szCs w:val="22"/>
        </w:rPr>
        <w:t xml:space="preserve">attendance rates, and we would not want to put that at further risk. </w:t>
      </w:r>
    </w:p>
    <w:p w:rsidR="00630B38" w:rsidRPr="002073A5" w:rsidP="0094274A">
      <w:pPr>
        <w:jc w:val="both"/>
        <w:rPr>
          <w:rFonts w:ascii="Calibri" w:hAnsi="Calibri" w:cs="Calibri"/>
          <w:b/>
          <w:bCs/>
          <w:color w:val="000000" w:themeColor="text1"/>
          <w:sz w:val="22"/>
          <w:szCs w:val="22"/>
        </w:rPr>
      </w:pPr>
      <w:r w:rsidRPr="002073A5">
        <w:rPr>
          <w:rFonts w:ascii="Calibri" w:hAnsi="Calibri" w:cs="Calibri"/>
          <w:color w:val="000000" w:themeColor="text1"/>
          <w:sz w:val="22"/>
          <w:szCs w:val="22"/>
        </w:rPr>
        <w:t xml:space="preserve">As </w:t>
      </w:r>
      <w:r w:rsidRPr="002073A5">
        <w:rPr>
          <w:rFonts w:ascii="Calibri" w:hAnsi="Calibri" w:cs="Calibri"/>
          <w:color w:val="000000" w:themeColor="text1"/>
          <w:sz w:val="22"/>
          <w:szCs w:val="22"/>
        </w:rPr>
        <w:t>g</w:t>
      </w:r>
      <w:r w:rsidRPr="002073A5">
        <w:rPr>
          <w:rFonts w:ascii="Calibri" w:hAnsi="Calibri" w:cs="Calibri"/>
          <w:color w:val="000000" w:themeColor="text1"/>
          <w:sz w:val="22"/>
          <w:szCs w:val="22"/>
        </w:rPr>
        <w:t>overnment develops the Teacher Training Entitlement, we encourage a continued focus on implementation as well as entitlement. Professional development should ultimately be judged by its impact on classroom practice, leadership capability and pupil outcomes, rather than hours of participation alone.</w:t>
      </w:r>
    </w:p>
    <w:p w:rsidR="00630B38" w:rsidRPr="002073A5" w:rsidP="0094274A">
      <w:pPr>
        <w:jc w:val="both"/>
        <w:rPr>
          <w:rFonts w:ascii="Calibri" w:hAnsi="Calibri" w:cs="Calibri"/>
          <w:b/>
          <w:bCs/>
          <w:color w:val="000000" w:themeColor="text1"/>
          <w:sz w:val="22"/>
          <w:szCs w:val="22"/>
        </w:rPr>
      </w:pPr>
      <w:r w:rsidRPr="002073A5">
        <w:rPr>
          <w:rFonts w:ascii="Calibri" w:hAnsi="Calibri" w:cs="Calibri"/>
          <w:b/>
          <w:bCs/>
          <w:color w:val="000000" w:themeColor="text1"/>
          <w:sz w:val="22"/>
          <w:szCs w:val="22"/>
        </w:rPr>
        <w:t>The extent to which the proposals address workload, wellbeing, and job satisfaction across the school workforce.</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We welcome the White Paper's recognition that workload and wellbeing are central to teacher recruitment and </w:t>
      </w:r>
      <w:r w:rsidRPr="002073A5">
        <w:rPr>
          <w:rFonts w:ascii="Calibri" w:hAnsi="Calibri" w:cs="Calibri"/>
          <w:color w:val="000000" w:themeColor="text1"/>
          <w:sz w:val="22"/>
          <w:szCs w:val="22"/>
        </w:rPr>
        <w:t>retention</w:t>
      </w:r>
      <w:r w:rsidRPr="002073A5">
        <w:rPr>
          <w:rFonts w:ascii="Calibri" w:hAnsi="Calibri" w:cs="Calibri"/>
          <w:color w:val="000000" w:themeColor="text1"/>
          <w:sz w:val="22"/>
          <w:szCs w:val="22"/>
        </w:rPr>
        <w:t>,</w:t>
      </w:r>
      <w:r w:rsidRPr="002073A5">
        <w:rPr>
          <w:rFonts w:ascii="Calibri" w:hAnsi="Calibri" w:cs="Calibri"/>
          <w:color w:val="000000" w:themeColor="text1"/>
          <w:sz w:val="22"/>
          <w:szCs w:val="22"/>
        </w:rPr>
        <w:t xml:space="preserve"> and</w:t>
      </w:r>
      <w:r w:rsidRPr="002073A5">
        <w:rPr>
          <w:rFonts w:ascii="Calibri" w:hAnsi="Calibri" w:cs="Calibri"/>
          <w:color w:val="000000" w:themeColor="text1"/>
          <w:sz w:val="22"/>
          <w:szCs w:val="22"/>
        </w:rPr>
        <w:t xml:space="preserve"> are pleased to see </w:t>
      </w:r>
      <w:r w:rsidRPr="002073A5">
        <w:rPr>
          <w:rFonts w:ascii="Calibri" w:hAnsi="Calibri" w:cs="Calibri"/>
          <w:color w:val="000000" w:themeColor="text1"/>
          <w:sz w:val="22"/>
          <w:szCs w:val="22"/>
        </w:rPr>
        <w:t>the government’s</w:t>
      </w:r>
      <w:r w:rsidRPr="002073A5">
        <w:rPr>
          <w:rFonts w:ascii="Calibri" w:hAnsi="Calibri" w:cs="Calibri"/>
          <w:color w:val="000000" w:themeColor="text1"/>
          <w:sz w:val="22"/>
          <w:szCs w:val="22"/>
        </w:rPr>
        <w:t xml:space="preserve"> commitment to develop new resources on the matter</w:t>
      </w:r>
      <w:r w:rsidRPr="002073A5">
        <w:rPr>
          <w:rFonts w:ascii="Calibri" w:hAnsi="Calibri" w:cs="Calibri"/>
          <w:color w:val="000000" w:themeColor="text1"/>
          <w:sz w:val="22"/>
          <w:szCs w:val="22"/>
        </w:rPr>
        <w:t xml:space="preserve">, including </w:t>
      </w:r>
      <w:r w:rsidRPr="002073A5">
        <w:rPr>
          <w:rFonts w:ascii="Calibri" w:hAnsi="Calibri" w:cs="Calibri"/>
          <w:color w:val="000000" w:themeColor="text1"/>
          <w:sz w:val="22"/>
          <w:szCs w:val="22"/>
        </w:rPr>
        <w:t xml:space="preserve">through </w:t>
      </w:r>
      <w:r w:rsidRPr="002073A5">
        <w:rPr>
          <w:rFonts w:ascii="Calibri" w:hAnsi="Calibri" w:cs="Calibri"/>
          <w:color w:val="000000" w:themeColor="text1"/>
          <w:sz w:val="22"/>
          <w:szCs w:val="22"/>
        </w:rPr>
        <w:t>the ‘Improve Workload and Wellbeing for School Staff’ service.</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But as the </w:t>
      </w:r>
      <w:r w:rsidRPr="002073A5">
        <w:rPr>
          <w:rFonts w:ascii="Calibri" w:hAnsi="Calibri" w:cs="Calibri"/>
          <w:color w:val="000000" w:themeColor="text1"/>
          <w:sz w:val="22"/>
          <w:szCs w:val="22"/>
        </w:rPr>
        <w:t>Department</w:t>
      </w:r>
      <w:r w:rsidRPr="002073A5">
        <w:rPr>
          <w:rFonts w:ascii="Calibri" w:hAnsi="Calibri" w:cs="Calibri"/>
          <w:color w:val="000000" w:themeColor="text1"/>
          <w:sz w:val="22"/>
          <w:szCs w:val="22"/>
        </w:rPr>
        <w:t xml:space="preserve"> brings forward further training provision for teachers, it must also consider effective implementation of the strategies, both to secure teacher and leader buy-in, but also to guarantee</w:t>
      </w:r>
      <w:r w:rsidRPr="002073A5">
        <w:rPr>
          <w:rFonts w:ascii="Calibri" w:hAnsi="Calibri" w:cs="Calibri"/>
          <w:color w:val="000000" w:themeColor="text1"/>
          <w:sz w:val="22"/>
          <w:szCs w:val="22"/>
        </w:rPr>
        <w:t xml:space="preserve"> the</w:t>
      </w:r>
      <w:r w:rsidRPr="002073A5">
        <w:rPr>
          <w:rFonts w:ascii="Calibri" w:hAnsi="Calibri" w:cs="Calibri"/>
          <w:color w:val="000000" w:themeColor="text1"/>
          <w:sz w:val="22"/>
          <w:szCs w:val="22"/>
        </w:rPr>
        <w:t xml:space="preserve"> effectiveness of the programme.</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Schools are already operating under significant workforce pressure, and any additional national programmes risk being viewed as another demand on limited capacity unless they demonstrably reduce workload.</w:t>
      </w:r>
      <w:r w:rsidRPr="002073A5">
        <w:rPr>
          <w:rFonts w:ascii="Calibri" w:hAnsi="Calibri" w:cs="Calibri"/>
          <w:color w:val="000000" w:themeColor="text1"/>
          <w:sz w:val="22"/>
          <w:szCs w:val="22"/>
        </w:rPr>
        <w:t xml:space="preserve"> Part of this will rely on the structure of training programmes, and the other will rely on introducing new provision that strengthens professional practice while removing unnecessary administrative burdens.</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For the former, our extensive experience tells us that </w:t>
      </w:r>
      <w:r w:rsidRPr="002073A5">
        <w:rPr>
          <w:rFonts w:ascii="Calibri" w:hAnsi="Calibri" w:cs="Calibri"/>
          <w:color w:val="000000" w:themeColor="text1"/>
          <w:sz w:val="22"/>
          <w:szCs w:val="22"/>
        </w:rPr>
        <w:t xml:space="preserve">training must be formulated to account for workload challenges. </w:t>
      </w:r>
      <w:r w:rsidRPr="002073A5">
        <w:rPr>
          <w:rFonts w:ascii="Calibri" w:hAnsi="Calibri" w:cs="Calibri"/>
          <w:color w:val="000000" w:themeColor="text1"/>
          <w:sz w:val="22"/>
          <w:szCs w:val="22"/>
        </w:rPr>
        <w:t>In practice, that means the government must make appropriate consideration of training that is:</w:t>
      </w:r>
    </w:p>
    <w:p w:rsidR="00630B38" w:rsidRPr="002073A5" w:rsidP="007D3CA7">
      <w:pPr>
        <w:pStyle w:val="ListParagraph"/>
        <w:numPr>
          <w:ilvl w:val="0"/>
          <w:numId w:val="25"/>
        </w:numPr>
        <w:jc w:val="both"/>
        <w:rPr>
          <w:rFonts w:ascii="Calibri" w:hAnsi="Calibri" w:cs="Calibri"/>
          <w:sz w:val="22"/>
          <w:szCs w:val="22"/>
          <w:lang w:eastAsia="en-GB"/>
        </w:rPr>
      </w:pPr>
      <w:r w:rsidRPr="002073A5">
        <w:rPr>
          <w:rFonts w:ascii="Calibri" w:hAnsi="Calibri" w:cs="Calibri"/>
          <w:sz w:val="22"/>
          <w:szCs w:val="22"/>
          <w:lang w:eastAsia="en-GB"/>
        </w:rPr>
        <w:t>Short</w:t>
      </w:r>
      <w:r w:rsidRPr="002073A5">
        <w:rPr>
          <w:rFonts w:ascii="Calibri" w:hAnsi="Calibri" w:cs="Calibri"/>
          <w:sz w:val="22"/>
          <w:szCs w:val="22"/>
          <w:lang w:eastAsia="en-GB"/>
        </w:rPr>
        <w:t xml:space="preserve"> and </w:t>
      </w:r>
      <w:r w:rsidRPr="002073A5">
        <w:rPr>
          <w:rFonts w:ascii="Calibri" w:hAnsi="Calibri" w:cs="Calibri"/>
          <w:sz w:val="22"/>
          <w:szCs w:val="22"/>
          <w:lang w:eastAsia="en-GB"/>
        </w:rPr>
        <w:t xml:space="preserve">modular </w:t>
      </w:r>
      <w:r w:rsidRPr="002073A5">
        <w:rPr>
          <w:rFonts w:ascii="Calibri" w:hAnsi="Calibri" w:cs="Calibri"/>
          <w:sz w:val="22"/>
          <w:szCs w:val="22"/>
          <w:lang w:eastAsia="en-GB"/>
        </w:rPr>
        <w:t>rather than fixed</w:t>
      </w:r>
      <w:r w:rsidRPr="002073A5">
        <w:rPr>
          <w:rFonts w:ascii="Calibri" w:hAnsi="Calibri" w:cs="Calibri"/>
          <w:sz w:val="22"/>
          <w:szCs w:val="22"/>
          <w:lang w:eastAsia="en-GB"/>
        </w:rPr>
        <w:t>-hour</w:t>
      </w:r>
      <w:r w:rsidRPr="002073A5">
        <w:rPr>
          <w:rFonts w:ascii="Calibri" w:hAnsi="Calibri" w:cs="Calibri"/>
          <w:sz w:val="22"/>
          <w:szCs w:val="22"/>
          <w:lang w:eastAsia="en-GB"/>
        </w:rPr>
        <w:t xml:space="preserve"> and </w:t>
      </w:r>
      <w:r w:rsidRPr="002073A5">
        <w:rPr>
          <w:rFonts w:ascii="Calibri" w:hAnsi="Calibri" w:cs="Calibri"/>
          <w:sz w:val="22"/>
          <w:szCs w:val="22"/>
          <w:lang w:eastAsia="en-GB"/>
        </w:rPr>
        <w:t>time-intensive</w:t>
      </w:r>
      <w:r w:rsidRPr="002073A5">
        <w:rPr>
          <w:rFonts w:ascii="Calibri" w:hAnsi="Calibri" w:cs="Calibri"/>
          <w:sz w:val="22"/>
          <w:szCs w:val="22"/>
          <w:lang w:eastAsia="en-GB"/>
        </w:rPr>
        <w:t>, which</w:t>
      </w:r>
      <w:r w:rsidRPr="002073A5">
        <w:rPr>
          <w:rFonts w:ascii="Calibri" w:hAnsi="Calibri" w:cs="Calibri"/>
          <w:sz w:val="22"/>
          <w:szCs w:val="22"/>
          <w:lang w:eastAsia="en-GB"/>
        </w:rPr>
        <w:t xml:space="preserve"> will </w:t>
      </w:r>
      <w:r w:rsidRPr="002073A5">
        <w:rPr>
          <w:rFonts w:ascii="Calibri" w:hAnsi="Calibri" w:cs="Calibri"/>
          <w:sz w:val="22"/>
          <w:szCs w:val="22"/>
          <w:lang w:eastAsia="en-GB"/>
        </w:rPr>
        <w:t xml:space="preserve">help </w:t>
      </w:r>
      <w:r w:rsidRPr="002073A5">
        <w:rPr>
          <w:rFonts w:ascii="Calibri" w:hAnsi="Calibri" w:cs="Calibri"/>
          <w:sz w:val="22"/>
          <w:szCs w:val="22"/>
          <w:lang w:eastAsia="en-GB"/>
        </w:rPr>
        <w:t xml:space="preserve">secure </w:t>
      </w:r>
      <w:r w:rsidRPr="002073A5">
        <w:rPr>
          <w:rFonts w:ascii="Calibri" w:hAnsi="Calibri" w:cs="Calibri"/>
          <w:sz w:val="22"/>
          <w:szCs w:val="22"/>
          <w:lang w:eastAsia="en-GB"/>
        </w:rPr>
        <w:t>school leader buy</w:t>
      </w:r>
      <w:r w:rsidRPr="002073A5">
        <w:rPr>
          <w:rFonts w:ascii="Calibri" w:hAnsi="Calibri" w:cs="Calibri"/>
          <w:sz w:val="22"/>
          <w:szCs w:val="22"/>
          <w:lang w:eastAsia="en-GB"/>
        </w:rPr>
        <w:t>-</w:t>
      </w:r>
      <w:r w:rsidRPr="002073A5">
        <w:rPr>
          <w:rFonts w:ascii="Calibri" w:hAnsi="Calibri" w:cs="Calibri"/>
          <w:sz w:val="22"/>
          <w:szCs w:val="22"/>
          <w:lang w:eastAsia="en-GB"/>
        </w:rPr>
        <w:t xml:space="preserve">in and work around teachers and staff </w:t>
      </w:r>
      <w:r w:rsidRPr="002073A5">
        <w:rPr>
          <w:rFonts w:ascii="Calibri" w:hAnsi="Calibri" w:cs="Calibri"/>
          <w:sz w:val="22"/>
          <w:szCs w:val="22"/>
          <w:lang w:eastAsia="en-GB"/>
        </w:rPr>
        <w:t>workload</w:t>
      </w:r>
    </w:p>
    <w:p w:rsidR="00630B38" w:rsidRPr="002073A5" w:rsidP="007D3CA7">
      <w:pPr>
        <w:pStyle w:val="ListParagraph"/>
        <w:numPr>
          <w:ilvl w:val="0"/>
          <w:numId w:val="25"/>
        </w:numPr>
        <w:jc w:val="both"/>
        <w:rPr>
          <w:rFonts w:ascii="Calibri" w:hAnsi="Calibri" w:cs="Calibri"/>
          <w:sz w:val="22"/>
          <w:szCs w:val="22"/>
          <w:lang w:eastAsia="en-GB"/>
        </w:rPr>
      </w:pPr>
      <w:r w:rsidRPr="002073A5">
        <w:rPr>
          <w:rFonts w:ascii="Calibri" w:hAnsi="Calibri" w:cs="Calibri"/>
          <w:sz w:val="22"/>
          <w:szCs w:val="22"/>
          <w:lang w:eastAsia="en-GB"/>
        </w:rPr>
        <w:t xml:space="preserve">Blended </w:t>
      </w:r>
      <w:r w:rsidRPr="002073A5">
        <w:rPr>
          <w:rFonts w:ascii="Calibri" w:hAnsi="Calibri" w:cs="Calibri"/>
          <w:sz w:val="22"/>
          <w:szCs w:val="22"/>
          <w:lang w:eastAsia="en-GB"/>
        </w:rPr>
        <w:t>in d</w:t>
      </w:r>
      <w:r w:rsidRPr="002073A5">
        <w:rPr>
          <w:rFonts w:ascii="Calibri" w:hAnsi="Calibri" w:cs="Calibri"/>
          <w:sz w:val="22"/>
          <w:szCs w:val="22"/>
          <w:lang w:eastAsia="en-GB"/>
        </w:rPr>
        <w:t xml:space="preserve">elivery to suit different schedules and learning styles (asynchronous learning, webinars, optional coaching) </w:t>
      </w:r>
    </w:p>
    <w:p w:rsidR="00630B38" w:rsidRPr="002073A5" w:rsidP="007D3CA7">
      <w:pPr>
        <w:pStyle w:val="ListParagraph"/>
        <w:numPr>
          <w:ilvl w:val="0"/>
          <w:numId w:val="25"/>
        </w:numPr>
        <w:jc w:val="both"/>
        <w:rPr>
          <w:rFonts w:ascii="Calibri" w:hAnsi="Calibri" w:cs="Calibri"/>
          <w:sz w:val="22"/>
          <w:szCs w:val="22"/>
          <w:lang w:eastAsia="en-GB"/>
        </w:rPr>
      </w:pPr>
      <w:r w:rsidRPr="002073A5">
        <w:rPr>
          <w:rFonts w:ascii="Calibri" w:hAnsi="Calibri" w:cs="Calibri"/>
          <w:sz w:val="22"/>
          <w:szCs w:val="22"/>
          <w:lang w:eastAsia="en-GB"/>
        </w:rPr>
        <w:t>Led by</w:t>
      </w:r>
      <w:r w:rsidRPr="002073A5">
        <w:rPr>
          <w:rFonts w:ascii="Calibri" w:hAnsi="Calibri" w:cs="Calibri"/>
          <w:sz w:val="22"/>
          <w:szCs w:val="22"/>
          <w:lang w:eastAsia="en-GB"/>
        </w:rPr>
        <w:t xml:space="preserve"> f</w:t>
      </w:r>
      <w:r w:rsidRPr="002073A5">
        <w:rPr>
          <w:rFonts w:ascii="Calibri" w:hAnsi="Calibri" w:cs="Calibri"/>
          <w:sz w:val="22"/>
          <w:szCs w:val="22"/>
          <w:lang w:eastAsia="en-GB"/>
        </w:rPr>
        <w:t>lexible cohort starts to ensure</w:t>
      </w:r>
      <w:r w:rsidRPr="002073A5">
        <w:rPr>
          <w:rFonts w:ascii="Calibri" w:hAnsi="Calibri" w:cs="Calibri"/>
          <w:sz w:val="22"/>
          <w:szCs w:val="22"/>
          <w:lang w:eastAsia="en-GB"/>
        </w:rPr>
        <w:t xml:space="preserve"> a</w:t>
      </w:r>
      <w:r w:rsidRPr="002073A5">
        <w:rPr>
          <w:rFonts w:ascii="Calibri" w:hAnsi="Calibri" w:cs="Calibri"/>
          <w:sz w:val="22"/>
          <w:szCs w:val="22"/>
          <w:lang w:eastAsia="en-GB"/>
        </w:rPr>
        <w:t xml:space="preserve"> staggered and inclusive approach to onboarding </w:t>
      </w:r>
    </w:p>
    <w:p w:rsidR="00630B38" w:rsidRPr="002073A5" w:rsidP="007D3CA7">
      <w:pPr>
        <w:pStyle w:val="ListParagraph"/>
        <w:numPr>
          <w:ilvl w:val="0"/>
          <w:numId w:val="25"/>
        </w:numPr>
        <w:jc w:val="both"/>
        <w:rPr>
          <w:rFonts w:ascii="Calibri" w:hAnsi="Calibri" w:cs="Calibri"/>
          <w:color w:val="000000" w:themeColor="text1"/>
          <w:sz w:val="22"/>
          <w:szCs w:val="22"/>
        </w:rPr>
      </w:pPr>
      <w:r w:rsidRPr="002073A5">
        <w:rPr>
          <w:rFonts w:ascii="Calibri" w:hAnsi="Calibri" w:cs="Calibri"/>
          <w:sz w:val="22"/>
          <w:szCs w:val="22"/>
          <w:lang w:eastAsia="en-GB"/>
        </w:rPr>
        <w:t xml:space="preserve">Place-focused, with the capacity to mould and tailor CPD provision according to need across school contexts, particularly in relation to the SEND teacher training programme </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More broadly, we would caution against delivery models for national training programmes that are </w:t>
      </w:r>
      <w:r w:rsidRPr="002073A5">
        <w:rPr>
          <w:rFonts w:ascii="Calibri" w:hAnsi="Calibri" w:cs="Calibri"/>
          <w:color w:val="000000" w:themeColor="text1"/>
          <w:sz w:val="22"/>
          <w:szCs w:val="22"/>
        </w:rPr>
        <w:t>overly-prescriptive</w:t>
      </w:r>
      <w:r w:rsidRPr="002073A5">
        <w:rPr>
          <w:rFonts w:ascii="Calibri" w:hAnsi="Calibri" w:cs="Calibri"/>
          <w:color w:val="000000" w:themeColor="text1"/>
          <w:sz w:val="22"/>
          <w:szCs w:val="22"/>
        </w:rPr>
        <w:t xml:space="preserve"> or time intensive. Fixed hour or rigid attendance requirements risk adding to existing workload pressures rather than easing </w:t>
      </w:r>
      <w:r w:rsidRPr="002073A5">
        <w:rPr>
          <w:rFonts w:ascii="Calibri" w:hAnsi="Calibri" w:cs="Calibri"/>
          <w:color w:val="000000" w:themeColor="text1"/>
          <w:sz w:val="22"/>
          <w:szCs w:val="22"/>
        </w:rPr>
        <w:t>them, and</w:t>
      </w:r>
      <w:r w:rsidRPr="002073A5">
        <w:rPr>
          <w:rFonts w:ascii="Calibri" w:hAnsi="Calibri" w:cs="Calibri"/>
          <w:color w:val="000000" w:themeColor="text1"/>
          <w:sz w:val="22"/>
          <w:szCs w:val="22"/>
        </w:rPr>
        <w:t xml:space="preserve"> are likely to be particularly difficult for schools serving the most disadvantaged communities to accommodate. We recommend that training be judged by outputs – for example changes to classroom practice and decision-</w:t>
      </w:r>
      <w:r w:rsidRPr="002073A5">
        <w:rPr>
          <w:rFonts w:ascii="Calibri" w:hAnsi="Calibri" w:cs="Calibri"/>
          <w:color w:val="000000" w:themeColor="text1"/>
          <w:sz w:val="22"/>
          <w:szCs w:val="22"/>
        </w:rPr>
        <w:t>making</w:t>
      </w:r>
      <w:r w:rsidRPr="002073A5">
        <w:rPr>
          <w:rFonts w:ascii="Calibri" w:hAnsi="Calibri" w:cs="Calibri"/>
          <w:color w:val="000000" w:themeColor="text1"/>
          <w:sz w:val="22"/>
          <w:szCs w:val="22"/>
        </w:rPr>
        <w:t>, rather than hours</w:t>
      </w:r>
      <w:r w:rsidRPr="002073A5">
        <w:rPr>
          <w:rFonts w:ascii="Calibri" w:hAnsi="Calibri" w:cs="Calibri"/>
          <w:color w:val="000000" w:themeColor="text1"/>
          <w:sz w:val="22"/>
          <w:szCs w:val="22"/>
        </w:rPr>
        <w:t xml:space="preserve"> </w:t>
      </w:r>
      <w:r w:rsidRPr="002073A5">
        <w:rPr>
          <w:rFonts w:ascii="Calibri" w:hAnsi="Calibri" w:cs="Calibri"/>
          <w:color w:val="000000" w:themeColor="text1"/>
          <w:sz w:val="22"/>
          <w:szCs w:val="22"/>
        </w:rPr>
        <w:t>logged, so that impact on practice and wellbeing is prioritised over attendance.</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We are also pleased to see the Department acknowledge the potential of AI and technology in </w:t>
      </w:r>
      <w:r w:rsidRPr="002073A5">
        <w:rPr>
          <w:rFonts w:ascii="Calibri" w:hAnsi="Calibri" w:cs="Calibri"/>
          <w:color w:val="000000" w:themeColor="text1"/>
          <w:sz w:val="22"/>
          <w:szCs w:val="22"/>
        </w:rPr>
        <w:t xml:space="preserve">tackling staff workload and supporting them to “deliver the best for the children in their classroom.” </w:t>
      </w:r>
      <w:r w:rsidRPr="002073A5">
        <w:rPr>
          <w:rFonts w:ascii="Calibri" w:hAnsi="Calibri" w:cs="Calibri"/>
          <w:color w:val="000000" w:themeColor="text1"/>
          <w:sz w:val="22"/>
          <w:szCs w:val="22"/>
        </w:rPr>
        <w:t xml:space="preserve">The National College has developed a suite of AI-tools designed specifically to support </w:t>
      </w:r>
      <w:r w:rsidRPr="002073A5">
        <w:rPr>
          <w:rFonts w:ascii="Calibri" w:hAnsi="Calibri" w:cs="Calibri"/>
          <w:color w:val="000000" w:themeColor="text1"/>
          <w:sz w:val="22"/>
          <w:szCs w:val="22"/>
        </w:rPr>
        <w:t xml:space="preserve">teachers </w:t>
      </w:r>
      <w:r w:rsidRPr="002073A5">
        <w:rPr>
          <w:rFonts w:ascii="Calibri" w:hAnsi="Calibri" w:cs="Calibri"/>
          <w:color w:val="000000" w:themeColor="text1"/>
          <w:sz w:val="22"/>
          <w:szCs w:val="22"/>
        </w:rPr>
        <w:t xml:space="preserve">with administrative capacity, </w:t>
      </w:r>
      <w:r w:rsidRPr="002073A5">
        <w:rPr>
          <w:rFonts w:ascii="Calibri" w:hAnsi="Calibri" w:cs="Calibri"/>
          <w:color w:val="000000" w:themeColor="text1"/>
          <w:sz w:val="22"/>
          <w:szCs w:val="22"/>
        </w:rPr>
        <w:t>rather than replace professional judgement.</w:t>
      </w:r>
      <w:r w:rsidRPr="002073A5">
        <w:rPr>
          <w:rFonts w:ascii="Calibri" w:hAnsi="Calibri" w:cs="Calibri"/>
          <w:color w:val="000000" w:themeColor="text1"/>
          <w:sz w:val="22"/>
          <w:szCs w:val="22"/>
        </w:rPr>
        <w:t xml:space="preserve"> These include tools like our Lesson Plan Creator, </w:t>
      </w:r>
      <w:r w:rsidRPr="002073A5">
        <w:rPr>
          <w:rFonts w:ascii="Calibri" w:hAnsi="Calibri" w:cs="Calibri"/>
          <w:color w:val="000000" w:themeColor="text1"/>
          <w:sz w:val="22"/>
          <w:szCs w:val="22"/>
        </w:rPr>
        <w:t xml:space="preserve">Classroom Routine Builder, </w:t>
      </w:r>
      <w:r w:rsidRPr="002073A5">
        <w:rPr>
          <w:rFonts w:ascii="Calibri" w:hAnsi="Calibri" w:cs="Calibri"/>
          <w:color w:val="000000" w:themeColor="text1"/>
          <w:sz w:val="22"/>
          <w:szCs w:val="22"/>
        </w:rPr>
        <w:t>Maths Problem Creator, and SEND Support Advisor tool. Each is saving teachers significant amounts of time, enabling them instead to focus on high-quality pupil interactions.</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Both the use of AI and the structure of teacher CPD must</w:t>
      </w:r>
      <w:r w:rsidRPr="002073A5">
        <w:rPr>
          <w:rFonts w:ascii="Calibri" w:hAnsi="Calibri" w:cs="Calibri"/>
          <w:color w:val="000000" w:themeColor="text1"/>
          <w:sz w:val="22"/>
          <w:szCs w:val="22"/>
        </w:rPr>
        <w:t xml:space="preserve"> be informed by sector best practice</w:t>
      </w:r>
      <w:r w:rsidRPr="002073A5">
        <w:rPr>
          <w:rFonts w:ascii="Calibri" w:hAnsi="Calibri" w:cs="Calibri"/>
          <w:color w:val="000000" w:themeColor="text1"/>
          <w:sz w:val="22"/>
          <w:szCs w:val="22"/>
        </w:rPr>
        <w:t>, and w</w:t>
      </w:r>
      <w:r w:rsidRPr="002073A5">
        <w:rPr>
          <w:rFonts w:ascii="Calibri" w:hAnsi="Calibri" w:cs="Calibri"/>
          <w:color w:val="000000" w:themeColor="text1"/>
          <w:sz w:val="22"/>
          <w:szCs w:val="22"/>
        </w:rPr>
        <w:t xml:space="preserve">orkforce </w:t>
      </w:r>
      <w:r w:rsidRPr="002073A5">
        <w:rPr>
          <w:rFonts w:ascii="Calibri" w:hAnsi="Calibri" w:cs="Calibri"/>
          <w:color w:val="000000" w:themeColor="text1"/>
          <w:sz w:val="22"/>
          <w:szCs w:val="22"/>
        </w:rPr>
        <w:t xml:space="preserve">initiatives </w:t>
      </w:r>
      <w:r w:rsidRPr="002073A5">
        <w:rPr>
          <w:rFonts w:ascii="Calibri" w:hAnsi="Calibri" w:cs="Calibri"/>
          <w:color w:val="000000" w:themeColor="text1"/>
          <w:sz w:val="22"/>
          <w:szCs w:val="22"/>
        </w:rPr>
        <w:t>should be</w:t>
      </w:r>
      <w:r w:rsidRPr="002073A5">
        <w:rPr>
          <w:rFonts w:ascii="Calibri" w:hAnsi="Calibri" w:cs="Calibri"/>
          <w:color w:val="000000" w:themeColor="text1"/>
          <w:sz w:val="22"/>
          <w:szCs w:val="22"/>
        </w:rPr>
        <w:t xml:space="preserve"> evaluated not only by participation rates but also by measurable improvements in workload, wellbeing, retention and professional practice.</w:t>
      </w:r>
    </w:p>
    <w:p w:rsidR="00630B38" w:rsidRPr="002073A5" w:rsidP="0094274A">
      <w:pPr>
        <w:jc w:val="both"/>
        <w:rPr>
          <w:rFonts w:ascii="Calibri" w:hAnsi="Calibri" w:cs="Calibri"/>
          <w:b/>
          <w:bCs/>
          <w:color w:val="000000" w:themeColor="text1"/>
          <w:sz w:val="22"/>
          <w:szCs w:val="22"/>
        </w:rPr>
      </w:pPr>
      <w:r w:rsidRPr="002073A5">
        <w:rPr>
          <w:rFonts w:ascii="Calibri" w:hAnsi="Calibri" w:cs="Calibri"/>
          <w:b/>
          <w:bCs/>
          <w:color w:val="000000" w:themeColor="text1"/>
          <w:sz w:val="22"/>
          <w:szCs w:val="22"/>
        </w:rPr>
        <w:t>How teachers and support staff are being equipped to develop the skills and confidence to use digital technology and AI appropriately and effectively</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The White Paper rightly recognises that AI should support, rather than replace, teachers' professional judgement, and commits to embedding digital and AI capability within the proposed Teacher Training Entitlement and wider programme of career-long professional development</w:t>
      </w:r>
      <w:r w:rsidRPr="002073A5">
        <w:rPr>
          <w:rFonts w:ascii="Calibri" w:hAnsi="Calibri" w:cs="Calibri"/>
          <w:color w:val="000000" w:themeColor="text1"/>
          <w:sz w:val="22"/>
          <w:szCs w:val="22"/>
        </w:rPr>
        <w:t xml:space="preserve">. </w:t>
      </w:r>
      <w:r w:rsidRPr="002073A5">
        <w:rPr>
          <w:rFonts w:ascii="Calibri" w:hAnsi="Calibri" w:cs="Calibri"/>
          <w:color w:val="000000" w:themeColor="text1"/>
          <w:sz w:val="22"/>
          <w:szCs w:val="22"/>
        </w:rPr>
        <w:t>We also welcome the proposed national digital and data skills pathway, which has the potential to provide greater consistency and confidence across the</w:t>
      </w:r>
      <w:r w:rsidRPr="002073A5">
        <w:rPr>
          <w:rFonts w:ascii="Calibri" w:hAnsi="Calibri" w:cs="Calibri"/>
          <w:color w:val="000000" w:themeColor="text1"/>
          <w:sz w:val="22"/>
          <w:szCs w:val="22"/>
        </w:rPr>
        <w:t xml:space="preserve"> workforce. </w:t>
      </w:r>
      <w:r w:rsidRPr="002073A5">
        <w:rPr>
          <w:rFonts w:ascii="Calibri" w:hAnsi="Calibri" w:cs="Calibri"/>
          <w:color w:val="000000" w:themeColor="text1"/>
          <w:sz w:val="22"/>
          <w:szCs w:val="22"/>
        </w:rPr>
        <w:t xml:space="preserve">We share the view that </w:t>
      </w:r>
      <w:r w:rsidRPr="002073A5">
        <w:rPr>
          <w:rFonts w:ascii="Calibri" w:hAnsi="Calibri" w:cs="Calibri"/>
          <w:color w:val="000000" w:themeColor="text1"/>
          <w:sz w:val="22"/>
          <w:szCs w:val="22"/>
        </w:rPr>
        <w:t>the appropriate use of AI allows teachers to free up time for more high-quality interactions with pupils.</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From our experience supporting more than 17,000 schools, colleges and nurseries, the key challenge is no longer whether staff are aware of AI, but whether they have the confidence to apply it safely, effectively and in ways that genuinely improve teaching and reduce workload. This reflects the Department's own evidence that while the use of generative AI has grown rapidly, many teachers and </w:t>
      </w:r>
      <w:r w:rsidRPr="002073A5">
        <w:rPr>
          <w:rFonts w:ascii="Calibri" w:hAnsi="Calibri" w:cs="Calibri"/>
          <w:color w:val="000000" w:themeColor="text1"/>
          <w:sz w:val="22"/>
          <w:szCs w:val="22"/>
        </w:rPr>
        <w:t>leaders still report lacking the knowledge and confidence to use it effectively, and relatively few have received professional development focused on improving pedagogy through technology</w:t>
      </w:r>
      <w:r w:rsidRPr="002073A5">
        <w:rPr>
          <w:rFonts w:ascii="Calibri" w:hAnsi="Calibri" w:cs="Calibri"/>
          <w:color w:val="000000" w:themeColor="text1"/>
          <w:sz w:val="22"/>
          <w:szCs w:val="22"/>
        </w:rPr>
        <w:t>.</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The National College is already equipping staff to build this </w:t>
      </w:r>
      <w:r w:rsidRPr="002073A5">
        <w:rPr>
          <w:rFonts w:ascii="Calibri" w:hAnsi="Calibri" w:cs="Calibri"/>
          <w:color w:val="000000" w:themeColor="text1"/>
          <w:sz w:val="22"/>
          <w:szCs w:val="22"/>
        </w:rPr>
        <w:t>confidence, and</w:t>
      </w:r>
      <w:r w:rsidRPr="002073A5">
        <w:rPr>
          <w:rFonts w:ascii="Calibri" w:hAnsi="Calibri" w:cs="Calibri"/>
          <w:color w:val="000000" w:themeColor="text1"/>
          <w:sz w:val="22"/>
          <w:szCs w:val="22"/>
        </w:rPr>
        <w:t xml:space="preserve"> doing so on safe foundations. We are fully aligned with the ISO 27001 and ISO 42001 standards, giving school leaders and policymakers confidence that our tools are secure, ethical and responsible by design — in anticipation of the safety and efficacy standards the Department is developing for A</w:t>
      </w:r>
      <w:r w:rsidRPr="002073A5">
        <w:rPr>
          <w:rFonts w:ascii="Calibri" w:hAnsi="Calibri" w:cs="Calibri"/>
          <w:color w:val="000000" w:themeColor="text1"/>
          <w:sz w:val="22"/>
          <w:szCs w:val="22"/>
        </w:rPr>
        <w:t>I and Edtech</w:t>
      </w:r>
      <w:r w:rsidRPr="002073A5">
        <w:rPr>
          <w:rFonts w:ascii="Calibri" w:hAnsi="Calibri" w:cs="Calibri"/>
          <w:color w:val="000000" w:themeColor="text1"/>
          <w:sz w:val="22"/>
          <w:szCs w:val="22"/>
        </w:rPr>
        <w:t xml:space="preserve"> in schools. This mirrors the distinction the White Paper draws between general-purpose AI, which can produce poor outcomes for children, and tools purpose-built for education and grounded in sound pedagogy</w:t>
      </w:r>
      <w:r w:rsidRPr="002073A5">
        <w:rPr>
          <w:rFonts w:ascii="Calibri" w:hAnsi="Calibri" w:cs="Calibri"/>
          <w:color w:val="000000" w:themeColor="text1"/>
          <w:sz w:val="22"/>
          <w:szCs w:val="22"/>
        </w:rPr>
        <w:t>.</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Our experience shows where this equips staff most effectively: through embedding AI into the tasks teachers already do. </w:t>
      </w:r>
      <w:r w:rsidRPr="002073A5">
        <w:rPr>
          <w:rFonts w:ascii="Calibri" w:hAnsi="Calibri" w:cs="Calibri"/>
          <w:color w:val="000000" w:themeColor="text1"/>
          <w:sz w:val="22"/>
          <w:szCs w:val="22"/>
        </w:rPr>
        <w:t>For example, o</w:t>
      </w:r>
      <w:r w:rsidRPr="002073A5">
        <w:rPr>
          <w:rFonts w:ascii="Calibri" w:hAnsi="Calibri" w:cs="Calibri"/>
          <w:color w:val="000000" w:themeColor="text1"/>
          <w:sz w:val="22"/>
          <w:szCs w:val="22"/>
        </w:rPr>
        <w:t xml:space="preserve">ur Lesson Plan Creator has saved teachers more than 1,300 hours this academic year by building AI directly into planning workflows; our SEND Support Advisor has saved a further 338 hours by giving staff confidence to generate evidence-informed support strategies for pupils with additional needs; and our wider suite of tools, including our Feedback Creator, has delivered productivity gains equivalent to more than 280,000 minutes across schools. </w:t>
      </w:r>
      <w:r w:rsidRPr="002073A5">
        <w:rPr>
          <w:rFonts w:ascii="Calibri" w:hAnsi="Calibri" w:cs="Calibri"/>
          <w:color w:val="000000" w:themeColor="text1"/>
          <w:sz w:val="22"/>
          <w:szCs w:val="22"/>
        </w:rPr>
        <w:t xml:space="preserve">In each case, staff retain full control and professional judgement </w:t>
      </w:r>
      <w:r w:rsidRPr="002073A5">
        <w:rPr>
          <w:rFonts w:ascii="Calibri" w:hAnsi="Calibri" w:cs="Calibri"/>
          <w:color w:val="000000" w:themeColor="text1"/>
          <w:sz w:val="22"/>
          <w:szCs w:val="22"/>
        </w:rPr>
        <w:t>-</w:t>
      </w:r>
      <w:r w:rsidRPr="002073A5">
        <w:rPr>
          <w:rFonts w:ascii="Calibri" w:hAnsi="Calibri" w:cs="Calibri"/>
          <w:color w:val="000000" w:themeColor="text1"/>
          <w:sz w:val="22"/>
          <w:szCs w:val="22"/>
        </w:rPr>
        <w:t xml:space="preserve"> AI equips them with a starting point and time saved</w:t>
      </w:r>
      <w:r w:rsidRPr="002073A5">
        <w:rPr>
          <w:rFonts w:ascii="Calibri" w:hAnsi="Calibri" w:cs="Calibri"/>
          <w:color w:val="000000" w:themeColor="text1"/>
          <w:sz w:val="22"/>
          <w:szCs w:val="22"/>
        </w:rPr>
        <w:t>.</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T</w:t>
      </w:r>
      <w:r w:rsidRPr="002073A5">
        <w:rPr>
          <w:rFonts w:ascii="Calibri" w:hAnsi="Calibri" w:cs="Calibri"/>
          <w:color w:val="000000" w:themeColor="text1"/>
          <w:sz w:val="22"/>
          <w:szCs w:val="22"/>
        </w:rPr>
        <w:t>he Department therefore should be aware that</w:t>
      </w:r>
      <w:r w:rsidRPr="002073A5">
        <w:rPr>
          <w:rFonts w:ascii="Calibri" w:hAnsi="Calibri" w:cs="Calibri"/>
          <w:color w:val="000000" w:themeColor="text1"/>
          <w:sz w:val="22"/>
          <w:szCs w:val="22"/>
        </w:rPr>
        <w:t xml:space="preserve"> confidence is built fastest when digital and AI tools are embedded into existing, familiar workflows, safely designed from the outset, and immediately useful. We would encourage the Teacher Training Entitlement and national skills pathway to reflect this: prioritising practical, embedded tools over generic AI literacy training, and requiring the safety standards now being developed to be a precondition of any tool's use in schools.</w:t>
      </w:r>
    </w:p>
    <w:p w:rsidR="00630B38" w:rsidRPr="002073A5" w:rsidP="0094274A">
      <w:pPr>
        <w:jc w:val="both"/>
        <w:rPr>
          <w:rFonts w:ascii="Calibri" w:hAnsi="Calibri" w:cs="Calibri"/>
          <w:color w:val="000000" w:themeColor="text1"/>
          <w:sz w:val="22"/>
          <w:szCs w:val="22"/>
        </w:rPr>
      </w:pPr>
      <w:r w:rsidRPr="002073A5">
        <w:rPr>
          <w:rFonts w:ascii="Calibri" w:hAnsi="Calibri" w:cs="Calibri"/>
          <w:color w:val="000000" w:themeColor="text1"/>
          <w:sz w:val="22"/>
          <w:szCs w:val="22"/>
        </w:rPr>
        <w:t>Drawing on this experience, we recommen</w:t>
      </w:r>
      <w:r w:rsidRPr="002073A5">
        <w:rPr>
          <w:rFonts w:ascii="Calibri" w:hAnsi="Calibri" w:cs="Calibri"/>
          <w:color w:val="000000" w:themeColor="text1"/>
          <w:sz w:val="22"/>
          <w:szCs w:val="22"/>
        </w:rPr>
        <w:t>d the government:</w:t>
      </w:r>
    </w:p>
    <w:p w:rsidR="00630B38" w:rsidRPr="002073A5" w:rsidP="0094274A">
      <w:pPr>
        <w:numPr>
          <w:ilvl w:val="0"/>
          <w:numId w:val="17"/>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embed digital and AI skills within existing, modular CPD structures </w:t>
      </w:r>
      <w:r w:rsidRPr="002073A5">
        <w:rPr>
          <w:rFonts w:ascii="Calibri" w:hAnsi="Calibri" w:cs="Calibri"/>
          <w:color w:val="000000" w:themeColor="text1"/>
          <w:sz w:val="22"/>
          <w:szCs w:val="22"/>
        </w:rPr>
        <w:t>-</w:t>
      </w:r>
      <w:r w:rsidRPr="002073A5">
        <w:rPr>
          <w:rFonts w:ascii="Calibri" w:hAnsi="Calibri" w:cs="Calibri"/>
          <w:color w:val="000000" w:themeColor="text1"/>
          <w:sz w:val="22"/>
          <w:szCs w:val="22"/>
        </w:rPr>
        <w:t xml:space="preserve"> including the Teacher Training Entitlement </w:t>
      </w:r>
      <w:r w:rsidRPr="002073A5">
        <w:rPr>
          <w:rFonts w:ascii="Calibri" w:hAnsi="Calibri" w:cs="Calibri"/>
          <w:color w:val="000000" w:themeColor="text1"/>
          <w:sz w:val="22"/>
          <w:szCs w:val="22"/>
        </w:rPr>
        <w:t>-</w:t>
      </w:r>
      <w:r w:rsidRPr="002073A5">
        <w:rPr>
          <w:rFonts w:ascii="Calibri" w:hAnsi="Calibri" w:cs="Calibri"/>
          <w:color w:val="000000" w:themeColor="text1"/>
          <w:sz w:val="22"/>
          <w:szCs w:val="22"/>
        </w:rPr>
        <w:t xml:space="preserve"> rather than creating a separate, additional training requirement that adds to workload;</w:t>
      </w:r>
    </w:p>
    <w:p w:rsidR="00630B38" w:rsidRPr="002073A5" w:rsidP="0094274A">
      <w:pPr>
        <w:numPr>
          <w:ilvl w:val="0"/>
          <w:numId w:val="17"/>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judge progress by demonstrable changes in classroom and leadership practice, not hours of training completed or courses attended, consistent with our recommendation above on CPD more broadly;</w:t>
      </w:r>
    </w:p>
    <w:p w:rsidR="00630B38" w:rsidRPr="002073A5" w:rsidP="0094274A">
      <w:pPr>
        <w:numPr>
          <w:ilvl w:val="0"/>
          <w:numId w:val="17"/>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 xml:space="preserve">build confidence through practical, low-stakes application in real tasks </w:t>
      </w:r>
      <w:r w:rsidRPr="002073A5">
        <w:rPr>
          <w:rFonts w:ascii="Calibri" w:hAnsi="Calibri" w:cs="Calibri"/>
          <w:color w:val="000000" w:themeColor="text1"/>
          <w:sz w:val="22"/>
          <w:szCs w:val="22"/>
        </w:rPr>
        <w:t>-</w:t>
      </w:r>
      <w:r w:rsidRPr="002073A5">
        <w:rPr>
          <w:rFonts w:ascii="Calibri" w:hAnsi="Calibri" w:cs="Calibri"/>
          <w:color w:val="000000" w:themeColor="text1"/>
          <w:sz w:val="22"/>
          <w:szCs w:val="22"/>
        </w:rPr>
        <w:t xml:space="preserve"> lesson planning, feedback, SEND support</w:t>
      </w:r>
      <w:r w:rsidRPr="002073A5">
        <w:rPr>
          <w:rFonts w:ascii="Calibri" w:hAnsi="Calibri" w:cs="Calibri"/>
          <w:color w:val="000000" w:themeColor="text1"/>
          <w:sz w:val="22"/>
          <w:szCs w:val="22"/>
        </w:rPr>
        <w:t xml:space="preserve"> - </w:t>
      </w:r>
      <w:r w:rsidRPr="002073A5">
        <w:rPr>
          <w:rFonts w:ascii="Calibri" w:hAnsi="Calibri" w:cs="Calibri"/>
          <w:color w:val="000000" w:themeColor="text1"/>
          <w:sz w:val="22"/>
          <w:szCs w:val="22"/>
        </w:rPr>
        <w:t>rather than generic AI literacy content, reflecting what we have found equips staff fastest; and</w:t>
      </w:r>
    </w:p>
    <w:p w:rsidR="00630B38" w:rsidRPr="002073A5" w:rsidP="0094274A">
      <w:pPr>
        <w:numPr>
          <w:ilvl w:val="0"/>
          <w:numId w:val="17"/>
        </w:numPr>
        <w:jc w:val="both"/>
        <w:rPr>
          <w:rFonts w:ascii="Calibri" w:hAnsi="Calibri" w:cs="Calibri"/>
          <w:color w:val="000000" w:themeColor="text1"/>
          <w:sz w:val="22"/>
          <w:szCs w:val="22"/>
        </w:rPr>
      </w:pPr>
      <w:r w:rsidRPr="002073A5">
        <w:rPr>
          <w:rFonts w:ascii="Calibri" w:hAnsi="Calibri" w:cs="Calibri"/>
          <w:color w:val="000000" w:themeColor="text1"/>
          <w:sz w:val="22"/>
          <w:szCs w:val="22"/>
        </w:rPr>
        <w:t>ensure schools retain the choice to select AI tools proven to work in their own context, provided any tool used meets the safety and efficacy standards now being developed.</w:t>
      </w:r>
    </w:p>
    <w:p w:rsidR="00630B38" w:rsidRPr="002073A5" w:rsidP="00B5336D">
      <w:pPr>
        <w:rPr>
          <w:rFonts w:ascii="Calibri" w:hAnsi="Calibri" w:cs="Calibri"/>
          <w:color w:val="000000" w:themeColor="text1"/>
          <w:sz w:val="22"/>
          <w:szCs w:val="22"/>
        </w:rPr>
      </w:pPr>
    </w:p>
    <w:p w:rsidR="002073A5" w:rsidRPr="002073A5" w:rsidP="00B5336D">
      <w:pPr>
        <w:rPr>
          <w:rFonts w:ascii="Calibri" w:hAnsi="Calibri" w:cs="Calibri"/>
          <w:i/>
          <w:iCs/>
          <w:color w:val="000000" w:themeColor="text1"/>
          <w:sz w:val="22"/>
          <w:szCs w:val="22"/>
        </w:rPr>
      </w:pPr>
      <w:r w:rsidRPr="002073A5">
        <w:rPr>
          <w:rFonts w:ascii="Calibri" w:hAnsi="Calibri" w:cs="Calibri"/>
          <w:i/>
          <w:iCs/>
          <w:color w:val="000000" w:themeColor="text1"/>
          <w:sz w:val="22"/>
          <w:szCs w:val="22"/>
        </w:rPr>
        <w:t>September 2026</w:t>
      </w:r>
    </w:p>
    <w:sectPr w:rsidSect="00B5336D">
      <w:headerReference w:type="default" r:id="rId8"/>
      <w:pgSz w:w="11906" w:h="16838"/>
      <w:pgMar w:top="324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B38">
    <w:pPr>
      <w:pStyle w:val="Header"/>
    </w:pPr>
    <w:r>
      <w:rPr>
        <w:noProof/>
      </w:rPr>
      <w:drawing>
        <wp:anchor distT="0" distB="0" distL="114300" distR="114300" simplePos="0" relativeHeight="251659264" behindDoc="1" locked="0" layoutInCell="1" allowOverlap="1">
          <wp:simplePos x="0" y="0"/>
          <wp:positionH relativeFrom="column">
            <wp:posOffset>7635240</wp:posOffset>
          </wp:positionH>
          <wp:positionV relativeFrom="paragraph">
            <wp:posOffset>-381000</wp:posOffset>
          </wp:positionV>
          <wp:extent cx="7535067" cy="10658475"/>
          <wp:effectExtent l="0" t="0" r="8890" b="0"/>
          <wp:wrapNone/>
          <wp:docPr id="1316488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538984"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7535067" cy="10658475"/>
                  </a:xfrm>
                  <a:prstGeom prst="rect">
                    <a:avLst/>
                  </a:prstGeom>
                  <a:noFill/>
                  <a:ln>
                    <a:noFill/>
                  </a:ln>
                </pic:spPr>
              </pic:pic>
            </a:graphicData>
          </a:graphic>
        </wp:anchor>
      </w:drawing>
    </w:r>
    <w:r>
      <w:rPr>
        <w:noProof/>
      </w:rPr>
      <w:drawing>
        <wp:anchor distT="0" distB="0" distL="114300" distR="114300" simplePos="0" relativeHeight="251658240" behindDoc="1" locked="0" layoutInCell="1" allowOverlap="1">
          <wp:simplePos x="0" y="0"/>
          <wp:positionH relativeFrom="column">
            <wp:posOffset>6777990</wp:posOffset>
          </wp:positionH>
          <wp:positionV relativeFrom="paragraph">
            <wp:posOffset>-337185</wp:posOffset>
          </wp:positionV>
          <wp:extent cx="7535067" cy="10658475"/>
          <wp:effectExtent l="0" t="0" r="8890" b="0"/>
          <wp:wrapNone/>
          <wp:docPr id="138693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538984"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7535067" cy="1065847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C3579F"/>
    <w:multiLevelType w:val="hybridMultilevel"/>
    <w:tmpl w:val="78E8BFB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2F531BA"/>
    <w:multiLevelType w:val="multilevel"/>
    <w:tmpl w:val="E70EC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356C0"/>
    <w:multiLevelType w:val="hybridMultilevel"/>
    <w:tmpl w:val="A28EB8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D1011D"/>
    <w:multiLevelType w:val="multilevel"/>
    <w:tmpl w:val="BE3A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9C17F6"/>
    <w:multiLevelType w:val="hybridMultilevel"/>
    <w:tmpl w:val="E7C4CB7C"/>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168B19F1"/>
    <w:multiLevelType w:val="hybridMultilevel"/>
    <w:tmpl w:val="FCAE6A6E"/>
    <w:lvl w:ilvl="0">
      <w:start w:val="1"/>
      <w:numFmt w:val="decimal"/>
      <w:lvlText w:val="%1."/>
      <w:lvlJc w:val="left"/>
      <w:pPr>
        <w:ind w:left="720" w:hanging="360"/>
      </w:pPr>
      <w:rPr>
        <w:rFonts w:ascii="Raleway" w:hAnsi="Raleway"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634743"/>
    <w:multiLevelType w:val="hybridMultilevel"/>
    <w:tmpl w:val="E47043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E27749B"/>
    <w:multiLevelType w:val="hybridMultilevel"/>
    <w:tmpl w:val="1534E8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E66551B"/>
    <w:multiLevelType w:val="hybridMultilevel"/>
    <w:tmpl w:val="E78697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5DA46A7"/>
    <w:multiLevelType w:val="multilevel"/>
    <w:tmpl w:val="66DEA9C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1A314A"/>
    <w:multiLevelType w:val="hybridMultilevel"/>
    <w:tmpl w:val="2A22A74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2B1F0056"/>
    <w:multiLevelType w:val="multilevel"/>
    <w:tmpl w:val="2684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D04226F"/>
    <w:multiLevelType w:val="multilevel"/>
    <w:tmpl w:val="AE043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F832CC"/>
    <w:multiLevelType w:val="multilevel"/>
    <w:tmpl w:val="56AC827E"/>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nsid w:val="4615673B"/>
    <w:multiLevelType w:val="hybridMultilevel"/>
    <w:tmpl w:val="08920B5A"/>
    <w:lvl w:ilvl="0">
      <w:start w:val="3"/>
      <w:numFmt w:val="bullet"/>
      <w:lvlText w:val="-"/>
      <w:lvlJc w:val="left"/>
      <w:pPr>
        <w:ind w:left="720" w:hanging="360"/>
      </w:pPr>
      <w:rPr>
        <w:rFonts w:ascii="Raleway" w:eastAsia="Times New Roman" w:hAnsi="Raleway"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902276C"/>
    <w:multiLevelType w:val="multilevel"/>
    <w:tmpl w:val="2EC2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9D5ACF"/>
    <w:multiLevelType w:val="hybridMultilevel"/>
    <w:tmpl w:val="7FA4419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4ECF2465"/>
    <w:multiLevelType w:val="hybridMultilevel"/>
    <w:tmpl w:val="E5B26F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2F42C8B"/>
    <w:multiLevelType w:val="multilevel"/>
    <w:tmpl w:val="2340D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450D9A"/>
    <w:multiLevelType w:val="multilevel"/>
    <w:tmpl w:val="EBFE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B1A3591"/>
    <w:multiLevelType w:val="hybridMultilevel"/>
    <w:tmpl w:val="880496E8"/>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4EB5A1F"/>
    <w:multiLevelType w:val="hybridMultilevel"/>
    <w:tmpl w:val="3E84C0DC"/>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707E5572"/>
    <w:multiLevelType w:val="hybridMultilevel"/>
    <w:tmpl w:val="6EBA6E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29C1D15"/>
    <w:multiLevelType w:val="multilevel"/>
    <w:tmpl w:val="C5584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970A32"/>
    <w:multiLevelType w:val="hybridMultilevel"/>
    <w:tmpl w:val="269C86A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79433ECB"/>
    <w:multiLevelType w:val="hybridMultilevel"/>
    <w:tmpl w:val="4788C4A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7"/>
  </w:num>
  <w:num w:numId="2">
    <w:abstractNumId w:val="24"/>
  </w:num>
  <w:num w:numId="3">
    <w:abstractNumId w:val="21"/>
  </w:num>
  <w:num w:numId="4">
    <w:abstractNumId w:val="8"/>
  </w:num>
  <w:num w:numId="5">
    <w:abstractNumId w:val="20"/>
  </w:num>
  <w:num w:numId="6">
    <w:abstractNumId w:val="11"/>
  </w:num>
  <w:num w:numId="7">
    <w:abstractNumId w:val="17"/>
  </w:num>
  <w:num w:numId="8">
    <w:abstractNumId w:val="2"/>
  </w:num>
  <w:num w:numId="9">
    <w:abstractNumId w:val="22"/>
  </w:num>
  <w:num w:numId="10">
    <w:abstractNumId w:val="13"/>
  </w:num>
  <w:num w:numId="11">
    <w:abstractNumId w:val="1"/>
  </w:num>
  <w:num w:numId="12">
    <w:abstractNumId w:val="23"/>
  </w:num>
  <w:num w:numId="13">
    <w:abstractNumId w:val="15"/>
  </w:num>
  <w:num w:numId="14">
    <w:abstractNumId w:val="6"/>
  </w:num>
  <w:num w:numId="15">
    <w:abstractNumId w:val="16"/>
  </w:num>
  <w:num w:numId="16">
    <w:abstractNumId w:val="4"/>
  </w:num>
  <w:num w:numId="17">
    <w:abstractNumId w:val="3"/>
  </w:num>
  <w:num w:numId="18">
    <w:abstractNumId w:val="12"/>
  </w:num>
  <w:num w:numId="19">
    <w:abstractNumId w:val="14"/>
  </w:num>
  <w:num w:numId="20">
    <w:abstractNumId w:val="5"/>
  </w:num>
  <w:num w:numId="21">
    <w:abstractNumId w:val="19"/>
  </w:num>
  <w:num w:numId="22">
    <w:abstractNumId w:val="10"/>
  </w:num>
  <w:num w:numId="23">
    <w:abstractNumId w:val="0"/>
  </w:num>
  <w:num w:numId="24">
    <w:abstractNumId w:val="9"/>
  </w:num>
  <w:num w:numId="25">
    <w:abstractNumId w:val="2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1B9C"/>
  </w:style>
  <w:style w:type="paragraph" w:styleId="Heading1">
    <w:name w:val="heading 1"/>
    <w:basedOn w:val="Normal"/>
    <w:next w:val="Normal"/>
    <w:link w:val="Heading1Char"/>
    <w:uiPriority w:val="9"/>
    <w:qFormat/>
    <w:rsid w:val="00B533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3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3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3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3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3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3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3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3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3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3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3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3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3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3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3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3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36D"/>
    <w:rPr>
      <w:rFonts w:eastAsiaTheme="majorEastAsia" w:cstheme="majorBidi"/>
      <w:color w:val="272727" w:themeColor="text1" w:themeTint="D8"/>
    </w:rPr>
  </w:style>
  <w:style w:type="paragraph" w:styleId="Title">
    <w:name w:val="Title"/>
    <w:basedOn w:val="Normal"/>
    <w:next w:val="Normal"/>
    <w:link w:val="TitleChar"/>
    <w:uiPriority w:val="10"/>
    <w:qFormat/>
    <w:rsid w:val="00B53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3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3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3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36D"/>
    <w:pPr>
      <w:spacing w:before="160"/>
      <w:jc w:val="center"/>
    </w:pPr>
    <w:rPr>
      <w:i/>
      <w:iCs/>
      <w:color w:val="404040" w:themeColor="text1" w:themeTint="BF"/>
    </w:rPr>
  </w:style>
  <w:style w:type="character" w:customStyle="1" w:styleId="QuoteChar">
    <w:name w:val="Quote Char"/>
    <w:basedOn w:val="DefaultParagraphFont"/>
    <w:link w:val="Quote"/>
    <w:uiPriority w:val="29"/>
    <w:rsid w:val="00B5336D"/>
    <w:rPr>
      <w:i/>
      <w:iCs/>
      <w:color w:val="404040" w:themeColor="text1" w:themeTint="BF"/>
    </w:rPr>
  </w:style>
  <w:style w:type="paragraph" w:styleId="ListParagraph">
    <w:name w:val="List Paragraph"/>
    <w:basedOn w:val="Normal"/>
    <w:uiPriority w:val="34"/>
    <w:qFormat/>
    <w:rsid w:val="00B5336D"/>
    <w:pPr>
      <w:ind w:left="720"/>
      <w:contextualSpacing/>
    </w:pPr>
  </w:style>
  <w:style w:type="character" w:styleId="IntenseEmphasis">
    <w:name w:val="Intense Emphasis"/>
    <w:basedOn w:val="DefaultParagraphFont"/>
    <w:uiPriority w:val="21"/>
    <w:qFormat/>
    <w:rsid w:val="00B5336D"/>
    <w:rPr>
      <w:i/>
      <w:iCs/>
      <w:color w:val="0F4761" w:themeColor="accent1" w:themeShade="BF"/>
    </w:rPr>
  </w:style>
  <w:style w:type="paragraph" w:styleId="IntenseQuote">
    <w:name w:val="Intense Quote"/>
    <w:basedOn w:val="Normal"/>
    <w:next w:val="Normal"/>
    <w:link w:val="IntenseQuoteChar"/>
    <w:uiPriority w:val="30"/>
    <w:qFormat/>
    <w:rsid w:val="00B533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36D"/>
    <w:rPr>
      <w:i/>
      <w:iCs/>
      <w:color w:val="0F4761" w:themeColor="accent1" w:themeShade="BF"/>
    </w:rPr>
  </w:style>
  <w:style w:type="character" w:styleId="IntenseReference">
    <w:name w:val="Intense Reference"/>
    <w:basedOn w:val="DefaultParagraphFont"/>
    <w:uiPriority w:val="32"/>
    <w:qFormat/>
    <w:rsid w:val="00B5336D"/>
    <w:rPr>
      <w:b/>
      <w:bCs/>
      <w:smallCaps/>
      <w:color w:val="0F4761" w:themeColor="accent1" w:themeShade="BF"/>
      <w:spacing w:val="5"/>
    </w:rPr>
  </w:style>
  <w:style w:type="paragraph" w:styleId="Header">
    <w:name w:val="header"/>
    <w:basedOn w:val="Normal"/>
    <w:link w:val="HeaderChar"/>
    <w:uiPriority w:val="99"/>
    <w:unhideWhenUsed/>
    <w:rsid w:val="00B533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36D"/>
  </w:style>
  <w:style w:type="character" w:styleId="Hyperlink">
    <w:name w:val="Hyperlink"/>
    <w:basedOn w:val="DefaultParagraphFont"/>
    <w:uiPriority w:val="99"/>
    <w:unhideWhenUsed/>
    <w:rsid w:val="00B5336D"/>
    <w:rPr>
      <w:color w:val="467886" w:themeColor="hyperlink"/>
      <w:u w:val="single"/>
    </w:rPr>
  </w:style>
  <w:style w:type="character" w:customStyle="1" w:styleId="UnresolvedMention1">
    <w:name w:val="Unresolved Mention1"/>
    <w:basedOn w:val="DefaultParagraphFont"/>
    <w:uiPriority w:val="99"/>
    <w:semiHidden/>
    <w:unhideWhenUsed/>
    <w:rsid w:val="00B5336D"/>
    <w:rPr>
      <w:color w:val="605E5C"/>
      <w:shd w:val="clear" w:color="auto" w:fill="E1DFDD"/>
    </w:rPr>
  </w:style>
  <w:style w:type="paragraph" w:styleId="NormalWeb">
    <w:name w:val="Normal (Web)"/>
    <w:basedOn w:val="Normal"/>
    <w:uiPriority w:val="99"/>
    <w:semiHidden/>
    <w:unhideWhenUsed/>
    <w:rsid w:val="00B5336D"/>
    <w:pPr>
      <w:spacing w:before="100" w:beforeAutospacing="1" w:after="100" w:afterAutospacing="1" w:line="240" w:lineRule="auto"/>
    </w:pPr>
    <w:rPr>
      <w:rFonts w:ascii="Times New Roman" w:eastAsia="Times New Roman" w:hAnsi="Times New Roman" w:cs="Times New Roman"/>
      <w:kern w:val="0"/>
      <w:lang w:eastAsia="en-GB"/>
    </w:rPr>
  </w:style>
  <w:style w:type="paragraph" w:styleId="Footer">
    <w:name w:val="footer"/>
    <w:basedOn w:val="Normal"/>
    <w:link w:val="FooterChar"/>
    <w:uiPriority w:val="99"/>
    <w:unhideWhenUsed/>
    <w:rsid w:val="005F60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0C2"/>
  </w:style>
  <w:style w:type="character" w:styleId="CommentReference">
    <w:name w:val="annotation reference"/>
    <w:basedOn w:val="DefaultParagraphFont"/>
    <w:uiPriority w:val="99"/>
    <w:semiHidden/>
    <w:unhideWhenUsed/>
    <w:rsid w:val="00B32FE9"/>
    <w:rPr>
      <w:sz w:val="16"/>
      <w:szCs w:val="16"/>
    </w:rPr>
  </w:style>
  <w:style w:type="paragraph" w:styleId="CommentText">
    <w:name w:val="annotation text"/>
    <w:basedOn w:val="Normal"/>
    <w:link w:val="CommentTextChar"/>
    <w:uiPriority w:val="99"/>
    <w:unhideWhenUsed/>
    <w:rsid w:val="00B32FE9"/>
    <w:pPr>
      <w:spacing w:line="240" w:lineRule="auto"/>
    </w:pPr>
    <w:rPr>
      <w:sz w:val="20"/>
      <w:szCs w:val="20"/>
    </w:rPr>
  </w:style>
  <w:style w:type="character" w:customStyle="1" w:styleId="CommentTextChar">
    <w:name w:val="Comment Text Char"/>
    <w:basedOn w:val="DefaultParagraphFont"/>
    <w:link w:val="CommentText"/>
    <w:uiPriority w:val="99"/>
    <w:rsid w:val="00B32FE9"/>
    <w:rPr>
      <w:sz w:val="20"/>
      <w:szCs w:val="20"/>
    </w:rPr>
  </w:style>
  <w:style w:type="paragraph" w:styleId="CommentSubject">
    <w:name w:val="annotation subject"/>
    <w:basedOn w:val="CommentText"/>
    <w:next w:val="CommentText"/>
    <w:link w:val="CommentSubjectChar"/>
    <w:uiPriority w:val="99"/>
    <w:semiHidden/>
    <w:unhideWhenUsed/>
    <w:rsid w:val="00B32FE9"/>
    <w:rPr>
      <w:b/>
      <w:bCs/>
    </w:rPr>
  </w:style>
  <w:style w:type="character" w:customStyle="1" w:styleId="CommentSubjectChar">
    <w:name w:val="Comment Subject Char"/>
    <w:basedOn w:val="CommentTextChar"/>
    <w:link w:val="CommentSubject"/>
    <w:uiPriority w:val="99"/>
    <w:semiHidden/>
    <w:rsid w:val="00B32FE9"/>
    <w:rPr>
      <w:b/>
      <w:bCs/>
      <w:sz w:val="20"/>
      <w:szCs w:val="20"/>
    </w:rPr>
  </w:style>
  <w:style w:type="paragraph" w:styleId="Revision">
    <w:name w:val="Revision"/>
    <w:hidden/>
    <w:uiPriority w:val="99"/>
    <w:semiHidden/>
    <w:rsid w:val="00E21F1D"/>
    <w:pPr>
      <w:spacing w:after="0" w:line="240" w:lineRule="auto"/>
    </w:pPr>
  </w:style>
  <w:style w:type="paragraph" w:customStyle="1" w:styleId="breadcrumb-item">
    <w:name w:val="breadcrumb-item"/>
    <w:basedOn w:val="Normal"/>
    <w:rsid w:val="002073A5"/>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breadcrumb-itemtext">
    <w:name w:val="breadcrumb-item__text"/>
    <w:basedOn w:val="DefaultParagraphFont"/>
    <w:rsid w:val="00207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482028-d87d-442b-ac1a-6a1869af71d1">
      <Terms xmlns="http://schemas.microsoft.com/office/infopath/2007/PartnerControls"/>
    </lcf76f155ced4ddcb4097134ff3c332f>
    <TaxCatchAll xmlns="a0aca088-ec74-44a8-99c3-716928df55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C7E3E422F98249AE3020A6321E8B00" ma:contentTypeVersion="18" ma:contentTypeDescription="Create a new document." ma:contentTypeScope="" ma:versionID="f876af6ae1a394972c35381c4cd4d021">
  <xsd:schema xmlns:xsd="http://www.w3.org/2001/XMLSchema" xmlns:xs="http://www.w3.org/2001/XMLSchema" xmlns:p="http://schemas.microsoft.com/office/2006/metadata/properties" xmlns:ns2="03482028-d87d-442b-ac1a-6a1869af71d1" xmlns:ns3="a0aca088-ec74-44a8-99c3-716928df55fe" targetNamespace="http://schemas.microsoft.com/office/2006/metadata/properties" ma:root="true" ma:fieldsID="4c9e59f454054cd5c5150c609d2720fb" ns2:_="" ns3:_="">
    <xsd:import namespace="03482028-d87d-442b-ac1a-6a1869af71d1"/>
    <xsd:import namespace="a0aca088-ec74-44a8-99c3-716928df55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482028-d87d-442b-ac1a-6a1869af71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c96282-578d-4abe-bb73-1db4fa0b67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ca088-ec74-44a8-99c3-716928df55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271bd9-94b7-4ca3-9d03-a9ef010e7c95}" ma:internalName="TaxCatchAll" ma:showField="CatchAllData" ma:web="a0aca088-ec74-44a8-99c3-716928df55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8F641-E698-4C1E-8017-9C523E4D08FC}">
  <ds:schemaRefs>
    <ds:schemaRef ds:uri="http://schemas.microsoft.com/office/2006/metadata/properties"/>
    <ds:schemaRef ds:uri="http://schemas.microsoft.com/office/infopath/2007/PartnerControls"/>
    <ds:schemaRef ds:uri="03482028-d87d-442b-ac1a-6a1869af71d1"/>
    <ds:schemaRef ds:uri="a0aca088-ec74-44a8-99c3-716928df55fe"/>
  </ds:schemaRefs>
</ds:datastoreItem>
</file>

<file path=customXml/itemProps2.xml><?xml version="1.0" encoding="utf-8"?>
<ds:datastoreItem xmlns:ds="http://schemas.openxmlformats.org/officeDocument/2006/customXml" ds:itemID="{A9F9C84D-DBE4-4830-9E80-658D460B5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482028-d87d-442b-ac1a-6a1869af71d1"/>
    <ds:schemaRef ds:uri="a0aca088-ec74-44a8-99c3-716928df5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1E26EC-C93B-4AE5-9818-F047C6E13BA2}">
  <ds:schemaRefs>
    <ds:schemaRef ds:uri="http://schemas.microsoft.com/sharepoint/v3/contenttype/forms"/>
  </ds:schemaRefs>
</ds:datastoreItem>
</file>

<file path=customXml/itemProps4.xml><?xml version="1.0" encoding="utf-8"?>
<ds:datastoreItem xmlns:ds="http://schemas.openxmlformats.org/officeDocument/2006/customXml" ds:itemID="{177F6BD0-AE43-4E54-85A5-80ADFB227B4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ECA0078</dc:title>
  <cp:revision>0</cp:revision>
</cp:coreProperties>
</file>