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14CB" w:rsidRPr="00CB14CB" w:rsidP="00CB14CB">
      <w:pPr>
        <w:pStyle w:val="Title"/>
        <w:jc w:val="center"/>
        <w:rPr>
          <w:color w:val="auto"/>
          <w:sz w:val="32"/>
          <w:szCs w:val="32"/>
        </w:rPr>
      </w:pPr>
      <w:r w:rsidRPr="00CB14CB">
        <w:rPr>
          <w:color w:val="auto"/>
          <w:sz w:val="32"/>
          <w:szCs w:val="32"/>
        </w:rPr>
        <w:t xml:space="preserve">Written evidence by </w:t>
      </w:r>
      <w:r w:rsidRPr="00CB14CB">
        <w:rPr>
          <w:bCs/>
          <w:color w:val="auto"/>
          <w:sz w:val="32"/>
          <w:szCs w:val="32"/>
        </w:rPr>
        <w:t>Alliance for Inclusive Education</w:t>
      </w:r>
      <w:r w:rsidRPr="00CB14CB">
        <w:rPr>
          <w:bCs/>
          <w:color w:val="auto"/>
          <w:sz w:val="32"/>
          <w:szCs w:val="32"/>
        </w:rPr>
        <w:t xml:space="preserve"> (ECA0074)</w:t>
      </w:r>
    </w:p>
    <w:p w:rsidR="00CB14CB" w:rsidP="7E22947F">
      <w:pPr>
        <w:pStyle w:val="Title"/>
      </w:pPr>
    </w:p>
    <w:p w:rsidR="00A3009A" w:rsidP="7E22947F">
      <w:pPr>
        <w:pStyle w:val="Title"/>
      </w:pPr>
      <w:r>
        <w:t>A</w:t>
      </w:r>
      <w:r>
        <w:t xml:space="preserve">lliance for Inclusive Education </w:t>
      </w:r>
      <w:r>
        <w:t>Written Evidence: Every Child Achieving and Thriving White Paper</w:t>
      </w:r>
    </w:p>
    <w:p w:rsidR="00A3009A" w:rsidP="00461B4B">
      <w:r>
        <w:t>Submission date:18</w:t>
      </w:r>
      <w:r w:rsidRPr="7E22947F">
        <w:rPr>
          <w:vertAlign w:val="superscript"/>
        </w:rPr>
        <w:t>th</w:t>
      </w:r>
      <w:r>
        <w:t xml:space="preserve"> September 2026 </w:t>
      </w:r>
    </w:p>
    <w:p w:rsidR="00A3009A" w:rsidP="7E22947F">
      <w:pPr>
        <w:spacing w:before="0" w:after="0"/>
      </w:pPr>
      <w:r>
        <w:t xml:space="preserve">Main contacts:  </w:t>
      </w:r>
    </w:p>
    <w:p w:rsidR="00A3009A" w:rsidRPr="00461B4B" w:rsidP="7E22947F">
      <w:pPr>
        <w:spacing w:before="0" w:after="0"/>
      </w:pPr>
      <w:r>
        <w:t xml:space="preserve">Dr Edmore Masendeke (Policy and Research Lead) </w:t>
      </w:r>
    </w:p>
    <w:p w:rsidR="00A3009A" w:rsidRPr="00EB16E9" w:rsidP="7E22947F"/>
    <w:p w:rsidR="00A3009A" w:rsidP="0007387A">
      <w:pPr>
        <w:pStyle w:val="Heading1"/>
      </w:pPr>
      <w:r>
        <w:t>Executive Summary</w:t>
      </w:r>
    </w:p>
    <w:p w:rsidR="00A3009A" w:rsidP="36AADEA1">
      <w:r>
        <w:t>The Alliance for Inclusive Education (</w:t>
      </w:r>
      <w:r>
        <w:t>ALLFIE</w:t>
      </w:r>
      <w:r>
        <w:t>)</w:t>
      </w:r>
      <w:r>
        <w:t xml:space="preserve"> </w:t>
      </w:r>
      <w:r>
        <w:t>acknowledges the Education Committee’s examination of the Government proposals for reform of the school system set out in the Every</w:t>
      </w:r>
      <w:r>
        <w:t xml:space="preserve"> Child Achieving and Thriving White Paper. However, ALLFIE holds significant concerns that these proposals reinforce </w:t>
      </w:r>
      <w:r>
        <w:t>societal barriers</w:t>
      </w:r>
      <w:r>
        <w:t>, such as inaccessible teaching, exclusionary assessment, punitive attendance and racialised</w:t>
      </w:r>
      <w:r>
        <w:t xml:space="preserve"> and disablist</w:t>
      </w:r>
      <w:r>
        <w:t xml:space="preserve"> behaviour </w:t>
      </w:r>
      <w:r>
        <w:t>policies</w:t>
      </w:r>
      <w:r>
        <w:t>,</w:t>
      </w:r>
      <w:r>
        <w:t xml:space="preserve"> for Disabled children and young people. </w:t>
      </w:r>
      <w:r>
        <w:t xml:space="preserve">The </w:t>
      </w:r>
      <w:r>
        <w:t xml:space="preserve">White Paper will not </w:t>
      </w:r>
      <w:r>
        <w:t>achieve its aims while there is no route within the reforms to end segregated education</w:t>
      </w:r>
      <w:r>
        <w:t xml:space="preserve"> in line with Article 24 </w:t>
      </w:r>
      <w:r>
        <w:t xml:space="preserve">of the United Nations Convention on the Rights of </w:t>
      </w:r>
      <w:r>
        <w:t xml:space="preserve">Persons </w:t>
      </w:r>
      <w:r>
        <w:t>with Disabilities</w:t>
      </w:r>
      <w:r>
        <w:t xml:space="preserve"> (UNCRPD)</w:t>
      </w:r>
      <w:r>
        <w:rPr>
          <w:rStyle w:val="EndnoteReference"/>
        </w:rPr>
        <w:endnoteReference w:id="2"/>
      </w:r>
      <w:r>
        <w:t>.</w:t>
      </w:r>
    </w:p>
    <w:p w:rsidR="00A3009A" w:rsidP="00531F64">
      <w:r>
        <w:t>The proposals fail to take an intersectional approach, or to acknowledge the</w:t>
      </w:r>
      <w:r>
        <w:t xml:space="preserve"> injustice</w:t>
      </w:r>
      <w:r>
        <w:t xml:space="preserve"> </w:t>
      </w:r>
      <w:r>
        <w:t xml:space="preserve">created by the intersections </w:t>
      </w:r>
      <w:r>
        <w:t>of</w:t>
      </w:r>
      <w:r>
        <w:t xml:space="preserve"> disablism</w:t>
      </w:r>
      <w:r>
        <w:t xml:space="preserve">, racism, poverty, gender inequality, migration control, care experience and other </w:t>
      </w:r>
      <w:r>
        <w:t>structural conditions shaping access to education</w:t>
      </w:r>
      <w:r>
        <w:t>.</w:t>
      </w:r>
      <w:r>
        <w:t xml:space="preserve"> </w:t>
      </w:r>
      <w:r>
        <w:t xml:space="preserve">Failing to account for </w:t>
      </w:r>
      <w:r>
        <w:t>this</w:t>
      </w:r>
      <w:r>
        <w:t xml:space="preserve">, and </w:t>
      </w:r>
      <w:r>
        <w:t xml:space="preserve">prioritising attainment, attendance, and behaviour without addressing the underlying reasons Disabled children and young people face </w:t>
      </w:r>
      <w:r>
        <w:t>these</w:t>
      </w:r>
      <w:r>
        <w:t xml:space="preserve"> structural and system</w:t>
      </w:r>
      <w:r>
        <w:t>ic</w:t>
      </w:r>
      <w:r>
        <w:t xml:space="preserve"> barriers</w:t>
      </w:r>
      <w:r>
        <w:t xml:space="preserve"> will fail to remove them</w:t>
      </w:r>
      <w:r>
        <w:t>.</w:t>
      </w:r>
    </w:p>
    <w:p w:rsidR="00A3009A" w:rsidRPr="00531F64" w:rsidP="00F63F64">
      <w:r>
        <w:t xml:space="preserve">To </w:t>
      </w:r>
      <w:r>
        <w:t xml:space="preserve">end </w:t>
      </w:r>
      <w:r>
        <w:t xml:space="preserve">the systemic barriers </w:t>
      </w:r>
      <w:r>
        <w:t xml:space="preserve">facing Disabled students, </w:t>
      </w:r>
      <w:r>
        <w:t>ALLFIE</w:t>
      </w:r>
      <w:r>
        <w:t xml:space="preserve"> urges</w:t>
      </w:r>
      <w:r>
        <w:t xml:space="preserve"> the Education Committee to </w:t>
      </w:r>
      <w:r>
        <w:t xml:space="preserve">scrutinise these proposals </w:t>
      </w:r>
      <w:r>
        <w:t xml:space="preserve">with a view to understanding how they impact </w:t>
      </w:r>
      <w:r>
        <w:t xml:space="preserve">Disabled </w:t>
      </w:r>
      <w:r>
        <w:t>students</w:t>
      </w:r>
      <w:r>
        <w:t xml:space="preserve"> and other marginalised students</w:t>
      </w:r>
      <w:r>
        <w:t xml:space="preserve">. </w:t>
      </w:r>
      <w:r>
        <w:t xml:space="preserve">Before any reforms are actioned or proposed, </w:t>
      </w:r>
      <w:r>
        <w:t xml:space="preserve">the </w:t>
      </w:r>
      <w:r>
        <w:t>government must work with</w:t>
      </w:r>
      <w:r>
        <w:t xml:space="preserve"> Disabled People’s Organisations (DPOs) like ALLFIE to ensure that the voices of</w:t>
      </w:r>
      <w:r>
        <w:t xml:space="preserve"> </w:t>
      </w:r>
      <w:r>
        <w:t xml:space="preserve">Disabled children and young people, their families and other marginalised students are not only consulted but centred in the creation of reforms. </w:t>
      </w:r>
      <w:r>
        <w:t xml:space="preserve">Such engagement is necessary to </w:t>
      </w:r>
      <w:r>
        <w:t>ensure reform</w:t>
      </w:r>
      <w:r>
        <w:t xml:space="preserve"> that </w:t>
      </w:r>
      <w:r>
        <w:t>remove</w:t>
      </w:r>
      <w:r>
        <w:t>s</w:t>
      </w:r>
      <w:r>
        <w:t xml:space="preserve"> barriers, </w:t>
      </w:r>
      <w:r>
        <w:t>rather</w:t>
      </w:r>
      <w:r>
        <w:t xml:space="preserve"> </w:t>
      </w:r>
      <w:r>
        <w:t>than</w:t>
      </w:r>
      <w:r>
        <w:t xml:space="preserve"> reinforce</w:t>
      </w:r>
      <w:r>
        <w:t>s</w:t>
      </w:r>
      <w:r>
        <w:t xml:space="preserve"> them</w:t>
      </w:r>
      <w:r>
        <w:t xml:space="preserve"> and ensur</w:t>
      </w:r>
      <w:r>
        <w:t>es</w:t>
      </w:r>
      <w:r>
        <w:t xml:space="preserve"> policy change is</w:t>
      </w:r>
      <w:r>
        <w:t xml:space="preserve"> </w:t>
      </w:r>
      <w:r>
        <w:t>embedded</w:t>
      </w:r>
      <w:r>
        <w:t xml:space="preserve"> in the lived experiences of </w:t>
      </w:r>
      <w:r>
        <w:t xml:space="preserve">Disabled people most </w:t>
      </w:r>
      <w:r>
        <w:t>affected by exclusion</w:t>
      </w:r>
      <w:r>
        <w:t xml:space="preserve">. </w:t>
      </w:r>
    </w:p>
    <w:p w:rsidR="00A3009A" w:rsidP="0007387A">
      <w:pPr>
        <w:pStyle w:val="Heading1"/>
      </w:pPr>
      <w:r>
        <w:t>Introduction</w:t>
      </w:r>
    </w:p>
    <w:p w:rsidR="00A3009A" w:rsidP="0007387A">
      <w:r>
        <w:t>The Alliance for Inclusive Education (ALLFIE) is the only national Disabled People’s Organisation (DPO) campaigning for Inclusive Education as a right for all.</w:t>
      </w:r>
      <w:r>
        <w:t xml:space="preserve"> ALLFIE is led </w:t>
      </w:r>
      <w:r>
        <w:t xml:space="preserve">and run by Disabled people, and </w:t>
      </w:r>
      <w:r>
        <w:t xml:space="preserve">created the Coalition for Inclusive Education to bring together </w:t>
      </w:r>
      <w:r>
        <w:t xml:space="preserve">stakeholders who </w:t>
      </w:r>
      <w:r>
        <w:t>campaign for</w:t>
      </w:r>
      <w:r>
        <w:t xml:space="preserve"> Inclusive Education, including </w:t>
      </w:r>
      <w:r>
        <w:t>other DPOs</w:t>
      </w:r>
      <w:r>
        <w:t>, education professionals</w:t>
      </w:r>
      <w:r>
        <w:t>, young people</w:t>
      </w:r>
      <w:r>
        <w:t xml:space="preserve">, parents of Disabled children, </w:t>
      </w:r>
      <w:r>
        <w:t xml:space="preserve">and </w:t>
      </w:r>
      <w:r>
        <w:t>other social justice movements</w:t>
      </w:r>
      <w:r>
        <w:t>, with diverse lived experiences at the heart of our work</w:t>
      </w:r>
      <w:r>
        <w:t>.</w:t>
      </w:r>
    </w:p>
    <w:p w:rsidR="00A3009A" w:rsidP="0007387A">
      <w:r>
        <w:t xml:space="preserve">Our work is underpinned by our </w:t>
      </w:r>
      <w:r>
        <w:t>four</w:t>
      </w:r>
      <w:r>
        <w:t xml:space="preserve"> core principles:</w:t>
      </w:r>
    </w:p>
    <w:p w:rsidR="00A3009A" w:rsidP="0007387A">
      <w:pPr>
        <w:pStyle w:val="ListParagraph"/>
        <w:numPr>
          <w:ilvl w:val="0"/>
          <w:numId w:val="2"/>
        </w:numPr>
      </w:pPr>
      <w:r>
        <w:t>Article 24 of the UN Convention on the Rights of Persons with Disabilities</w:t>
      </w:r>
      <w:r>
        <w:t xml:space="preserve"> (UNCRPD)</w:t>
      </w:r>
      <w:r>
        <w:t>,</w:t>
      </w:r>
      <w:r>
        <w:t xml:space="preserve"> which states that Disabled children have the right to Inclusive Education.</w:t>
      </w:r>
      <w:r>
        <w:rPr>
          <w:rStyle w:val="EndnoteReference"/>
        </w:rPr>
        <w:endnoteReference w:id="3"/>
      </w:r>
    </w:p>
    <w:p w:rsidR="00A3009A" w:rsidP="0007387A">
      <w:pPr>
        <w:pStyle w:val="ListParagraph"/>
        <w:numPr>
          <w:ilvl w:val="0"/>
          <w:numId w:val="2"/>
        </w:numPr>
      </w:pPr>
      <w:r>
        <w:t>The Social Model of Disability</w:t>
      </w:r>
      <w:r>
        <w:rPr>
          <w:rStyle w:val="EndnoteReference"/>
        </w:rPr>
        <w:endnoteReference w:id="4"/>
      </w:r>
    </w:p>
    <w:p w:rsidR="00A3009A" w:rsidP="0007387A">
      <w:pPr>
        <w:pStyle w:val="ListParagraph"/>
        <w:numPr>
          <w:ilvl w:val="0"/>
          <w:numId w:val="2"/>
        </w:numPr>
      </w:pPr>
      <w:r>
        <w:t>Intersectionality</w:t>
      </w:r>
    </w:p>
    <w:p w:rsidR="00A3009A" w:rsidP="0007387A">
      <w:pPr>
        <w:pStyle w:val="ListParagraph"/>
        <w:numPr>
          <w:ilvl w:val="0"/>
          <w:numId w:val="2"/>
        </w:numPr>
      </w:pPr>
      <w:r>
        <w:t>Lived experience</w:t>
      </w:r>
    </w:p>
    <w:p w:rsidR="00A3009A" w:rsidP="36AADEA1">
      <w:r>
        <w:t>ALLFIE defines Disabled people as including those with diagnosed and undiagnosed impairments, and individuals labelled with</w:t>
      </w:r>
      <w:r>
        <w:t xml:space="preserve"> Special Educational Needs and Disabilities</w:t>
      </w:r>
      <w:r>
        <w:t xml:space="preserve"> </w:t>
      </w:r>
      <w:r>
        <w:t>(</w:t>
      </w:r>
      <w:r>
        <w:t>SEND</w:t>
      </w:r>
      <w:r>
        <w:t>)</w:t>
      </w:r>
      <w:r>
        <w:t xml:space="preserve"> – whether or not</w:t>
      </w:r>
      <w:r>
        <w:t xml:space="preserve"> they receive targeted SEND support. ALLFIE uses the Social Model of Disability, where Disabled people are seen as being disabled not by their impairments (such as blindness or autism) but by society’s failure to take </w:t>
      </w:r>
      <w:r>
        <w:t>their needs into account. Being Disabled is part of the normal spectrum of human life: society must expect Disabled people to be there and include us.</w:t>
      </w:r>
      <w:r>
        <w:rPr>
          <w:rStyle w:val="EndnoteReference"/>
        </w:rPr>
        <w:endnoteReference w:id="5"/>
      </w:r>
      <w:r>
        <w:t xml:space="preserve"> We centre lived experience in our work, not as anecdotal evidence added after the fact, but recognising that collective lived experience held by Disabled people is a source of knowledge, our experience, and political authority. It is the foundation on which policy, practice and accountability must be built. All our work embeds social justice practice and intersectionality throughout, and we believe this must be the approach taken in wider governmental policy.</w:t>
      </w:r>
    </w:p>
    <w:p w:rsidR="00A3009A" w:rsidP="00491BF4">
      <w:pPr>
        <w:pStyle w:val="Heading1"/>
      </w:pPr>
      <w:r>
        <w:t>Context</w:t>
      </w:r>
    </w:p>
    <w:p w:rsidR="00A3009A" w:rsidP="00491BF4">
      <w:r>
        <w:t xml:space="preserve">ALLFIE </w:t>
      </w:r>
      <w:r>
        <w:t>acknowledges</w:t>
      </w:r>
      <w:r>
        <w:t xml:space="preserve"> the Education Committee’s examination of the Government proposals for reform of the school system set out in</w:t>
      </w:r>
      <w:r>
        <w:t xml:space="preserve"> the</w:t>
      </w:r>
      <w:r>
        <w:t xml:space="preserve"> </w:t>
      </w:r>
      <w:r>
        <w:t>Every</w:t>
      </w:r>
      <w:r>
        <w:t xml:space="preserve"> Child Achieving and Thriving White Paper.</w:t>
      </w:r>
      <w:r>
        <w:rPr>
          <w:rStyle w:val="EndnoteReference"/>
        </w:rPr>
        <w:endnoteReference w:id="6"/>
      </w:r>
      <w:r>
        <w:t xml:space="preserve"> We </w:t>
      </w:r>
      <w:r>
        <w:t xml:space="preserve">note </w:t>
      </w:r>
      <w:r>
        <w:t>that this work sits separately to the proposals laid out in the SEND Reform consultation, and that these proposals will be subject to their own scrutiny</w:t>
      </w:r>
      <w:r>
        <w:t>.</w:t>
      </w:r>
      <w:r>
        <w:t xml:space="preserve"> </w:t>
      </w:r>
      <w:r>
        <w:t>W</w:t>
      </w:r>
      <w:r>
        <w:t>e are concerned</w:t>
      </w:r>
      <w:r>
        <w:t>, however,</w:t>
      </w:r>
      <w:r>
        <w:t xml:space="preserve"> that the </w:t>
      </w:r>
      <w:r>
        <w:t xml:space="preserve">reforms </w:t>
      </w:r>
      <w:r>
        <w:t>set out in the White Paper, and the terms of reference for this inquiry, cannot be appropriately assessed without considering Disabled students</w:t>
      </w:r>
      <w:r>
        <w:t>’</w:t>
      </w:r>
      <w:r>
        <w:t xml:space="preserve"> experiences </w:t>
      </w:r>
      <w:r>
        <w:t>and barriers</w:t>
      </w:r>
      <w:r>
        <w:t xml:space="preserve"> across the school system</w:t>
      </w:r>
      <w:r>
        <w:t>,</w:t>
      </w:r>
      <w:r>
        <w:t xml:space="preserve"> not only in </w:t>
      </w:r>
      <w:r>
        <w:t>relation to</w:t>
      </w:r>
      <w:r>
        <w:t xml:space="preserve"> </w:t>
      </w:r>
      <w:r>
        <w:t xml:space="preserve">SEND </w:t>
      </w:r>
      <w:r>
        <w:t>r</w:t>
      </w:r>
      <w:r>
        <w:t>eforms</w:t>
      </w:r>
      <w:r>
        <w:t>, but</w:t>
      </w:r>
      <w:r>
        <w:t xml:space="preserve"> especially when intersectionality is not embedded within the</w:t>
      </w:r>
      <w:r>
        <w:t xml:space="preserve"> creation of policy and reform.</w:t>
      </w:r>
      <w:r>
        <w:t xml:space="preserve"> </w:t>
      </w:r>
    </w:p>
    <w:p w:rsidR="00A3009A" w:rsidP="00491BF4">
      <w:r>
        <w:t xml:space="preserve">We respond to this inquiry from a clear commitment to </w:t>
      </w:r>
      <w:r>
        <w:t>intersectional</w:t>
      </w:r>
      <w:r>
        <w:t>ity</w:t>
      </w:r>
      <w:r>
        <w:t>,</w:t>
      </w:r>
      <w:r>
        <w:t xml:space="preserve"> </w:t>
      </w:r>
      <w:r>
        <w:t>rights-based</w:t>
      </w:r>
      <w:r>
        <w:t xml:space="preserve"> </w:t>
      </w:r>
      <w:r>
        <w:t>principles</w:t>
      </w:r>
      <w:r>
        <w:t xml:space="preserve"> and the embedding of</w:t>
      </w:r>
      <w:r>
        <w:t xml:space="preserve"> Inclusive Education</w:t>
      </w:r>
      <w:r>
        <w:t>,</w:t>
      </w:r>
      <w:r>
        <w:t xml:space="preserve"> as defined by the UNCRPD</w:t>
      </w:r>
      <w:r>
        <w:t>,</w:t>
      </w:r>
      <w:r>
        <w:t xml:space="preserve"> at the heart of </w:t>
      </w:r>
      <w:r>
        <w:t xml:space="preserve">all </w:t>
      </w:r>
      <w:r>
        <w:t>policy</w:t>
      </w:r>
      <w:r>
        <w:t xml:space="preserve"> development and implementation. </w:t>
      </w:r>
    </w:p>
    <w:p w:rsidR="00A3009A" w:rsidP="00491BF4">
      <w:r>
        <w:t>Our evidence</w:t>
      </w:r>
      <w:r>
        <w:t xml:space="preserve"> for this response</w:t>
      </w:r>
      <w:r>
        <w:t xml:space="preserve"> </w:t>
      </w:r>
      <w:r>
        <w:t>comes from</w:t>
      </w:r>
      <w:r>
        <w:t xml:space="preserve"> the</w:t>
      </w:r>
      <w:r>
        <w:t xml:space="preserve"> </w:t>
      </w:r>
      <w:r>
        <w:t xml:space="preserve">diverse </w:t>
      </w:r>
      <w:r>
        <w:t xml:space="preserve">lived experiences of </w:t>
      </w:r>
      <w:r>
        <w:t>over 3000 supp</w:t>
      </w:r>
      <w:r>
        <w:t>ort</w:t>
      </w:r>
      <w:r>
        <w:t xml:space="preserve">ers through </w:t>
      </w:r>
      <w:r>
        <w:t>our members</w:t>
      </w:r>
      <w:r>
        <w:t>’</w:t>
      </w:r>
      <w:r>
        <w:t xml:space="preserve"> voices</w:t>
      </w:r>
      <w:r>
        <w:t>,</w:t>
      </w:r>
      <w:r>
        <w:t xml:space="preserve"> </w:t>
      </w:r>
      <w:r>
        <w:t xml:space="preserve">the work </w:t>
      </w:r>
      <w:r>
        <w:t xml:space="preserve">of </w:t>
      </w:r>
      <w:r>
        <w:t xml:space="preserve">ALLFIE </w:t>
      </w:r>
      <w:r>
        <w:t>groups</w:t>
      </w:r>
      <w:r>
        <w:t xml:space="preserve"> </w:t>
      </w:r>
      <w:r>
        <w:t>including the</w:t>
      </w:r>
      <w:r>
        <w:t xml:space="preserve"> Coalition for Inclusive Education, Our Voice </w:t>
      </w:r>
      <w:r>
        <w:t>(</w:t>
      </w:r>
      <w:r>
        <w:t>young Disabled People</w:t>
      </w:r>
      <w:r>
        <w:t>’s group)</w:t>
      </w:r>
      <w:r>
        <w:t>, Disabled B</w:t>
      </w:r>
      <w:r>
        <w:t>lack Lives Matter</w:t>
      </w:r>
      <w:r>
        <w:t>, and</w:t>
      </w:r>
      <w:r>
        <w:t xml:space="preserve"> our</w:t>
      </w:r>
      <w:r>
        <w:t xml:space="preserve"> other networks</w:t>
      </w:r>
      <w:r>
        <w:t xml:space="preserve"> </w:t>
      </w:r>
      <w:r>
        <w:t>as well as</w:t>
      </w:r>
      <w:r>
        <w:t xml:space="preserve"> research</w:t>
      </w:r>
      <w:r>
        <w:t xml:space="preserve">, </w:t>
      </w:r>
      <w:r>
        <w:t xml:space="preserve">publications, </w:t>
      </w:r>
      <w:r>
        <w:t>DPOs</w:t>
      </w:r>
      <w:r>
        <w:t xml:space="preserve"> </w:t>
      </w:r>
      <w:r>
        <w:t xml:space="preserve">and </w:t>
      </w:r>
      <w:r>
        <w:t xml:space="preserve">wider social justice movements. </w:t>
      </w:r>
      <w:r>
        <w:t xml:space="preserve">These collective </w:t>
      </w:r>
      <w:r>
        <w:t>experiences</w:t>
      </w:r>
      <w:r>
        <w:t xml:space="preserve">, </w:t>
      </w:r>
      <w:r>
        <w:t>draw on</w:t>
      </w:r>
      <w:r>
        <w:t xml:space="preserve"> more than 30 years </w:t>
      </w:r>
      <w:r>
        <w:t xml:space="preserve">of </w:t>
      </w:r>
      <w:r>
        <w:t>adv</w:t>
      </w:r>
      <w:r>
        <w:t>ocacy</w:t>
      </w:r>
      <w:r>
        <w:t xml:space="preserve"> and lived experiences of Disabled people</w:t>
      </w:r>
      <w:r>
        <w:t xml:space="preserve">. </w:t>
      </w:r>
      <w:r>
        <w:t xml:space="preserve">These collective experiences </w:t>
      </w:r>
      <w:r>
        <w:t xml:space="preserve">bring </w:t>
      </w:r>
      <w:r>
        <w:t>attention to the</w:t>
      </w:r>
      <w:r>
        <w:t xml:space="preserve"> persistent </w:t>
      </w:r>
      <w:r>
        <w:t xml:space="preserve">systemic and </w:t>
      </w:r>
      <w:r>
        <w:t xml:space="preserve">structural barriers </w:t>
      </w:r>
      <w:r>
        <w:t>within the education system</w:t>
      </w:r>
      <w:r>
        <w:t>.</w:t>
      </w:r>
      <w:r>
        <w:t xml:space="preserve"> </w:t>
      </w:r>
      <w:r>
        <w:t xml:space="preserve">The </w:t>
      </w:r>
      <w:r>
        <w:t>collective</w:t>
      </w:r>
      <w:r>
        <w:t xml:space="preserve"> experiences </w:t>
      </w:r>
      <w:r>
        <w:t>are</w:t>
      </w:r>
      <w:r>
        <w:t xml:space="preserve"> </w:t>
      </w:r>
      <w:r>
        <w:t xml:space="preserve">central </w:t>
      </w:r>
      <w:r>
        <w:t xml:space="preserve">to </w:t>
      </w:r>
      <w:r>
        <w:t>inform</w:t>
      </w:r>
      <w:r>
        <w:t>ing</w:t>
      </w:r>
      <w:r>
        <w:t xml:space="preserve"> ALLFIE</w:t>
      </w:r>
      <w:r>
        <w:t xml:space="preserve">’s </w:t>
      </w:r>
      <w:r>
        <w:t xml:space="preserve">response </w:t>
      </w:r>
      <w:r>
        <w:t>to challenge</w:t>
      </w:r>
      <w:r>
        <w:t xml:space="preserve"> thi</w:t>
      </w:r>
      <w:r>
        <w:t xml:space="preserve">s </w:t>
      </w:r>
      <w:r>
        <w:t>inquiry</w:t>
      </w:r>
      <w:r>
        <w:t xml:space="preserve"> and our recommendations</w:t>
      </w:r>
      <w:r>
        <w:t xml:space="preserve"> for </w:t>
      </w:r>
      <w:r>
        <w:t xml:space="preserve">the </w:t>
      </w:r>
      <w:r>
        <w:t xml:space="preserve">outright </w:t>
      </w:r>
      <w:r>
        <w:t xml:space="preserve">ending of </w:t>
      </w:r>
      <w:r>
        <w:t xml:space="preserve">all </w:t>
      </w:r>
      <w:r>
        <w:t>exclu</w:t>
      </w:r>
      <w:r>
        <w:t xml:space="preserve">sionary practices, </w:t>
      </w:r>
      <w:r>
        <w:t xml:space="preserve">fully </w:t>
      </w:r>
      <w:r>
        <w:t>implementing the UNCRPD on Inclusive Education into</w:t>
      </w:r>
      <w:r>
        <w:t xml:space="preserve"> </w:t>
      </w:r>
      <w:r>
        <w:t>domestic law</w:t>
      </w:r>
      <w:r>
        <w:t>,</w:t>
      </w:r>
      <w:r>
        <w:t xml:space="preserve"> </w:t>
      </w:r>
      <w:r>
        <w:t xml:space="preserve">as well as </w:t>
      </w:r>
      <w:r>
        <w:t xml:space="preserve">introducing </w:t>
      </w:r>
      <w:r>
        <w:t>intersectional</w:t>
      </w:r>
      <w:r>
        <w:t xml:space="preserve">, </w:t>
      </w:r>
      <w:r>
        <w:t>rights-based</w:t>
      </w:r>
      <w:r>
        <w:t xml:space="preserve"> monit</w:t>
      </w:r>
      <w:r>
        <w:t>oring and accountability</w:t>
      </w:r>
      <w:r>
        <w:t xml:space="preserve"> </w:t>
      </w:r>
      <w:r>
        <w:t xml:space="preserve">for </w:t>
      </w:r>
      <w:r>
        <w:t>ensuing this is implemented</w:t>
      </w:r>
      <w:r>
        <w:t xml:space="preserve">. </w:t>
      </w:r>
      <w:r>
        <w:t xml:space="preserve"> </w:t>
      </w:r>
    </w:p>
    <w:p w:rsidR="00A3009A" w:rsidP="00491BF4">
      <w:pPr>
        <w:pStyle w:val="Heading1"/>
      </w:pPr>
      <w:r>
        <w:t>Our Response</w:t>
      </w:r>
    </w:p>
    <w:p w:rsidR="00A3009A" w:rsidP="00491BF4">
      <w:pPr>
        <w:pStyle w:val="Heading2"/>
      </w:pPr>
      <w:r>
        <w:t>Raising Attainment</w:t>
      </w:r>
    </w:p>
    <w:p w:rsidR="00A3009A" w:rsidP="00491BF4">
      <w:r>
        <w:t xml:space="preserve">ALLFIE cannot support the goal to raise attainment </w:t>
      </w:r>
      <w:r>
        <w:t>while</w:t>
      </w:r>
      <w:r>
        <w:t xml:space="preserve"> the curriculum </w:t>
      </w:r>
      <w:r>
        <w:t>remains inaccessible for Disabled studen</w:t>
      </w:r>
      <w:r>
        <w:t>ts. So long as the</w:t>
      </w:r>
      <w:r>
        <w:t xml:space="preserve"> education system</w:t>
      </w:r>
      <w:r>
        <w:t>,</w:t>
      </w:r>
      <w:r>
        <w:t xml:space="preserve"> including</w:t>
      </w:r>
      <w:r>
        <w:t xml:space="preserve"> </w:t>
      </w:r>
      <w:r>
        <w:t>Curriculum Principles</w:t>
      </w:r>
      <w:r>
        <w:t>,</w:t>
      </w:r>
      <w:r>
        <w:t xml:space="preserve"> emphasise excellence, standards and academic breadth and depth</w:t>
      </w:r>
      <w:r>
        <w:t>,</w:t>
      </w:r>
      <w:r>
        <w:t xml:space="preserve"> </w:t>
      </w:r>
      <w:r>
        <w:t>the systemic inequity will be perpetuated in framing success through a narrow</w:t>
      </w:r>
      <w:r>
        <w:t>, disablist</w:t>
      </w:r>
      <w:r>
        <w:t xml:space="preserve"> and ableist lens. More exams, increased academic rigour, an</w:t>
      </w:r>
      <w:r>
        <w:t xml:space="preserve">d increased pressure on schools will not create an environment </w:t>
      </w:r>
      <w:r>
        <w:t>where</w:t>
      </w:r>
      <w:r>
        <w:t xml:space="preserve"> Disabled students ar</w:t>
      </w:r>
      <w:r>
        <w:t>e able to equitably access the curriculum</w:t>
      </w:r>
      <w:r>
        <w:t>,</w:t>
      </w:r>
      <w:r>
        <w:t xml:space="preserve"> </w:t>
      </w:r>
      <w:r>
        <w:t>nor</w:t>
      </w:r>
      <w:r>
        <w:t xml:space="preserve"> have the same opportunities to </w:t>
      </w:r>
      <w:r>
        <w:t xml:space="preserve">thrive and </w:t>
      </w:r>
      <w:r>
        <w:t xml:space="preserve">succeed. Instead, Disabled students will </w:t>
      </w:r>
      <w:r>
        <w:t xml:space="preserve">continue </w:t>
      </w:r>
      <w:r>
        <w:t xml:space="preserve">to </w:t>
      </w:r>
      <w:r>
        <w:t>fight</w:t>
      </w:r>
      <w:r>
        <w:t>,</w:t>
      </w:r>
      <w:r>
        <w:t xml:space="preserve"> </w:t>
      </w:r>
      <w:r>
        <w:t>but</w:t>
      </w:r>
      <w:r>
        <w:t xml:space="preserve"> </w:t>
      </w:r>
      <w:r>
        <w:t xml:space="preserve">even </w:t>
      </w:r>
      <w:r>
        <w:t>harder</w:t>
      </w:r>
      <w:r>
        <w:t>,</w:t>
      </w:r>
      <w:r>
        <w:t xml:space="preserve"> to access the curriculum</w:t>
      </w:r>
      <w:r>
        <w:t>.</w:t>
      </w:r>
      <w:r>
        <w:t xml:space="preserve"> Because of this</w:t>
      </w:r>
      <w:r>
        <w:t xml:space="preserve">, we hold significant concerns that, despite the intentions of the White Paper, </w:t>
      </w:r>
      <w:r>
        <w:t>aiming to raise attainment</w:t>
      </w:r>
      <w:r>
        <w:t xml:space="preserve"> without </w:t>
      </w:r>
      <w:r>
        <w:t xml:space="preserve">ending </w:t>
      </w:r>
      <w:r>
        <w:t>the systemic inequalitie</w:t>
      </w:r>
      <w:r>
        <w:t>s</w:t>
      </w:r>
      <w:r>
        <w:t xml:space="preserve"> </w:t>
      </w:r>
      <w:r>
        <w:t xml:space="preserve">and intersectional injustices </w:t>
      </w:r>
      <w:r>
        <w:t>behind</w:t>
      </w:r>
      <w:r>
        <w:t xml:space="preserve"> this attainment gap will not</w:t>
      </w:r>
      <w:r>
        <w:t xml:space="preserve"> end the existing barriers</w:t>
      </w:r>
      <w:r>
        <w:t xml:space="preserve"> to education</w:t>
      </w:r>
      <w:r>
        <w:t xml:space="preserve">. </w:t>
      </w:r>
    </w:p>
    <w:p w:rsidR="00A3009A" w:rsidP="00491BF4">
      <w:r>
        <w:t xml:space="preserve">While the White Paper states that attainment improvement will be measured on a national level, and these targets are not being placed on individual schools, the changes to Ofsted </w:t>
      </w:r>
      <w:r>
        <w:t xml:space="preserve">to look at attainment and achievement at a school level will apply this pressure to individual schools. In doing so, the current pattern wherein the top </w:t>
      </w:r>
      <w:r>
        <w:t>schools have the lowest proportion of students labelled with SEND or in receipt of</w:t>
      </w:r>
      <w:r>
        <w:t xml:space="preserve"> Free School Meals</w:t>
      </w:r>
      <w:r>
        <w:t xml:space="preserve"> </w:t>
      </w:r>
      <w:r>
        <w:t>(</w:t>
      </w:r>
      <w:r>
        <w:t>FSM</w:t>
      </w:r>
      <w:r>
        <w:t>)</w:t>
      </w:r>
      <w:r>
        <w:t xml:space="preserve"> will continue</w:t>
      </w:r>
      <w:r>
        <w:rPr>
          <w:rStyle w:val="EndnoteReference"/>
        </w:rPr>
        <w:endnoteReference w:id="7"/>
      </w:r>
      <w:r>
        <w:t xml:space="preserve">, as schools </w:t>
      </w:r>
      <w:r>
        <w:t>become pressured</w:t>
      </w:r>
      <w:r>
        <w:t xml:space="preserve"> to raise attainment. </w:t>
      </w:r>
      <w:r>
        <w:t>Yet, ALLFIE is disappointed that there is no commitment to improving inclusive practices.</w:t>
      </w:r>
    </w:p>
    <w:p w:rsidR="00A3009A" w:rsidP="00491BF4">
      <w:r>
        <w:t xml:space="preserve">The narrow assessment of attainment will also widen this gap. Using only </w:t>
      </w:r>
      <w:r>
        <w:t xml:space="preserve">grades achieved at end of key-stage assessments </w:t>
      </w:r>
      <w:r w:rsidRPr="006F29E4">
        <w:t xml:space="preserve">shifts </w:t>
      </w:r>
      <w:r w:rsidRPr="006F29E4">
        <w:t>responsibility onto individual students and obscures the structural barriers that shape their learning</w:t>
      </w:r>
      <w:r>
        <w:t>,</w:t>
      </w:r>
      <w:r>
        <w:t xml:space="preserve"> </w:t>
      </w:r>
      <w:r w:rsidRPr="00483F4B">
        <w:t xml:space="preserve">failing to recognise the progress they have made </w:t>
      </w:r>
      <w:r w:rsidRPr="00B56357">
        <w:t>over time</w:t>
      </w:r>
      <w:r>
        <w:t xml:space="preserve">. This </w:t>
      </w:r>
      <w:r>
        <w:t>proposed approach</w:t>
      </w:r>
      <w:r w:rsidRPr="00B56357">
        <w:t xml:space="preserve"> reinforces inequities by </w:t>
      </w:r>
      <w:r>
        <w:t>judg</w:t>
      </w:r>
      <w:r>
        <w:t>ing</w:t>
      </w:r>
      <w:r w:rsidRPr="00B56357">
        <w:t xml:space="preserve"> </w:t>
      </w:r>
      <w:r>
        <w:t>students</w:t>
      </w:r>
      <w:r w:rsidRPr="00B56357">
        <w:t xml:space="preserve"> against </w:t>
      </w:r>
      <w:r>
        <w:t xml:space="preserve">cultures, </w:t>
      </w:r>
      <w:r>
        <w:t xml:space="preserve">systems and </w:t>
      </w:r>
      <w:r w:rsidRPr="00B56357">
        <w:t xml:space="preserve">standards that do not account for </w:t>
      </w:r>
      <w:r>
        <w:t>intersectional inequalities and barriers</w:t>
      </w:r>
      <w:r>
        <w:t xml:space="preserve">, </w:t>
      </w:r>
      <w:r>
        <w:t xml:space="preserve">which </w:t>
      </w:r>
      <w:r>
        <w:t xml:space="preserve">ALLFIE’s work shows </w:t>
      </w:r>
      <w:r>
        <w:t xml:space="preserve">do not </w:t>
      </w:r>
      <w:r>
        <w:t xml:space="preserve">directly </w:t>
      </w:r>
      <w:r>
        <w:t>contribute to inclusive practic</w:t>
      </w:r>
      <w:r>
        <w:t>es</w:t>
      </w:r>
      <w:r>
        <w:t xml:space="preserve"> and perpetuate barriers to equitable </w:t>
      </w:r>
      <w:r>
        <w:t>education.</w:t>
      </w:r>
      <w:r>
        <w:t xml:space="preserve"> </w:t>
      </w:r>
      <w:r>
        <w:t>More importantly, these assessments</w:t>
      </w:r>
      <w:r>
        <w:t xml:space="preserve"> are based on ableist and disablist</w:t>
      </w:r>
      <w:r>
        <w:t xml:space="preserve"> processes and</w:t>
      </w:r>
      <w:r>
        <w:t xml:space="preserve"> standards</w:t>
      </w:r>
      <w:r>
        <w:t xml:space="preserve"> which disproportionately negatively impacts </w:t>
      </w:r>
      <w:r>
        <w:t xml:space="preserve">students from marginalised backgrounds because of the intersectional failure to </w:t>
      </w:r>
      <w:r>
        <w:t xml:space="preserve">end </w:t>
      </w:r>
      <w:r>
        <w:t>these systemic barriers within</w:t>
      </w:r>
      <w:r>
        <w:t xml:space="preserve"> teacher bias</w:t>
      </w:r>
      <w:r>
        <w:t>,</w:t>
      </w:r>
      <w:r>
        <w:t xml:space="preserve"> the assessment and examination process and systems. </w:t>
      </w:r>
      <w:r>
        <w:t>Allowing students to undertake assessment</w:t>
      </w:r>
      <w:r>
        <w:t>s</w:t>
      </w:r>
      <w:r>
        <w:t xml:space="preserve"> in different format</w:t>
      </w:r>
      <w:r>
        <w:t xml:space="preserve">s and with adaptations to the curriculum would provide a more holistic approach to monitoring progress. </w:t>
      </w:r>
      <w:r w:rsidRPr="00437432">
        <w:t xml:space="preserve">Maintaining attainment during </w:t>
      </w:r>
      <w:r>
        <w:t>periods of ill health</w:t>
      </w:r>
      <w:r w:rsidRPr="00437432">
        <w:t>, housing instability, or rising curriculum demands represents progress, though current measures rarely recognise such work.</w:t>
      </w:r>
    </w:p>
    <w:p w:rsidR="00A3009A" w:rsidP="00491BF4">
      <w:r>
        <w:t>During Covid</w:t>
      </w:r>
      <w:r>
        <w:t>-19</w:t>
      </w:r>
      <w:r>
        <w:t xml:space="preserve">, when </w:t>
      </w:r>
      <w:r>
        <w:t>Teacher Assessed Grades were used, with results</w:t>
      </w:r>
      <w:r>
        <w:t xml:space="preserve"> based on alternative measures of assessment, the overall </w:t>
      </w:r>
      <w:r>
        <w:t xml:space="preserve">attainment for </w:t>
      </w:r>
      <w:r>
        <w:t>16-year-olds</w:t>
      </w:r>
      <w:r>
        <w:t xml:space="preserve"> taking their GCSEs went up, with </w:t>
      </w:r>
      <w:r>
        <w:t xml:space="preserve">nearly 80% of students receiving a passing grade (Grade 4/C or above) across all subjects in </w:t>
      </w:r>
      <w:r>
        <w:t>both 2020 and 2021</w:t>
      </w:r>
      <w:r>
        <w:t>.</w:t>
      </w:r>
      <w:r>
        <w:rPr>
          <w:rStyle w:val="EndnoteReference"/>
        </w:rPr>
        <w:endnoteReference w:id="8"/>
      </w:r>
      <w:r>
        <w:t xml:space="preserve"> Despite concerns about whether bias was affecting these results, </w:t>
      </w:r>
      <w:r>
        <w:t xml:space="preserve">93% of staff surveyed by the government on their 2021 Teacher Assessed Grades reported that </w:t>
      </w:r>
      <w:r>
        <w:t>there</w:t>
      </w:r>
      <w:r>
        <w:t xml:space="preserve"> had been steps taken to protect against unconscious bias</w:t>
      </w:r>
      <w:r>
        <w:t>,</w:t>
      </w:r>
      <w:r>
        <w:t xml:space="preserve"> </w:t>
      </w:r>
      <w:r>
        <w:t>at least partially effectively – the majority (79%) found these measures had been effective.</w:t>
      </w:r>
      <w:r>
        <w:rPr>
          <w:rStyle w:val="EndnoteReference"/>
        </w:rPr>
        <w:endnoteReference w:id="9"/>
      </w:r>
    </w:p>
    <w:p w:rsidR="00A3009A" w:rsidP="009275D8">
      <w:pPr>
        <w:pStyle w:val="Heading3"/>
      </w:pPr>
      <w:r>
        <w:t>Recommendations:</w:t>
      </w:r>
    </w:p>
    <w:p w:rsidR="00A3009A" w:rsidP="009275D8">
      <w:pPr>
        <w:pStyle w:val="ListParagraph"/>
        <w:numPr>
          <w:ilvl w:val="0"/>
          <w:numId w:val="3"/>
        </w:numPr>
      </w:pPr>
      <w:r>
        <w:t>To work with</w:t>
      </w:r>
      <w:r>
        <w:t xml:space="preserve"> DPOs, like ALLFIE,</w:t>
      </w:r>
      <w:r>
        <w:t xml:space="preserve"> Disabled teachers and Disabled students,</w:t>
      </w:r>
      <w:r>
        <w:t xml:space="preserve"> </w:t>
      </w:r>
      <w:r>
        <w:t>O</w:t>
      </w:r>
      <w:r>
        <w:t xml:space="preserve">fqual and awarding bodies to </w:t>
      </w:r>
      <w:r>
        <w:t xml:space="preserve">identify </w:t>
      </w:r>
      <w:r>
        <w:t xml:space="preserve">options for alternative assessment of the curriculum, including more accessible options for assessing learning. </w:t>
      </w:r>
    </w:p>
    <w:p w:rsidR="00A3009A" w:rsidP="009275D8">
      <w:pPr>
        <w:pStyle w:val="ListParagraph"/>
        <w:numPr>
          <w:ilvl w:val="0"/>
          <w:numId w:val="3"/>
        </w:numPr>
      </w:pPr>
      <w:r>
        <w:t>To ensure accountability</w:t>
      </w:r>
      <w:r>
        <w:t xml:space="preserve"> for schools</w:t>
      </w:r>
      <w:r>
        <w:t xml:space="preserve"> through Ofsted procedures to end </w:t>
      </w:r>
      <w:r>
        <w:t>selective</w:t>
      </w:r>
      <w:r>
        <w:t>,</w:t>
      </w:r>
      <w:r>
        <w:t xml:space="preserve"> discriminatory</w:t>
      </w:r>
      <w:r>
        <w:t xml:space="preserve"> and</w:t>
      </w:r>
      <w:r>
        <w:t xml:space="preserve"> </w:t>
      </w:r>
      <w:r>
        <w:t>gatekeeping</w:t>
      </w:r>
      <w:r>
        <w:t xml:space="preserve"> </w:t>
      </w:r>
      <w:r>
        <w:t>admission and exclusion policies</w:t>
      </w:r>
      <w:r>
        <w:t xml:space="preserve"> </w:t>
      </w:r>
      <w:r>
        <w:t xml:space="preserve">wherein </w:t>
      </w:r>
      <w:r>
        <w:t xml:space="preserve">Disabled students and those </w:t>
      </w:r>
      <w:r>
        <w:t>from</w:t>
      </w:r>
      <w:r>
        <w:t xml:space="preserve"> the most </w:t>
      </w:r>
      <w:r>
        <w:t>disadvantaged backgrounds</w:t>
      </w:r>
      <w:r>
        <w:t xml:space="preserve"> are kept out of or removed from </w:t>
      </w:r>
      <w:r>
        <w:t>schools due to a presumption of lower attainment. Schools must be stopped from</w:t>
      </w:r>
      <w:r>
        <w:t xml:space="preserve"> creating selective policies </w:t>
      </w:r>
      <w:r>
        <w:t xml:space="preserve">and practices </w:t>
      </w:r>
      <w:r>
        <w:t>that deny students the opportunity</w:t>
      </w:r>
      <w:r>
        <w:t xml:space="preserve"> to learn</w:t>
      </w:r>
      <w:r>
        <w:t xml:space="preserve"> and thrive</w:t>
      </w:r>
      <w:r>
        <w:t>.</w:t>
      </w:r>
    </w:p>
    <w:p w:rsidR="00A3009A" w:rsidP="36AADEA1">
      <w:pPr>
        <w:pStyle w:val="ListParagraph"/>
        <w:numPr>
          <w:ilvl w:val="0"/>
          <w:numId w:val="3"/>
        </w:numPr>
      </w:pPr>
      <w:r>
        <w:t xml:space="preserve">To </w:t>
      </w:r>
      <w:r>
        <w:t xml:space="preserve">end </w:t>
      </w:r>
      <w:r>
        <w:t xml:space="preserve">the </w:t>
      </w:r>
      <w:r>
        <w:t xml:space="preserve">structural </w:t>
      </w:r>
      <w:r>
        <w:t xml:space="preserve">inequalities </w:t>
      </w:r>
      <w:r>
        <w:t xml:space="preserve">embedded in </w:t>
      </w:r>
      <w:r>
        <w:t>the traditional examination system</w:t>
      </w:r>
      <w:r>
        <w:t xml:space="preserve"> </w:t>
      </w:r>
      <w:r>
        <w:t xml:space="preserve">created through rigid, inaccessible policies and </w:t>
      </w:r>
      <w:r>
        <w:t>practices</w:t>
      </w:r>
      <w:r>
        <w:t>,</w:t>
      </w:r>
      <w:r>
        <w:t xml:space="preserve"> </w:t>
      </w:r>
      <w:r>
        <w:t xml:space="preserve">in both the exam curriculum and </w:t>
      </w:r>
      <w:r>
        <w:t xml:space="preserve">exam </w:t>
      </w:r>
      <w:r>
        <w:t>administration</w:t>
      </w:r>
      <w:r>
        <w:t>.</w:t>
      </w:r>
      <w:r>
        <w:t xml:space="preserve"> </w:t>
      </w:r>
      <w:r>
        <w:t>Also, e</w:t>
      </w:r>
      <w:r>
        <w:t>nsur</w:t>
      </w:r>
      <w:r>
        <w:t>e</w:t>
      </w:r>
      <w:r>
        <w:t xml:space="preserve"> that </w:t>
      </w:r>
      <w:r>
        <w:t xml:space="preserve">the curriculum and how it is assessed </w:t>
      </w:r>
      <w:r>
        <w:t xml:space="preserve">addresses the diverse access requirements of Disabled people and those with </w:t>
      </w:r>
      <w:r>
        <w:t xml:space="preserve">a </w:t>
      </w:r>
      <w:r>
        <w:t>range</w:t>
      </w:r>
      <w:r>
        <w:t xml:space="preserve"> of lived experiences. </w:t>
      </w:r>
      <w:r>
        <w:t xml:space="preserve">In turn, this </w:t>
      </w:r>
      <w:r>
        <w:t xml:space="preserve">would influence schools to embed the same practices throughout both summative and </w:t>
      </w:r>
      <w:r>
        <w:t>formative assessment processes.</w:t>
      </w:r>
    </w:p>
    <w:p w:rsidR="00A3009A" w:rsidP="008D24C4">
      <w:pPr>
        <w:pStyle w:val="Heading2"/>
      </w:pPr>
      <w:r>
        <w:t>Improving attendance</w:t>
      </w:r>
    </w:p>
    <w:p w:rsidR="00A3009A" w:rsidP="008D24C4">
      <w:r>
        <w:t xml:space="preserve">Focussing on attendance without understanding the reasons for absence, or the nuance of experiences for Disabled students who may need to be absent for illness, appointments, or to manage their health, will fail to ensure that schools become inclusive and foster a sense of belonging. </w:t>
      </w:r>
      <w:r>
        <w:t>Using punitive management focused on improving attendance and not addressing the barriers to attendance, especially without looking at the intersectional</w:t>
      </w:r>
      <w:r>
        <w:t xml:space="preserve"> </w:t>
      </w:r>
      <w:r>
        <w:t xml:space="preserve">experiences of Disabled students and their families, will fail to </w:t>
      </w:r>
      <w:r>
        <w:t xml:space="preserve">end the </w:t>
      </w:r>
      <w:r>
        <w:t xml:space="preserve">discriminatory </w:t>
      </w:r>
      <w:r>
        <w:t xml:space="preserve">selection </w:t>
      </w:r>
      <w:r>
        <w:t>and absence management processes</w:t>
      </w:r>
      <w:r>
        <w:t xml:space="preserve">. </w:t>
      </w:r>
    </w:p>
    <w:p w:rsidR="00A3009A" w:rsidP="008D24C4">
      <w:r>
        <w:t xml:space="preserve">In 2025, Ofsted and the Care Quality Commission found that more than half of children labelled with SEND who were not in school felt that they didn’t have the </w:t>
      </w:r>
      <w:r>
        <w:t xml:space="preserve">necessary </w:t>
      </w:r>
      <w:r>
        <w:t>support from practitioners to attend school</w:t>
      </w:r>
      <w:r>
        <w:t>.</w:t>
      </w:r>
      <w:r>
        <w:t xml:space="preserve"> </w:t>
      </w:r>
      <w:r>
        <w:t>One</w:t>
      </w:r>
      <w:r>
        <w:t xml:space="preserve"> third</w:t>
      </w:r>
      <w:r>
        <w:t xml:space="preserve"> of these children</w:t>
      </w:r>
      <w:r>
        <w:t xml:space="preserve"> felt they did not get the support they needed from health services.</w:t>
      </w:r>
      <w:r>
        <w:rPr>
          <w:rStyle w:val="EndnoteReference"/>
        </w:rPr>
        <w:endnoteReference w:id="10"/>
      </w:r>
      <w:r>
        <w:t xml:space="preserve"> Children also reported that they felt their school did not care about them, want them, or understand them and their needs.</w:t>
      </w:r>
      <w:r>
        <w:rPr>
          <w:rStyle w:val="EndnoteReference"/>
        </w:rPr>
        <w:endnoteReference w:id="11"/>
      </w:r>
    </w:p>
    <w:p w:rsidR="00A3009A" w:rsidP="008D24C4">
      <w:r>
        <w:t xml:space="preserve">Failing to </w:t>
      </w:r>
      <w:r>
        <w:t>consider</w:t>
      </w:r>
      <w:r>
        <w:t xml:space="preserve"> the different reasons for absence for a Disabled student could also constitute a failure to make reasonable adjustments under the Equality Act 2010. As in the workplace, where flexible or part-time hours may be a reasonable adjustment for a Disabled employee, Disabled students in education may also benefit from flexible arrangements, but this is rarely presented as an option.</w:t>
      </w:r>
      <w:r>
        <w:rPr>
          <w:rStyle w:val="EndnoteReference"/>
        </w:rPr>
        <w:endnoteReference w:id="12"/>
      </w:r>
      <w:r>
        <w:t xml:space="preserve"> The result can </w:t>
      </w:r>
      <w:r>
        <w:t>include needing to take more time off school, reducing attendance.</w:t>
      </w:r>
      <w:r>
        <w:t xml:space="preserve"> </w:t>
      </w:r>
      <w:r>
        <w:t xml:space="preserve">Failing to consider the reasons why Disabled students may experience higher levels of absence will not encourage greater </w:t>
      </w:r>
      <w:r>
        <w:t>attendance but</w:t>
      </w:r>
      <w:r>
        <w:t xml:space="preserve"> will instead push Disabled students further from school.</w:t>
      </w:r>
    </w:p>
    <w:p w:rsidR="00A3009A" w:rsidP="008D24C4">
      <w:r>
        <w:t>While the Every Child Achieving and Thriving White Paper sets out its proposals in r</w:t>
      </w:r>
      <w:r>
        <w:t>elation</w:t>
      </w:r>
      <w:r>
        <w:t xml:space="preserve"> to health-related absence through appointments, the cross-sector working it encourages poses a serious risk that appointments are not booked, and onward referrals are not made, as local NHS services are encouraged to support regular school attendance</w:t>
      </w:r>
      <w:r>
        <w:t>.</w:t>
      </w:r>
      <w:r>
        <w:t xml:space="preserve"> </w:t>
      </w:r>
      <w:r>
        <w:t xml:space="preserve">This </w:t>
      </w:r>
      <w:r>
        <w:t xml:space="preserve">could create further distrust in the medical system for parents who are trying to access support for their children but are finding themselves receiving pushback on whether </w:t>
      </w:r>
      <w:r>
        <w:t xml:space="preserve">repeat appointments are needed. </w:t>
      </w:r>
    </w:p>
    <w:p w:rsidR="00A3009A" w:rsidP="008D24C4">
      <w:r>
        <w:t xml:space="preserve">This </w:t>
      </w:r>
      <w:r>
        <w:t xml:space="preserve">proposal </w:t>
      </w:r>
      <w:r>
        <w:t>will also place significant</w:t>
      </w:r>
      <w:r>
        <w:t>,</w:t>
      </w:r>
      <w:r>
        <w:t xml:space="preserve"> </w:t>
      </w:r>
      <w:r>
        <w:t>avoidable</w:t>
      </w:r>
      <w:r>
        <w:t xml:space="preserve"> pressure on the NHS, as GPs face increased demand for appointments outside of school hours for all school-aged patients, and specialist clinics and onward referrals face demand for appointments outside </w:t>
      </w:r>
      <w:r>
        <w:t>of school hours or outside of term time</w:t>
      </w:r>
      <w:r>
        <w:t xml:space="preserve"> when services are already </w:t>
      </w:r>
      <w:r>
        <w:t>stretched</w:t>
      </w:r>
      <w:r>
        <w:t>.</w:t>
      </w:r>
      <w:r>
        <w:t xml:space="preserve"> </w:t>
      </w:r>
      <w:r>
        <w:t xml:space="preserve">This creates a system where children and young people struggle to </w:t>
      </w:r>
      <w:r>
        <w:t xml:space="preserve">access timely and appropriate </w:t>
      </w:r>
      <w:r>
        <w:t>health</w:t>
      </w:r>
      <w:r>
        <w:t>care</w:t>
      </w:r>
      <w:r>
        <w:t>, which could result in adverse outcomes</w:t>
      </w:r>
      <w:r>
        <w:t xml:space="preserve">. </w:t>
      </w:r>
    </w:p>
    <w:p w:rsidR="00A3009A" w:rsidP="008D24C4">
      <w:r>
        <w:t>With waiting lists for mental health services</w:t>
      </w:r>
      <w:r>
        <w:t xml:space="preserve"> </w:t>
      </w:r>
      <w:r>
        <w:t xml:space="preserve">at crisis point, prioritising school attendance will </w:t>
      </w:r>
      <w:r>
        <w:t xml:space="preserve">only increase these waiting lists and will cause real, tangible harm to children and young people left waiting longer for support. </w:t>
      </w:r>
    </w:p>
    <w:p w:rsidR="00A3009A" w:rsidP="008D24C4">
      <w:r>
        <w:t xml:space="preserve">ALLFIE believes </w:t>
      </w:r>
      <w:r>
        <w:t xml:space="preserve">this approach </w:t>
      </w:r>
      <w:r>
        <w:t>will disproportionately</w:t>
      </w:r>
      <w:r>
        <w:t xml:space="preserve"> </w:t>
      </w:r>
      <w:r>
        <w:t>impact</w:t>
      </w:r>
      <w:r>
        <w:t xml:space="preserve"> Disabled </w:t>
      </w:r>
      <w:r>
        <w:t>students</w:t>
      </w:r>
      <w:r>
        <w:t xml:space="preserve">, and </w:t>
      </w:r>
      <w:r>
        <w:t>individuals</w:t>
      </w:r>
      <w:r>
        <w:t xml:space="preserve"> already facing barriers to </w:t>
      </w:r>
      <w:r>
        <w:t>health</w:t>
      </w:r>
      <w:r>
        <w:t>care.</w:t>
      </w:r>
      <w:r>
        <w:t xml:space="preserve"> It is therefore a clear example </w:t>
      </w:r>
      <w:r>
        <w:t>o</w:t>
      </w:r>
      <w:r>
        <w:t>f structural discrimination</w:t>
      </w:r>
      <w:r>
        <w:t xml:space="preserve"> and a</w:t>
      </w:r>
      <w:r>
        <w:t xml:space="preserve"> </w:t>
      </w:r>
      <w:r>
        <w:t>deepen</w:t>
      </w:r>
      <w:r>
        <w:t>ing</w:t>
      </w:r>
      <w:r>
        <w:t xml:space="preserve"> </w:t>
      </w:r>
      <w:r>
        <w:t xml:space="preserve">of </w:t>
      </w:r>
      <w:r>
        <w:t>existing</w:t>
      </w:r>
      <w:r>
        <w:t xml:space="preserve"> inequalit</w:t>
      </w:r>
      <w:r>
        <w:t>ies</w:t>
      </w:r>
      <w:r>
        <w:t xml:space="preserve"> into both education and healthcare systems.</w:t>
      </w:r>
    </w:p>
    <w:p w:rsidR="00A3009A" w:rsidP="00D06A71">
      <w:pPr>
        <w:pStyle w:val="Heading3"/>
      </w:pPr>
      <w:r>
        <w:t>Recommendations:</w:t>
      </w:r>
    </w:p>
    <w:p w:rsidR="00A3009A" w:rsidP="00D06A71">
      <w:pPr>
        <w:pStyle w:val="ListParagraph"/>
        <w:numPr>
          <w:ilvl w:val="0"/>
          <w:numId w:val="4"/>
        </w:numPr>
      </w:pPr>
      <w:r>
        <w:t>To e</w:t>
      </w:r>
      <w:r>
        <w:t xml:space="preserve">nsure </w:t>
      </w:r>
      <w:r>
        <w:t>attendance guidance</w:t>
      </w:r>
      <w:r>
        <w:t xml:space="preserve"> does not </w:t>
      </w:r>
      <w:r>
        <w:t>have</w:t>
      </w:r>
      <w:r>
        <w:t xml:space="preserve"> unintended consequences, including </w:t>
      </w:r>
      <w:r>
        <w:t xml:space="preserve">reduced access to appointments, </w:t>
      </w:r>
      <w:r>
        <w:t xml:space="preserve">increased treatment time or </w:t>
      </w:r>
      <w:r>
        <w:t>increase</w:t>
      </w:r>
      <w:r>
        <w:t>d</w:t>
      </w:r>
      <w:r>
        <w:t xml:space="preserve"> waiting lists</w:t>
      </w:r>
      <w:r>
        <w:t>.</w:t>
      </w:r>
      <w:r>
        <w:t xml:space="preserve"> </w:t>
      </w:r>
      <w:r>
        <w:t>However, guidance must not be rooted in the Medical Model of Disability</w:t>
      </w:r>
      <w:r>
        <w:t xml:space="preserve"> </w:t>
      </w:r>
      <w:r>
        <w:t>(which sees Disabled people and their impairments as the problem)</w:t>
      </w:r>
      <w:r>
        <w:t xml:space="preserve"> and must ensure that Disabled students and their families are entrusted to make the decisions that </w:t>
      </w:r>
      <w:r>
        <w:t xml:space="preserve">they need to make, without denying the importance of health. </w:t>
      </w:r>
    </w:p>
    <w:p w:rsidR="00A3009A" w:rsidP="00D06A71">
      <w:pPr>
        <w:pStyle w:val="ListParagraph"/>
        <w:numPr>
          <w:ilvl w:val="0"/>
          <w:numId w:val="4"/>
        </w:numPr>
      </w:pPr>
      <w:r>
        <w:t xml:space="preserve">To </w:t>
      </w:r>
      <w:r>
        <w:t>direct</w:t>
      </w:r>
      <w:r>
        <w:t xml:space="preserve"> schools to meet </w:t>
      </w:r>
      <w:r>
        <w:t xml:space="preserve">their duties </w:t>
      </w:r>
      <w:r>
        <w:t>under the Equality Act 2010 to provide reasonable adjustments to Disabled children and young people in school</w:t>
      </w:r>
      <w:r>
        <w:t>.</w:t>
      </w:r>
      <w:r>
        <w:t xml:space="preserve"> </w:t>
      </w:r>
      <w:r>
        <w:t xml:space="preserve">This </w:t>
      </w:r>
      <w:r>
        <w:t>includ</w:t>
      </w:r>
      <w:r>
        <w:t>es</w:t>
      </w:r>
      <w:r>
        <w:t xml:space="preserve"> authorised absences for medical appointments, to manage health conditions and impairments, and</w:t>
      </w:r>
      <w:r>
        <w:t xml:space="preserve"> </w:t>
      </w:r>
      <w:r>
        <w:t xml:space="preserve">statutory and legal </w:t>
      </w:r>
      <w:r>
        <w:t xml:space="preserve">protections to </w:t>
      </w:r>
      <w:r>
        <w:t xml:space="preserve">protect </w:t>
      </w:r>
      <w:r>
        <w:t>access to</w:t>
      </w:r>
      <w:r>
        <w:t xml:space="preserve"> </w:t>
      </w:r>
      <w:r>
        <w:t>flexible</w:t>
      </w:r>
      <w:r>
        <w:t xml:space="preserve"> schooling where this is appropriate. </w:t>
      </w:r>
    </w:p>
    <w:p w:rsidR="00A3009A" w:rsidP="00D06A71">
      <w:pPr>
        <w:pStyle w:val="ListParagraph"/>
        <w:numPr>
          <w:ilvl w:val="0"/>
          <w:numId w:val="4"/>
        </w:numPr>
      </w:pPr>
      <w:r>
        <w:t xml:space="preserve">To </w:t>
      </w:r>
      <w:r>
        <w:t>end the barriers</w:t>
      </w:r>
      <w:r>
        <w:t xml:space="preserve"> that Disabled children who </w:t>
      </w:r>
      <w:r>
        <w:t>require</w:t>
      </w:r>
      <w:r>
        <w:t xml:space="preserve"> access to healthcare services</w:t>
      </w:r>
      <w:r>
        <w:t xml:space="preserve"> face</w:t>
      </w:r>
      <w:r>
        <w:t>, either</w:t>
      </w:r>
      <w:r>
        <w:t xml:space="preserve"> provided</w:t>
      </w:r>
      <w:r>
        <w:t xml:space="preserve"> in school or in </w:t>
      </w:r>
      <w:r>
        <w:t>other provisions</w:t>
      </w:r>
      <w:r>
        <w:t>, are not</w:t>
      </w:r>
      <w:r>
        <w:t xml:space="preserve"> </w:t>
      </w:r>
      <w:r>
        <w:t>treated less favourably</w:t>
      </w:r>
      <w:r>
        <w:t xml:space="preserve"> or receiving reduced access to</w:t>
      </w:r>
      <w:r>
        <w:t xml:space="preserve"> </w:t>
      </w:r>
      <w:r>
        <w:t>healthcare</w:t>
      </w:r>
      <w:r>
        <w:t xml:space="preserve"> </w:t>
      </w:r>
      <w:r>
        <w:t>and learning</w:t>
      </w:r>
      <w:r>
        <w:t xml:space="preserve">. Health services in schools must support access. They must not turn schools into sites of increased medical surveillance or diagnosis-led sorting. </w:t>
      </w:r>
    </w:p>
    <w:p w:rsidR="00A3009A" w:rsidP="005708F4">
      <w:pPr>
        <w:pStyle w:val="Heading2"/>
      </w:pPr>
      <w:r>
        <w:t>Moving to a trust-led school system</w:t>
      </w:r>
    </w:p>
    <w:p w:rsidR="00A3009A" w:rsidP="006F6D69">
      <w:r>
        <w:t xml:space="preserve">The move to schools being operated by academy trusts rather than local authorities has already had a significant impact on </w:t>
      </w:r>
      <w:r>
        <w:t xml:space="preserve">resourcing, school finances, and choice for </w:t>
      </w:r>
      <w:r>
        <w:t>families</w:t>
      </w:r>
      <w:r>
        <w:t xml:space="preserve">. </w:t>
      </w:r>
      <w:r>
        <w:t xml:space="preserve">Trusts operating </w:t>
      </w:r>
      <w:r>
        <w:t>the majority of</w:t>
      </w:r>
      <w:r>
        <w:t xml:space="preserve"> schools in an area limits the opportunity for parents and families to move children away from </w:t>
      </w:r>
      <w:r>
        <w:t xml:space="preserve">schools that </w:t>
      </w:r>
      <w:r>
        <w:t>increase barriers to education rather than reducing them</w:t>
      </w:r>
      <w:r>
        <w:t xml:space="preserve">, </w:t>
      </w:r>
      <w:r>
        <w:t xml:space="preserve">and limits the </w:t>
      </w:r>
      <w:r>
        <w:t>options</w:t>
      </w:r>
      <w:r>
        <w:t xml:space="preserve"> for parents and families to </w:t>
      </w:r>
      <w:r>
        <w:t>pick a school for their child</w:t>
      </w:r>
      <w:r>
        <w:t xml:space="preserve"> – especially where they technically have a choice to do so but th</w:t>
      </w:r>
      <w:r>
        <w:t>is is not the reality</w:t>
      </w:r>
      <w:r>
        <w:t>. This particularly impacts Disabled parents</w:t>
      </w:r>
      <w:r>
        <w:t xml:space="preserve"> and migrant families</w:t>
      </w:r>
      <w:r>
        <w:t>, those in rural areas</w:t>
      </w:r>
      <w:r>
        <w:t xml:space="preserve">, and </w:t>
      </w:r>
      <w:r>
        <w:t>people from other disadvantaged backgrounds</w:t>
      </w:r>
      <w:r>
        <w:t>,</w:t>
      </w:r>
      <w:r>
        <w:t xml:space="preserve"> </w:t>
      </w:r>
      <w:r>
        <w:t xml:space="preserve">who may not be able to facilitate moving their child into another school in a different trust due to transport issues, financial implications of arranging getting to and from school, or because of </w:t>
      </w:r>
      <w:r>
        <w:t>the inaccessibility of other school settings</w:t>
      </w:r>
      <w:r>
        <w:t xml:space="preserve">. </w:t>
      </w:r>
      <w:r>
        <w:t xml:space="preserve">Enforcing </w:t>
      </w:r>
      <w:r>
        <w:t xml:space="preserve">academisation </w:t>
      </w:r>
      <w:r>
        <w:t>for all schools</w:t>
      </w:r>
      <w:r>
        <w:t>,</w:t>
      </w:r>
      <w:r>
        <w:t xml:space="preserve"> will only further limit the </w:t>
      </w:r>
      <w:r>
        <w:t>access for</w:t>
      </w:r>
      <w:r>
        <w:t xml:space="preserve"> families. </w:t>
      </w:r>
    </w:p>
    <w:p w:rsidR="00A3009A" w:rsidP="006F6D69">
      <w:r>
        <w:t xml:space="preserve">The British Educational Suppliers Association found </w:t>
      </w:r>
      <w:r>
        <w:t xml:space="preserve">in 2025 that, for schools who had recently joined a trust, common negatives included reduced school autonomy and a one-size-fits-all approach across all </w:t>
      </w:r>
      <w:r>
        <w:t xml:space="preserve">trust schools, </w:t>
      </w:r>
      <w:r>
        <w:t>leaving schools unable to meet community needs and limiting their responsiveness to the local context and school-specific needs.</w:t>
      </w:r>
      <w:r>
        <w:rPr>
          <w:rStyle w:val="EndnoteReference"/>
        </w:rPr>
        <w:endnoteReference w:id="13"/>
      </w:r>
      <w:r>
        <w:t xml:space="preserve"> The intentions of the move to a trust-based structure </w:t>
      </w:r>
      <w:r>
        <w:t>include that these structures are “rooted in their community”</w:t>
      </w:r>
      <w:r>
        <w:rPr>
          <w:rStyle w:val="EndnoteReference"/>
        </w:rPr>
        <w:endnoteReference w:id="14"/>
      </w:r>
      <w:r>
        <w:t xml:space="preserve">, but when leadership for the trust sits outside the local area, or is operating several schools in different areas without the freedom for schools to </w:t>
      </w:r>
      <w:r>
        <w:t>adapt their methods, this will only reinforce the localised concerns schools are facing.</w:t>
      </w:r>
    </w:p>
    <w:p w:rsidR="00A3009A" w:rsidP="006F6D69">
      <w:r>
        <w:t xml:space="preserve">Funding is also a significant issue for </w:t>
      </w:r>
      <w:r>
        <w:t xml:space="preserve">trusts, with 55% of multi-academy trusts (MATs) predicting a deficit for the 2025/26 academic year, up from </w:t>
      </w:r>
      <w:r>
        <w:t>35% in the previous academic year.</w:t>
      </w:r>
      <w:r>
        <w:rPr>
          <w:rStyle w:val="EndnoteReference"/>
        </w:rPr>
        <w:endnoteReference w:id="15"/>
      </w:r>
      <w:r>
        <w:t xml:space="preserve"> </w:t>
      </w:r>
      <w:r>
        <w:t xml:space="preserve">Medium and </w:t>
      </w:r>
      <w:r>
        <w:t>l</w:t>
      </w:r>
      <w:r>
        <w:t xml:space="preserve">arge MATs are most at risk of </w:t>
      </w:r>
      <w:r>
        <w:t xml:space="preserve">significant negative balances </w:t>
      </w:r>
      <w:r>
        <w:t>and</w:t>
      </w:r>
      <w:r>
        <w:t xml:space="preserve"> facing a negative </w:t>
      </w:r>
      <w:r>
        <w:t>balance per pupil each year.</w:t>
      </w:r>
      <w:r>
        <w:rPr>
          <w:rStyle w:val="EndnoteReference"/>
        </w:rPr>
        <w:endnoteReference w:id="16"/>
      </w:r>
      <w:r>
        <w:t xml:space="preserve"> </w:t>
      </w:r>
      <w:r>
        <w:t xml:space="preserve">With trusts already struggling to meet costs, </w:t>
      </w:r>
      <w:r>
        <w:t xml:space="preserve">moving to a trust-based system must consider how funding will be addressed, especially in line with requirements to improve accessibility and inclusion. </w:t>
      </w:r>
    </w:p>
    <w:p w:rsidR="00A3009A" w:rsidP="006F6D69">
      <w:r>
        <w:t xml:space="preserve">There must also be consideration of how </w:t>
      </w:r>
      <w:r>
        <w:t xml:space="preserve">far MATs are already perpetuating inequality for </w:t>
      </w:r>
      <w:r>
        <w:t>students</w:t>
      </w:r>
      <w:r>
        <w:t xml:space="preserve"> labelled as being disadvantaged. ALLFIE’s analysis of the 2024-25 school performance measures show that MATs consistently </w:t>
      </w:r>
      <w:r>
        <w:t xml:space="preserve">have lower proportions of </w:t>
      </w:r>
      <w:r>
        <w:t>students</w:t>
      </w:r>
      <w:r>
        <w:t xml:space="preserve"> </w:t>
      </w:r>
      <w:r>
        <w:t xml:space="preserve">labelled as disadvantaged </w:t>
      </w:r>
      <w:r>
        <w:t xml:space="preserve">achieving grades 9-5 in GCSE Maths and English, at 25.13% compared to </w:t>
      </w:r>
      <w:r>
        <w:t>34.02% for non-trust mainstream secondary schools.</w:t>
      </w:r>
      <w:r>
        <w:rPr>
          <w:rStyle w:val="EndnoteReference"/>
        </w:rPr>
        <w:endnoteReference w:id="17"/>
      </w:r>
      <w:r>
        <w:t xml:space="preserve"> </w:t>
      </w:r>
      <w:r>
        <w:t xml:space="preserve">In MATs, </w:t>
      </w:r>
      <w:r>
        <w:t xml:space="preserve">on average 18.87% fewer </w:t>
      </w:r>
      <w:r>
        <w:t>students</w:t>
      </w:r>
      <w:r>
        <w:t xml:space="preserve"> labelled as disadvantaged</w:t>
      </w:r>
      <w:r>
        <w:t xml:space="preserve"> achieve </w:t>
      </w:r>
      <w:r>
        <w:t>9-5 in GCSE Maths and English compared to the schools average, while</w:t>
      </w:r>
      <w:r>
        <w:t xml:space="preserve"> students labelled as</w:t>
      </w:r>
      <w:r>
        <w:t xml:space="preserve"> non-disadvantaged are 7.6% more likely to achieve these grades. For non-MAT schools, </w:t>
      </w:r>
      <w:r>
        <w:t xml:space="preserve">the gap is 13.03% less likely for </w:t>
      </w:r>
      <w:r>
        <w:t xml:space="preserve">students labelled as </w:t>
      </w:r>
      <w:r>
        <w:t xml:space="preserve">disadvantaged </w:t>
      </w:r>
      <w:r>
        <w:t>students</w:t>
      </w:r>
      <w:r>
        <w:t xml:space="preserve">, and 4.61% more likely for </w:t>
      </w:r>
      <w:r>
        <w:t xml:space="preserve">students labelled as </w:t>
      </w:r>
      <w:r>
        <w:t xml:space="preserve">non-disadvantaged </w:t>
      </w:r>
      <w:r>
        <w:t>students</w:t>
      </w:r>
      <w:r>
        <w:t>.</w:t>
      </w:r>
      <w:r>
        <w:rPr>
          <w:rStyle w:val="EndnoteReference"/>
        </w:rPr>
        <w:endnoteReference w:id="18"/>
      </w:r>
      <w:r>
        <w:t xml:space="preserve"> </w:t>
      </w:r>
      <w:r>
        <w:t xml:space="preserve">ALLFIE knows through our work that the reasons for this are </w:t>
      </w:r>
      <w:r>
        <w:t>related to systemic and structural barriers within the education system</w:t>
      </w:r>
      <w:r>
        <w:t xml:space="preserve">. </w:t>
      </w:r>
      <w:r>
        <w:t xml:space="preserve">Therefore, </w:t>
      </w:r>
      <w:r>
        <w:t xml:space="preserve">the perpetuation of existing barriers for students labelled as being disadvantaged in MATs must be </w:t>
      </w:r>
      <w:r>
        <w:t xml:space="preserve">understood and dismantled </w:t>
      </w:r>
      <w:r>
        <w:t xml:space="preserve">before any work is undertaken to make this the default for the system. </w:t>
      </w:r>
    </w:p>
    <w:p w:rsidR="00A3009A" w:rsidP="00C43BA5">
      <w:pPr>
        <w:pStyle w:val="Heading3"/>
      </w:pPr>
      <w:r>
        <w:t>Recommendations:</w:t>
      </w:r>
    </w:p>
    <w:p w:rsidR="00A3009A" w:rsidP="00C43BA5">
      <w:pPr>
        <w:pStyle w:val="ListParagraph"/>
        <w:numPr>
          <w:ilvl w:val="0"/>
          <w:numId w:val="5"/>
        </w:numPr>
      </w:pPr>
      <w:r>
        <w:t>There must be action taken to end</w:t>
      </w:r>
      <w:r>
        <w:t xml:space="preserve"> the pervasive inequalities between MATs and non-MAT schools</w:t>
      </w:r>
      <w:r>
        <w:t xml:space="preserve"> using intersectional</w:t>
      </w:r>
      <w:r>
        <w:t xml:space="preserve"> approaches, lived experience</w:t>
      </w:r>
      <w:r>
        <w:t xml:space="preserve"> and Social Model of Disability in line with the UNCRPD. This </w:t>
      </w:r>
      <w:r>
        <w:t xml:space="preserve">must </w:t>
      </w:r>
      <w:r>
        <w:t>include the involvement of DPOs</w:t>
      </w:r>
      <w:r>
        <w:t xml:space="preserve"> throughout the process</w:t>
      </w:r>
      <w:r>
        <w:t xml:space="preserve">, with full audits of finances and an overview of performance gaps, to identify </w:t>
      </w:r>
      <w:r>
        <w:t xml:space="preserve">the failures of the model and the </w:t>
      </w:r>
      <w:r>
        <w:t>approaches to remove the systemic and structural barriers</w:t>
      </w:r>
      <w:r>
        <w:t xml:space="preserve">. </w:t>
      </w:r>
    </w:p>
    <w:p w:rsidR="00A3009A" w:rsidRPr="00C43BA5" w:rsidP="00C43BA5">
      <w:pPr>
        <w:pStyle w:val="ListParagraph"/>
        <w:numPr>
          <w:ilvl w:val="0"/>
          <w:numId w:val="5"/>
        </w:numPr>
      </w:pPr>
      <w:r>
        <w:t>Until this assessment has been completed, the push for moving to a trust-led system must be halted</w:t>
      </w:r>
      <w:r>
        <w:t>.</w:t>
      </w:r>
    </w:p>
    <w:p w:rsidR="00A3009A" w:rsidP="006F6D69">
      <w:pPr>
        <w:pStyle w:val="Heading2"/>
      </w:pPr>
      <w:r>
        <w:t>Enrichment, behaviour and belonging</w:t>
      </w:r>
    </w:p>
    <w:p w:rsidR="00A3009A" w:rsidP="00126B08">
      <w:r>
        <w:t>ALLFIE</w:t>
      </w:r>
      <w:r>
        <w:t>’s</w:t>
      </w:r>
      <w:r>
        <w:t xml:space="preserve"> work </w:t>
      </w:r>
      <w:r>
        <w:t xml:space="preserve">continues to </w:t>
      </w:r>
      <w:r>
        <w:t>amplify the</w:t>
      </w:r>
      <w:r>
        <w:t xml:space="preserve"> </w:t>
      </w:r>
      <w:r>
        <w:t xml:space="preserve">significant </w:t>
      </w:r>
      <w:r>
        <w:t xml:space="preserve">disparities </w:t>
      </w:r>
      <w:r>
        <w:t xml:space="preserve">in suspension and exclusion </w:t>
      </w:r>
      <w:r>
        <w:t xml:space="preserve">rates affecting </w:t>
      </w:r>
      <w:r>
        <w:t xml:space="preserve">people </w:t>
      </w:r>
      <w:r>
        <w:t>from</w:t>
      </w:r>
      <w:r>
        <w:t xml:space="preserve"> </w:t>
      </w:r>
      <w:r>
        <w:t xml:space="preserve">under-resourced backgrounds </w:t>
      </w:r>
      <w:r>
        <w:t>including</w:t>
      </w:r>
      <w:r>
        <w:t xml:space="preserve"> </w:t>
      </w:r>
      <w:r>
        <w:t xml:space="preserve">Disabled </w:t>
      </w:r>
      <w:r>
        <w:t xml:space="preserve">students </w:t>
      </w:r>
      <w:r>
        <w:t>receiv</w:t>
      </w:r>
      <w:r>
        <w:t>ing</w:t>
      </w:r>
      <w:r>
        <w:t xml:space="preserve"> Special Educational Needs</w:t>
      </w:r>
      <w:r>
        <w:t xml:space="preserve"> </w:t>
      </w:r>
      <w:r>
        <w:t>(</w:t>
      </w:r>
      <w:r>
        <w:t>SEN</w:t>
      </w:r>
      <w:r>
        <w:t>)</w:t>
      </w:r>
      <w:r>
        <w:t xml:space="preserve"> support or </w:t>
      </w:r>
      <w:r>
        <w:t>with</w:t>
      </w:r>
      <w:r>
        <w:t xml:space="preserve"> an</w:t>
      </w:r>
      <w:r>
        <w:t xml:space="preserve"> Education, Health and Care Plan</w:t>
      </w:r>
      <w:r>
        <w:t xml:space="preserve"> </w:t>
      </w:r>
      <w:r>
        <w:t>(</w:t>
      </w:r>
      <w:r>
        <w:t>EHCP</w:t>
      </w:r>
      <w:r>
        <w:t>)</w:t>
      </w:r>
      <w:r>
        <w:t xml:space="preserve">, from </w:t>
      </w:r>
      <w:r>
        <w:t>communities</w:t>
      </w:r>
      <w:r>
        <w:t xml:space="preserve"> </w:t>
      </w:r>
      <w:r>
        <w:t xml:space="preserve">such as </w:t>
      </w:r>
      <w:r>
        <w:t>T</w:t>
      </w:r>
      <w:r>
        <w:t>raveller,</w:t>
      </w:r>
      <w:r>
        <w:t xml:space="preserve"> Roma</w:t>
      </w:r>
      <w:r>
        <w:t xml:space="preserve"> and </w:t>
      </w:r>
      <w:r>
        <w:t>Gypsy</w:t>
      </w:r>
      <w:r>
        <w:rPr>
          <w:rStyle w:val="EndnoteReference"/>
        </w:rPr>
        <w:endnoteReference w:id="19"/>
      </w:r>
      <w:r>
        <w:t xml:space="preserve"> and</w:t>
      </w:r>
      <w:r>
        <w:t xml:space="preserve"> </w:t>
      </w:r>
      <w:r>
        <w:t>Black</w:t>
      </w:r>
      <w:r>
        <w:t>/</w:t>
      </w:r>
      <w:r>
        <w:t>Global Majority backgrounds</w:t>
      </w:r>
      <w:r>
        <w:t>, or in receipt of FSM</w:t>
      </w:r>
      <w:r>
        <w:t xml:space="preserve">. </w:t>
      </w:r>
      <w:r>
        <w:t>While</w:t>
      </w:r>
      <w:r>
        <w:t xml:space="preserve"> suspension and exclusion</w:t>
      </w:r>
      <w:r>
        <w:t xml:space="preserve"> rates for those receiving SEN support</w:t>
      </w:r>
      <w:r>
        <w:t xml:space="preserve"> in the 2024/25 academic year</w:t>
      </w:r>
      <w:r>
        <w:t xml:space="preserve"> </w:t>
      </w:r>
      <w:r>
        <w:t>we</w:t>
      </w:r>
      <w:r>
        <w:t xml:space="preserve">re lower than previous years, </w:t>
      </w:r>
      <w:r>
        <w:t xml:space="preserve">Disabled </w:t>
      </w:r>
      <w:r>
        <w:t xml:space="preserve">students </w:t>
      </w:r>
      <w:r>
        <w:t xml:space="preserve">without an EHCP but who receive SEN support at school are </w:t>
      </w:r>
      <w:r>
        <w:t xml:space="preserve">more than 4 times </w:t>
      </w:r>
      <w:r>
        <w:t>as</w:t>
      </w:r>
      <w:r>
        <w:t xml:space="preserve"> likely to be suspended, and </w:t>
      </w:r>
      <w:r>
        <w:t xml:space="preserve">more than 6 times </w:t>
      </w:r>
      <w:r>
        <w:t>as</w:t>
      </w:r>
      <w:r>
        <w:t xml:space="preserve"> likely to be permanently excluded than their peers.</w:t>
      </w:r>
      <w:r>
        <w:rPr>
          <w:rStyle w:val="EndnoteReference"/>
        </w:rPr>
        <w:endnoteReference w:id="20"/>
      </w:r>
      <w:r>
        <w:t xml:space="preserve"> Disabled </w:t>
      </w:r>
      <w:r>
        <w:t>students</w:t>
      </w:r>
      <w:r>
        <w:t xml:space="preserve"> with an EHCP </w:t>
      </w:r>
      <w:r>
        <w:t xml:space="preserve">are also nearly 4 times </w:t>
      </w:r>
      <w:r>
        <w:t>as</w:t>
      </w:r>
      <w:r>
        <w:t xml:space="preserve"> likely to be suspended, and </w:t>
      </w:r>
      <w:r>
        <w:t xml:space="preserve">more than 4 times </w:t>
      </w:r>
      <w:r>
        <w:t>as</w:t>
      </w:r>
      <w:r>
        <w:t xml:space="preserve"> likely to be permanently excluded</w:t>
      </w:r>
      <w:r>
        <w:t xml:space="preserve"> than their peers</w:t>
      </w:r>
      <w:r>
        <w:rPr>
          <w:rStyle w:val="EndnoteReference"/>
        </w:rPr>
        <w:endnoteReference w:id="21"/>
      </w:r>
      <w:r>
        <w:t xml:space="preserve">, but are also seeing a rise in </w:t>
      </w:r>
      <w:r>
        <w:t>both suspensions and exclusions</w:t>
      </w:r>
      <w:r>
        <w:t xml:space="preserve"> of nearly 15% more than the previous year and against the global trend of exclusion and suspension</w:t>
      </w:r>
      <w:r>
        <w:t xml:space="preserve"> </w:t>
      </w:r>
      <w:r>
        <w:t>rates decreasing.</w:t>
      </w:r>
      <w:r>
        <w:rPr>
          <w:rStyle w:val="EndnoteReference"/>
        </w:rPr>
        <w:endnoteReference w:id="22"/>
      </w:r>
      <w:r>
        <w:t xml:space="preserve"> </w:t>
      </w:r>
    </w:p>
    <w:p w:rsidR="00A3009A" w:rsidP="00126B08">
      <w:r>
        <w:t xml:space="preserve">As long as </w:t>
      </w:r>
      <w:r>
        <w:t>th</w:t>
      </w:r>
      <w:r>
        <w:t xml:space="preserve">e reasons why certain groups are being suspended and expelled in considerably higher numbers are not explored and understood, and the marginalisations that Disabled students face are not addressed, the </w:t>
      </w:r>
      <w:r>
        <w:t>h</w:t>
      </w:r>
      <w:r>
        <w:t>arm</w:t>
      </w:r>
      <w:r>
        <w:t>s</w:t>
      </w:r>
      <w:r>
        <w:t xml:space="preserve"> </w:t>
      </w:r>
      <w:r>
        <w:t>of</w:t>
      </w:r>
      <w:r>
        <w:t xml:space="preserve"> behaviour </w:t>
      </w:r>
      <w:r>
        <w:t xml:space="preserve">policies </w:t>
      </w:r>
      <w:r>
        <w:t>will continue to be perpetuated</w:t>
      </w:r>
      <w:r>
        <w:t>,</w:t>
      </w:r>
      <w:r>
        <w:t xml:space="preserve"> as noted in ALLFIE’s research </w:t>
      </w:r>
      <w:r>
        <w:t xml:space="preserve">on the </w:t>
      </w:r>
      <w:r>
        <w:t>l</w:t>
      </w:r>
      <w:r>
        <w:t xml:space="preserve">ived </w:t>
      </w:r>
      <w:r>
        <w:t>e</w:t>
      </w:r>
      <w:r>
        <w:t>xperience o</w:t>
      </w:r>
      <w:r>
        <w:t xml:space="preserve">f </w:t>
      </w:r>
      <w:r>
        <w:t>Black/Global Majority Disabled pupil</w:t>
      </w:r>
      <w:r>
        <w:t>s</w:t>
      </w:r>
      <w:r>
        <w:t xml:space="preserve"> and their families</w:t>
      </w:r>
      <w:r>
        <w:rPr>
          <w:rStyle w:val="EndnoteReference"/>
        </w:rPr>
        <w:endnoteReference w:id="23"/>
      </w:r>
      <w:r>
        <w:t xml:space="preserve">. </w:t>
      </w:r>
      <w:r>
        <w:t xml:space="preserve">Understanding how students </w:t>
      </w:r>
      <w:r>
        <w:t xml:space="preserve">who face marginalisations are more likely to be excluded or suspended, and how this </w:t>
      </w:r>
      <w:r>
        <w:t xml:space="preserve">is perpetuated, must be a priority in </w:t>
      </w:r>
      <w:r>
        <w:t>stopp</w:t>
      </w:r>
      <w:r>
        <w:t>ing</w:t>
      </w:r>
      <w:r>
        <w:t xml:space="preserve"> </w:t>
      </w:r>
      <w:r>
        <w:t>these</w:t>
      </w:r>
      <w:r>
        <w:t xml:space="preserve"> exclusion</w:t>
      </w:r>
      <w:r>
        <w:t>s</w:t>
      </w:r>
      <w:r>
        <w:t xml:space="preserve">. This must </w:t>
      </w:r>
      <w:r>
        <w:t>end</w:t>
      </w:r>
      <w:r>
        <w:t xml:space="preserve"> </w:t>
      </w:r>
      <w:r>
        <w:t>bias</w:t>
      </w:r>
      <w:r>
        <w:t>es rooted in institutional</w:t>
      </w:r>
      <w:r>
        <w:t xml:space="preserve"> racism, sexism, disablism</w:t>
      </w:r>
      <w:r>
        <w:t xml:space="preserve"> and other such </w:t>
      </w:r>
      <w:r>
        <w:t>harmful practices</w:t>
      </w:r>
      <w:r>
        <w:t xml:space="preserve"> impact</w:t>
      </w:r>
      <w:r>
        <w:t>ing</w:t>
      </w:r>
      <w:r>
        <w:t xml:space="preserve"> the response of school staff, or schools where the teaching staff do not reflect the local community </w:t>
      </w:r>
      <w:r>
        <w:t xml:space="preserve">being </w:t>
      </w:r>
      <w:r>
        <w:t xml:space="preserve">at higher risk of seeing groups </w:t>
      </w:r>
      <w:r>
        <w:t xml:space="preserve">being </w:t>
      </w:r>
      <w:r>
        <w:t>disproportionately suspended and expelled</w:t>
      </w:r>
      <w:r>
        <w:t>, and losing rights to education and learning</w:t>
      </w:r>
      <w:r>
        <w:t xml:space="preserve">. </w:t>
      </w:r>
    </w:p>
    <w:p w:rsidR="00A3009A" w:rsidP="00126B08">
      <w:r>
        <w:t>This will support with belonging.</w:t>
      </w:r>
      <w:r>
        <w:t xml:space="preserve"> Belonging also requires full curriculum access, friendships, accessible</w:t>
      </w:r>
      <w:r>
        <w:t xml:space="preserve"> and enabling</w:t>
      </w:r>
      <w:r>
        <w:t xml:space="preserve"> environments</w:t>
      </w:r>
      <w:r>
        <w:t xml:space="preserve"> and</w:t>
      </w:r>
      <w:r>
        <w:t xml:space="preserve"> freedom from racist, sexist and disablist discipl</w:t>
      </w:r>
      <w:r>
        <w:t>in</w:t>
      </w:r>
      <w:r>
        <w:t>e</w:t>
      </w:r>
      <w:r>
        <w:t>.</w:t>
      </w:r>
      <w:r>
        <w:t xml:space="preserve"> </w:t>
      </w:r>
      <w:r>
        <w:t xml:space="preserve">Young </w:t>
      </w:r>
      <w:r>
        <w:t xml:space="preserve">Disabled people </w:t>
      </w:r>
      <w:r>
        <w:t>and their families</w:t>
      </w:r>
      <w:r>
        <w:t xml:space="preserve"> have told ALLFIE that a significant factor in the</w:t>
      </w:r>
      <w:r>
        <w:t>ir</w:t>
      </w:r>
      <w:r>
        <w:t xml:space="preserve"> feeling like they belong is when they are included and understood, </w:t>
      </w:r>
      <w:r>
        <w:t xml:space="preserve">and when they can see themselves reflected in the </w:t>
      </w:r>
      <w:r>
        <w:t>school</w:t>
      </w:r>
      <w:r>
        <w:t xml:space="preserve"> </w:t>
      </w:r>
      <w:r>
        <w:t>environment. This included Black</w:t>
      </w:r>
      <w:r>
        <w:t>/</w:t>
      </w:r>
      <w:r>
        <w:t xml:space="preserve">Global Majority young </w:t>
      </w:r>
      <w:r>
        <w:t xml:space="preserve">Disabled </w:t>
      </w:r>
      <w:r>
        <w:t>people, who told us that when all aspects of their identity</w:t>
      </w:r>
      <w:r>
        <w:t xml:space="preserve"> and lived experience</w:t>
      </w:r>
      <w:r>
        <w:t xml:space="preserve"> were reflected, they felt more like they belonged.</w:t>
      </w:r>
      <w:r>
        <w:rPr>
          <w:rStyle w:val="EndnoteReference"/>
        </w:rPr>
        <w:endnoteReference w:id="24"/>
      </w:r>
      <w:r>
        <w:t xml:space="preserve"> </w:t>
      </w:r>
      <w:r>
        <w:t xml:space="preserve">Ensuring that staff </w:t>
      </w:r>
      <w:r>
        <w:t>at all levels</w:t>
      </w:r>
      <w:r>
        <w:t>, including teaching and support staff as well as leadership</w:t>
      </w:r>
      <w:r>
        <w:t xml:space="preserve"> and governance</w:t>
      </w:r>
      <w:r>
        <w:t xml:space="preserve"> </w:t>
      </w:r>
      <w:r>
        <w:t>reflect</w:t>
      </w:r>
      <w:r>
        <w:t xml:space="preserve"> all of these identities</w:t>
      </w:r>
      <w:r>
        <w:t xml:space="preserve"> and lived experiences</w:t>
      </w:r>
      <w:r>
        <w:t xml:space="preserve"> </w:t>
      </w:r>
      <w:r>
        <w:t xml:space="preserve">and ensure they </w:t>
      </w:r>
      <w:r>
        <w:t xml:space="preserve">are </w:t>
      </w:r>
      <w:r>
        <w:t xml:space="preserve">visible and </w:t>
      </w:r>
      <w:r>
        <w:t xml:space="preserve">present in the school environment is a significant factor in increasing belonging. </w:t>
      </w:r>
    </w:p>
    <w:p w:rsidR="00A3009A" w:rsidP="00126B08">
      <w:r>
        <w:t xml:space="preserve">Parents of Disabled children and young people also report that their child’s intersectional identities </w:t>
      </w:r>
      <w:r>
        <w:t xml:space="preserve">and their </w:t>
      </w:r>
      <w:r>
        <w:t xml:space="preserve">other lived </w:t>
      </w:r>
      <w:r>
        <w:t xml:space="preserve">experiences </w:t>
      </w:r>
      <w:r>
        <w:t xml:space="preserve">are often ignored or misunderstood by staff, and that this has led to instances where </w:t>
      </w:r>
      <w:r>
        <w:t>their child expressing need has been considered an issue to be addressed through the behaviour pathway. Black</w:t>
      </w:r>
      <w:r>
        <w:t>/</w:t>
      </w:r>
      <w:r>
        <w:t>Global Majority parents reported that behaviour</w:t>
      </w:r>
      <w:r>
        <w:t>,</w:t>
      </w:r>
      <w:r>
        <w:t xml:space="preserve"> such as children speaking to a teacher to advocate for their needs</w:t>
      </w:r>
      <w:r>
        <w:t>,</w:t>
      </w:r>
      <w:r>
        <w:t xml:space="preserve"> was treated as aggressive and </w:t>
      </w:r>
      <w:r>
        <w:t>punished</w:t>
      </w:r>
      <w:r>
        <w:t>.</w:t>
      </w:r>
      <w:r>
        <w:t xml:space="preserve"> </w:t>
      </w:r>
      <w:r>
        <w:t>P</w:t>
      </w:r>
      <w:r>
        <w:t xml:space="preserve">arents also reported that their conversations with teachers had been perceived as aggressive, and in some </w:t>
      </w:r>
      <w:r>
        <w:t>cases,</w:t>
      </w:r>
      <w:r>
        <w:t xml:space="preserve"> this had led to them being banned from the school site or from communicating with teaching staff. Black</w:t>
      </w:r>
      <w:r>
        <w:t>/</w:t>
      </w:r>
      <w:r>
        <w:t>Global Majority</w:t>
      </w:r>
      <w:r>
        <w:t>,</w:t>
      </w:r>
      <w:r>
        <w:t xml:space="preserve"> </w:t>
      </w:r>
      <w:r>
        <w:t>Disabled</w:t>
      </w:r>
      <w:r>
        <w:t xml:space="preserve"> parents particularly reported that this impacted how they and their child were treated by school staff</w:t>
      </w:r>
      <w:r>
        <w:t xml:space="preserve"> and</w:t>
      </w:r>
      <w:r>
        <w:t xml:space="preserve"> </w:t>
      </w:r>
      <w:r>
        <w:t>negatively impacted the students’ feeling of belonging, especially when parents were banned from communicating with the school</w:t>
      </w:r>
      <w:r>
        <w:rPr>
          <w:rStyle w:val="EndnoteReference"/>
        </w:rPr>
        <w:endnoteReference w:id="25"/>
      </w:r>
      <w:r>
        <w:t xml:space="preserve">. </w:t>
      </w:r>
      <w:r>
        <w:t>While th</w:t>
      </w:r>
      <w:r>
        <w:t xml:space="preserve">is is </w:t>
      </w:r>
      <w:r>
        <w:t xml:space="preserve">not to valorise impairments nor suggest a hierarchy which does not, and </w:t>
      </w:r>
      <w:r>
        <w:t>must</w:t>
      </w:r>
      <w:r>
        <w:t xml:space="preserve"> not, exist,</w:t>
      </w:r>
      <w:r>
        <w:t xml:space="preserve"> schools need to have a much better understanding </w:t>
      </w:r>
      <w:r>
        <w:t>of the diversity of Disabled people.</w:t>
      </w:r>
      <w:r>
        <w:t xml:space="preserve"> </w:t>
      </w:r>
      <w:r>
        <w:t>Black/Global Majority Deaf parents have also told us that schools routinely fail</w:t>
      </w:r>
      <w:r>
        <w:t xml:space="preserve"> to provide interpret</w:t>
      </w:r>
      <w:r>
        <w:t>ers</w:t>
      </w:r>
      <w:r>
        <w:t xml:space="preserve"> in their </w:t>
      </w:r>
      <w:r>
        <w:t>first language</w:t>
      </w:r>
      <w:r>
        <w:t xml:space="preserve"> during</w:t>
      </w:r>
      <w:r>
        <w:t xml:space="preserve"> communication, and </w:t>
      </w:r>
      <w:r>
        <w:t xml:space="preserve">young people with </w:t>
      </w:r>
      <w:r>
        <w:t xml:space="preserve">parents who used mobility aids </w:t>
      </w:r>
      <w:r>
        <w:t xml:space="preserve">were unable to have their Disabled parent present at school events due to a lack of access. </w:t>
      </w:r>
      <w:r>
        <w:t xml:space="preserve">Understanding how bias impacts parents and </w:t>
      </w:r>
      <w:r>
        <w:t>families’</w:t>
      </w:r>
      <w:r>
        <w:t xml:space="preserve"> interactions with the school also supports belonging, allowing families to feel respected at the school. </w:t>
      </w:r>
    </w:p>
    <w:p w:rsidR="00A3009A" w:rsidP="00126B08">
      <w:r>
        <w:t xml:space="preserve">Any behaviour management approach that removes children from the classroom for extended periods, or from the school site (for suspensions, exclusions, or alternative provision) removes them from their community, from their learning, and from their </w:t>
      </w:r>
      <w:r>
        <w:t xml:space="preserve">routine. This must be </w:t>
      </w:r>
      <w:r>
        <w:t>stopped</w:t>
      </w:r>
      <w:r>
        <w:t xml:space="preserve">. </w:t>
      </w:r>
      <w:r>
        <w:t xml:space="preserve">Instead, </w:t>
      </w:r>
      <w:r>
        <w:t>behaviour policies must be fundamentally re</w:t>
      </w:r>
      <w:r>
        <w:t xml:space="preserve">written to </w:t>
      </w:r>
      <w:r>
        <w:t xml:space="preserve">remove structural barriers and </w:t>
      </w:r>
      <w:r>
        <w:t xml:space="preserve">embed a Social Model and intersectional anti-racist, anti-sexist, anti-disablist approach informed by lived experience, which focusses on prevention </w:t>
      </w:r>
      <w:r>
        <w:t xml:space="preserve">rather </w:t>
      </w:r>
      <w:r>
        <w:t xml:space="preserve">than </w:t>
      </w:r>
      <w:r>
        <w:t>punishment.</w:t>
      </w:r>
      <w:r>
        <w:t xml:space="preserve"> Any form of segregation as punishment, whether inside or outside of school, reinforces harmful </w:t>
      </w:r>
      <w:r>
        <w:t>practices and denies children and young people’s right to education and learning.</w:t>
      </w:r>
    </w:p>
    <w:p w:rsidR="00A3009A" w:rsidP="00D302CD">
      <w:pPr>
        <w:pStyle w:val="Heading3"/>
      </w:pPr>
      <w:r>
        <w:t>Recommendations:</w:t>
      </w:r>
    </w:p>
    <w:p w:rsidR="00A3009A" w:rsidP="00B71315">
      <w:pPr>
        <w:pStyle w:val="ListParagraph"/>
        <w:numPr>
          <w:ilvl w:val="0"/>
          <w:numId w:val="10"/>
        </w:numPr>
      </w:pPr>
      <w:r>
        <w:t xml:space="preserve">To </w:t>
      </w:r>
      <w:r>
        <w:t>end</w:t>
      </w:r>
      <w:r>
        <w:t xml:space="preserve"> the bias and </w:t>
      </w:r>
      <w:r>
        <w:t>practices</w:t>
      </w:r>
      <w:r>
        <w:t xml:space="preserve"> which are leading to </w:t>
      </w:r>
      <w:r>
        <w:t xml:space="preserve">increased suspensions and exclusions </w:t>
      </w:r>
      <w:r>
        <w:t>of</w:t>
      </w:r>
      <w:r>
        <w:t xml:space="preserve"> </w:t>
      </w:r>
      <w:r>
        <w:t xml:space="preserve">marginalised </w:t>
      </w:r>
      <w:r>
        <w:t xml:space="preserve">Disabled </w:t>
      </w:r>
      <w:r>
        <w:t>students</w:t>
      </w:r>
      <w:r>
        <w:t>.</w:t>
      </w:r>
      <w:r>
        <w:t xml:space="preserve"> </w:t>
      </w:r>
    </w:p>
    <w:p w:rsidR="00A3009A" w:rsidP="00F46693">
      <w:pPr>
        <w:pStyle w:val="ListParagraph"/>
        <w:numPr>
          <w:ilvl w:val="0"/>
          <w:numId w:val="10"/>
        </w:numPr>
      </w:pPr>
      <w:r>
        <w:t>To i</w:t>
      </w:r>
      <w:r>
        <w:t>nclude</w:t>
      </w:r>
      <w:r>
        <w:t xml:space="preserve"> school-level</w:t>
      </w:r>
      <w:r>
        <w:t xml:space="preserve"> reporting on </w:t>
      </w:r>
      <w:r>
        <w:t>marginalised student’s</w:t>
      </w:r>
      <w:r>
        <w:t xml:space="preserve"> suspension and exclusion rates</w:t>
      </w:r>
      <w:r>
        <w:t>, including Disabled students</w:t>
      </w:r>
      <w:r>
        <w:t xml:space="preserve"> with intersectional identities and lived experiences </w:t>
      </w:r>
      <w:r>
        <w:t xml:space="preserve">to identify </w:t>
      </w:r>
      <w:r>
        <w:t xml:space="preserve">individuals </w:t>
      </w:r>
      <w:r>
        <w:t>most at risk of being removed from school</w:t>
      </w:r>
      <w:r>
        <w:t xml:space="preserve"> and end this practice.</w:t>
      </w:r>
    </w:p>
    <w:p w:rsidR="00A3009A" w:rsidRPr="00D302CD" w:rsidP="00F46693">
      <w:pPr>
        <w:pStyle w:val="ListParagraph"/>
        <w:numPr>
          <w:ilvl w:val="0"/>
          <w:numId w:val="10"/>
        </w:numPr>
      </w:pPr>
      <w:r>
        <w:t>This d</w:t>
      </w:r>
      <w:r>
        <w:t>ata on suspensions and exclusions per school must be an accountability tool</w:t>
      </w:r>
      <w:r>
        <w:t>, enabling schools to</w:t>
      </w:r>
      <w:r>
        <w:t xml:space="preserve"> </w:t>
      </w:r>
      <w:r>
        <w:t>end th</w:t>
      </w:r>
      <w:r>
        <w:t>is</w:t>
      </w:r>
      <w:r>
        <w:t xml:space="preserve"> practice</w:t>
      </w:r>
      <w:r>
        <w:t>.</w:t>
      </w:r>
      <w:r>
        <w:t xml:space="preserve"> </w:t>
      </w:r>
      <w:r>
        <w:t xml:space="preserve">This data and </w:t>
      </w:r>
      <w:r>
        <w:t>each school plan</w:t>
      </w:r>
      <w:r>
        <w:t xml:space="preserve"> to address the</w:t>
      </w:r>
      <w:r>
        <w:t xml:space="preserve"> issues identified</w:t>
      </w:r>
      <w:r>
        <w:t xml:space="preserve"> must be shared publicly, as well as form a </w:t>
      </w:r>
      <w:r>
        <w:t>core part</w:t>
      </w:r>
      <w:r>
        <w:t xml:space="preserve"> of Ofsted inspections to </w:t>
      </w:r>
      <w:r>
        <w:t xml:space="preserve">end harmful practices and embed inclusive practice. </w:t>
      </w:r>
      <w:r>
        <w:t xml:space="preserve">This </w:t>
      </w:r>
      <w:r>
        <w:t xml:space="preserve">approach </w:t>
      </w:r>
      <w:r>
        <w:t xml:space="preserve">will be a significant </w:t>
      </w:r>
      <w:r>
        <w:t>move towards Inclusive Education as defined in the UNCRPD</w:t>
      </w:r>
      <w:r>
        <w:t>, and ending segregation in UK schools.</w:t>
      </w:r>
    </w:p>
    <w:p w:rsidR="00A3009A" w:rsidP="006F6D69">
      <w:pPr>
        <w:pStyle w:val="Heading2"/>
      </w:pPr>
      <w:r>
        <w:t>Reducing disadvantage gaps</w:t>
      </w:r>
    </w:p>
    <w:p w:rsidR="00A3009A" w:rsidP="003C2489">
      <w:r>
        <w:t xml:space="preserve">ALLFIE </w:t>
      </w:r>
      <w:r>
        <w:t xml:space="preserve">is </w:t>
      </w:r>
      <w:r>
        <w:t>concerned</w:t>
      </w:r>
      <w:r>
        <w:t xml:space="preserve"> that the </w:t>
      </w:r>
      <w:r>
        <w:t xml:space="preserve">White Paper </w:t>
      </w:r>
      <w:r w:rsidRPr="002A4BFF">
        <w:t xml:space="preserve">continues to follow a </w:t>
      </w:r>
      <w:r>
        <w:t>deficit</w:t>
      </w:r>
      <w:r>
        <w:t>-based</w:t>
      </w:r>
      <w:r w:rsidRPr="002A4BFF">
        <w:t xml:space="preserve"> </w:t>
      </w:r>
      <w:r>
        <w:t>model</w:t>
      </w:r>
      <w:r>
        <w:t xml:space="preserve"> of disadvantage</w:t>
      </w:r>
      <w:r w:rsidRPr="002A4BFF">
        <w:t xml:space="preserve"> that does not embed intersectionality </w:t>
      </w:r>
      <w:r>
        <w:t>to</w:t>
      </w:r>
      <w:r>
        <w:t xml:space="preserve"> end</w:t>
      </w:r>
      <w:r w:rsidRPr="002A4BFF">
        <w:t xml:space="preserve"> structural </w:t>
      </w:r>
      <w:r>
        <w:t>in</w:t>
      </w:r>
      <w:r>
        <w:t>equalit</w:t>
      </w:r>
      <w:r>
        <w:t>y</w:t>
      </w:r>
      <w:r>
        <w:t>.</w:t>
      </w:r>
      <w:r w:rsidRPr="002A4BFF">
        <w:t xml:space="preserve"> </w:t>
      </w:r>
    </w:p>
    <w:p w:rsidR="00A3009A" w:rsidP="003C2489">
      <w:r>
        <w:t>ALLFIE</w:t>
      </w:r>
      <w:r>
        <w:t xml:space="preserve"> </w:t>
      </w:r>
      <w:r>
        <w:t>asserts that</w:t>
      </w:r>
      <w:r>
        <w:t xml:space="preserve"> </w:t>
      </w:r>
      <w:r>
        <w:t xml:space="preserve">work in this area </w:t>
      </w:r>
      <w:r>
        <w:t>must</w:t>
      </w:r>
      <w:r>
        <w:t xml:space="preserve"> take</w:t>
      </w:r>
      <w:r>
        <w:t xml:space="preserve"> </w:t>
      </w:r>
      <w:r>
        <w:t xml:space="preserve">a </w:t>
      </w:r>
      <w:r>
        <w:t xml:space="preserve">genuinely </w:t>
      </w:r>
      <w:r>
        <w:t>intersectional</w:t>
      </w:r>
      <w:r>
        <w:t xml:space="preserve">, </w:t>
      </w:r>
      <w:r>
        <w:t>rights-based</w:t>
      </w:r>
      <w:r>
        <w:t xml:space="preserve"> approach,</w:t>
      </w:r>
      <w:r>
        <w:t xml:space="preserve"> </w:t>
      </w:r>
      <w:r>
        <w:t>recognis</w:t>
      </w:r>
      <w:r>
        <w:t>ing</w:t>
      </w:r>
      <w:r>
        <w:t xml:space="preserve"> </w:t>
      </w:r>
      <w:r>
        <w:t xml:space="preserve">how </w:t>
      </w:r>
      <w:r>
        <w:t>intersect</w:t>
      </w:r>
      <w:r>
        <w:t>ional</w:t>
      </w:r>
      <w:r>
        <w:t xml:space="preserve"> </w:t>
      </w:r>
      <w:r>
        <w:t xml:space="preserve">barriers </w:t>
      </w:r>
      <w:r>
        <w:t>restric</w:t>
      </w:r>
      <w:r>
        <w:t>t</w:t>
      </w:r>
      <w:r>
        <w:t>,</w:t>
      </w:r>
      <w:r>
        <w:t xml:space="preserve"> not only equal </w:t>
      </w:r>
      <w:r>
        <w:t>access to</w:t>
      </w:r>
      <w:r>
        <w:t xml:space="preserve"> education, but equitable education</w:t>
      </w:r>
      <w:r>
        <w:t>al</w:t>
      </w:r>
      <w:r>
        <w:t xml:space="preserve"> </w:t>
      </w:r>
      <w:r>
        <w:t>opportunities</w:t>
      </w:r>
      <w:r>
        <w:t>.</w:t>
      </w:r>
      <w:r>
        <w:t xml:space="preserve"> </w:t>
      </w:r>
      <w:r>
        <w:t xml:space="preserve">This </w:t>
      </w:r>
      <w:r>
        <w:t>must</w:t>
      </w:r>
      <w:r>
        <w:t xml:space="preserve"> include </w:t>
      </w:r>
      <w:r>
        <w:t xml:space="preserve">ending </w:t>
      </w:r>
      <w:r>
        <w:t xml:space="preserve">how Disabled students </w:t>
      </w:r>
      <w:r>
        <w:t>exposed to intersecting forms of structural marginalisation.</w:t>
      </w:r>
      <w:r>
        <w:t xml:space="preserve"> </w:t>
      </w:r>
      <w:r>
        <w:t>I</w:t>
      </w:r>
      <w:r>
        <w:t xml:space="preserve">ncluding individuals from </w:t>
      </w:r>
      <w:r>
        <w:t>Black/Global Majority backgrounds</w:t>
      </w:r>
      <w:r>
        <w:t xml:space="preserve">, </w:t>
      </w:r>
      <w:r w:rsidRPr="00FA7AD3">
        <w:t>Black migrants and refugees</w:t>
      </w:r>
      <w:r>
        <w:t xml:space="preserve"> are </w:t>
      </w:r>
      <w:r>
        <w:t>disproportionate</w:t>
      </w:r>
      <w:r>
        <w:t>ly</w:t>
      </w:r>
      <w:r>
        <w:t xml:space="preserve"> affected and </w:t>
      </w:r>
      <w:r w:rsidRPr="00D50BD3">
        <w:t xml:space="preserve">further disadvantaged by existing inequalities, </w:t>
      </w:r>
      <w:r>
        <w:t>particular</w:t>
      </w:r>
      <w:r>
        <w:t>ly</w:t>
      </w:r>
      <w:r>
        <w:t xml:space="preserve"> for</w:t>
      </w:r>
      <w:r>
        <w:t xml:space="preserve"> Disabled</w:t>
      </w:r>
      <w:r>
        <w:t xml:space="preserve"> </w:t>
      </w:r>
      <w:r w:rsidRPr="00D50BD3">
        <w:t>individuals</w:t>
      </w:r>
      <w:r>
        <w:t xml:space="preserve"> who are living in or</w:t>
      </w:r>
      <w:r w:rsidRPr="00D50BD3">
        <w:t xml:space="preserve"> </w:t>
      </w:r>
      <w:r>
        <w:t>experiencing</w:t>
      </w:r>
      <w:r>
        <w:t>:</w:t>
      </w:r>
    </w:p>
    <w:p w:rsidR="00A3009A" w:rsidP="00D66378">
      <w:pPr>
        <w:pStyle w:val="ListParagraph"/>
        <w:numPr>
          <w:ilvl w:val="0"/>
          <w:numId w:val="12"/>
        </w:numPr>
      </w:pPr>
      <w:r>
        <w:t>L</w:t>
      </w:r>
      <w:r>
        <w:t>ower income households</w:t>
      </w:r>
      <w:r>
        <w:t>,</w:t>
      </w:r>
      <w:r>
        <w:t xml:space="preserve"> including households</w:t>
      </w:r>
      <w:r>
        <w:t xml:space="preserve"> </w:t>
      </w:r>
      <w:r>
        <w:t xml:space="preserve">facing </w:t>
      </w:r>
      <w:r>
        <w:t xml:space="preserve">fuel poverty and </w:t>
      </w:r>
      <w:r>
        <w:t>utilit</w:t>
      </w:r>
      <w:r>
        <w:t>y</w:t>
      </w:r>
      <w:r>
        <w:t xml:space="preserve"> insecurity</w:t>
      </w:r>
      <w:r>
        <w:t xml:space="preserve"> and</w:t>
      </w:r>
      <w:r>
        <w:t xml:space="preserve"> food poverty </w:t>
      </w:r>
    </w:p>
    <w:p w:rsidR="00A3009A" w:rsidP="00D66378">
      <w:pPr>
        <w:pStyle w:val="ListParagraph"/>
        <w:numPr>
          <w:ilvl w:val="0"/>
          <w:numId w:val="12"/>
        </w:numPr>
      </w:pPr>
      <w:r>
        <w:t>C</w:t>
      </w:r>
      <w:r>
        <w:t>hildren</w:t>
      </w:r>
      <w:r>
        <w:t xml:space="preserve"> living</w:t>
      </w:r>
      <w:r>
        <w:t xml:space="preserve"> in care</w:t>
      </w:r>
    </w:p>
    <w:p w:rsidR="00A3009A" w:rsidP="00D66378">
      <w:pPr>
        <w:pStyle w:val="ListParagraph"/>
        <w:numPr>
          <w:ilvl w:val="0"/>
          <w:numId w:val="12"/>
        </w:numPr>
      </w:pPr>
      <w:r>
        <w:t>S</w:t>
      </w:r>
      <w:r>
        <w:t xml:space="preserve">tudents </w:t>
      </w:r>
      <w:r>
        <w:t xml:space="preserve">experiencing </w:t>
      </w:r>
      <w:r>
        <w:t>domestic violence</w:t>
      </w:r>
    </w:p>
    <w:p w:rsidR="00A3009A" w:rsidP="00D66378">
      <w:pPr>
        <w:pStyle w:val="ListParagraph"/>
        <w:numPr>
          <w:ilvl w:val="0"/>
          <w:numId w:val="12"/>
        </w:numPr>
      </w:pPr>
      <w:r>
        <w:t>H</w:t>
      </w:r>
      <w:r>
        <w:t>omelessness</w:t>
      </w:r>
      <w:r>
        <w:t>, temp</w:t>
      </w:r>
      <w:r>
        <w:t>orary or unstable accommodation</w:t>
      </w:r>
    </w:p>
    <w:p w:rsidR="00A3009A" w:rsidP="00D66378">
      <w:pPr>
        <w:pStyle w:val="ListParagraph"/>
        <w:numPr>
          <w:ilvl w:val="0"/>
          <w:numId w:val="12"/>
        </w:numPr>
      </w:pPr>
      <w:r>
        <w:t>F</w:t>
      </w:r>
      <w:r>
        <w:t xml:space="preserve">amilies </w:t>
      </w:r>
      <w:r>
        <w:t xml:space="preserve">with </w:t>
      </w:r>
      <w:r>
        <w:t xml:space="preserve">no </w:t>
      </w:r>
      <w:r>
        <w:t>recourse</w:t>
      </w:r>
      <w:r>
        <w:t xml:space="preserve"> to public funds</w:t>
      </w:r>
    </w:p>
    <w:p w:rsidR="00A3009A" w:rsidP="00D66378">
      <w:pPr>
        <w:pStyle w:val="ListParagraph"/>
        <w:numPr>
          <w:ilvl w:val="0"/>
          <w:numId w:val="12"/>
        </w:numPr>
      </w:pPr>
      <w:r>
        <w:t>F</w:t>
      </w:r>
      <w:r>
        <w:t xml:space="preserve">amilies with </w:t>
      </w:r>
      <w:r>
        <w:t>insecure or unresolved immigration status</w:t>
      </w:r>
    </w:p>
    <w:p w:rsidR="00A3009A" w:rsidP="00D66378">
      <w:pPr>
        <w:pStyle w:val="ListParagraph"/>
        <w:numPr>
          <w:ilvl w:val="0"/>
          <w:numId w:val="12"/>
        </w:numPr>
      </w:pPr>
      <w:r>
        <w:t>N</w:t>
      </w:r>
      <w:r>
        <w:t>ewly arrived migrants</w:t>
      </w:r>
    </w:p>
    <w:p w:rsidR="00A3009A" w:rsidP="00D66378">
      <w:pPr>
        <w:pStyle w:val="ListParagraph"/>
        <w:numPr>
          <w:ilvl w:val="0"/>
          <w:numId w:val="12"/>
        </w:numPr>
      </w:pPr>
      <w:r>
        <w:t>S</w:t>
      </w:r>
      <w:r>
        <w:t xml:space="preserve">tudents </w:t>
      </w:r>
      <w:r>
        <w:t xml:space="preserve">affected </w:t>
      </w:r>
      <w:r>
        <w:t xml:space="preserve">by </w:t>
      </w:r>
      <w:r>
        <w:t>parental imprisonment</w:t>
      </w:r>
      <w:r>
        <w:t xml:space="preserve"> </w:t>
      </w:r>
      <w:r>
        <w:t xml:space="preserve"> </w:t>
      </w:r>
    </w:p>
    <w:p w:rsidR="00A3009A" w:rsidP="00015AA6">
      <w:pPr>
        <w:pStyle w:val="ListParagraph"/>
        <w:numPr>
          <w:ilvl w:val="0"/>
          <w:numId w:val="12"/>
        </w:numPr>
      </w:pPr>
      <w:r>
        <w:t>S</w:t>
      </w:r>
      <w:r>
        <w:t xml:space="preserve">tudents </w:t>
      </w:r>
      <w:r>
        <w:t>facing digital exclusion</w:t>
      </w:r>
    </w:p>
    <w:p w:rsidR="00A3009A" w:rsidP="00015AA6">
      <w:pPr>
        <w:pStyle w:val="ListParagraph"/>
        <w:numPr>
          <w:ilvl w:val="0"/>
          <w:numId w:val="12"/>
        </w:numPr>
      </w:pPr>
      <w:r>
        <w:t xml:space="preserve">Young people in </w:t>
      </w:r>
      <w:r>
        <w:t xml:space="preserve">households without </w:t>
      </w:r>
      <w:r>
        <w:t xml:space="preserve">the formal support for </w:t>
      </w:r>
      <w:r>
        <w:t>independent living</w:t>
      </w:r>
      <w:r>
        <w:t xml:space="preserve"> </w:t>
      </w:r>
    </w:p>
    <w:p w:rsidR="00A3009A" w:rsidP="003C2489">
      <w:r>
        <w:t>These groups</w:t>
      </w:r>
      <w:r>
        <w:t xml:space="preserve"> </w:t>
      </w:r>
      <w:r>
        <w:t xml:space="preserve">lived </w:t>
      </w:r>
      <w:r>
        <w:t>experiences</w:t>
      </w:r>
      <w:r>
        <w:t xml:space="preserve"> are </w:t>
      </w:r>
      <w:r>
        <w:t xml:space="preserve">routinely </w:t>
      </w:r>
      <w:r>
        <w:t>erased in policy</w:t>
      </w:r>
      <w:r>
        <w:t>,</w:t>
      </w:r>
      <w:r>
        <w:t xml:space="preserve"> lea</w:t>
      </w:r>
      <w:r>
        <w:t>ding</w:t>
      </w:r>
      <w:r>
        <w:t xml:space="preserve"> to </w:t>
      </w:r>
      <w:r>
        <w:t>in</w:t>
      </w:r>
      <w:r>
        <w:t>equitable education</w:t>
      </w:r>
      <w:r>
        <w:t xml:space="preserve"> and </w:t>
      </w:r>
      <w:r>
        <w:t>limits</w:t>
      </w:r>
      <w:r>
        <w:t xml:space="preserve"> placed on their educational pathways. </w:t>
      </w:r>
      <w:r>
        <w:t>Failing to</w:t>
      </w:r>
      <w:r>
        <w:t xml:space="preserve"> </w:t>
      </w:r>
      <w:r>
        <w:t xml:space="preserve">end </w:t>
      </w:r>
      <w:r>
        <w:t xml:space="preserve">these </w:t>
      </w:r>
      <w:r>
        <w:t xml:space="preserve">structural </w:t>
      </w:r>
      <w:r>
        <w:t>barriers</w:t>
      </w:r>
      <w:r>
        <w:t xml:space="preserve"> </w:t>
      </w:r>
      <w:r>
        <w:t xml:space="preserve">risks breaching </w:t>
      </w:r>
      <w:r>
        <w:t>their rights</w:t>
      </w:r>
      <w:r>
        <w:t xml:space="preserve"> to inclusive, accessible and non-di</w:t>
      </w:r>
      <w:r>
        <w:t>scriminative</w:t>
      </w:r>
      <w:r>
        <w:t xml:space="preserve"> education.</w:t>
      </w:r>
    </w:p>
    <w:p w:rsidR="00A3009A" w:rsidP="003C2489">
      <w:r>
        <w:t>ALLFIE</w:t>
      </w:r>
      <w:r>
        <w:t>’</w:t>
      </w:r>
      <w:r>
        <w:t xml:space="preserve">s repeatedly </w:t>
      </w:r>
      <w:r>
        <w:t xml:space="preserve">called out </w:t>
      </w:r>
      <w:r>
        <w:t xml:space="preserve">the harms caused </w:t>
      </w:r>
      <w:r>
        <w:t>by not embedding intersectionality and rights</w:t>
      </w:r>
      <w:r>
        <w:t>-</w:t>
      </w:r>
      <w:r>
        <w:t>base</w:t>
      </w:r>
      <w:r>
        <w:t>d</w:t>
      </w:r>
      <w:r>
        <w:t xml:space="preserve"> </w:t>
      </w:r>
      <w:r>
        <w:t>practice</w:t>
      </w:r>
      <w:r>
        <w:t xml:space="preserve"> in policy. </w:t>
      </w:r>
      <w:r>
        <w:t xml:space="preserve">This includes ensuring that </w:t>
      </w:r>
      <w:r>
        <w:t xml:space="preserve">Disabled </w:t>
      </w:r>
      <w:r>
        <w:t>children and young people from all backgrounds are not only consulted, but that work is co-produced to understand the</w:t>
      </w:r>
      <w:r>
        <w:t>ir</w:t>
      </w:r>
      <w:r>
        <w:t xml:space="preserve"> </w:t>
      </w:r>
      <w:r>
        <w:t xml:space="preserve">lived </w:t>
      </w:r>
      <w:r>
        <w:t xml:space="preserve">experiences, both nationally and locally. The reality is that two students who appear, on paper, to be experiencing the same </w:t>
      </w:r>
      <w:r>
        <w:t>levels of marginalisation</w:t>
      </w:r>
      <w:r>
        <w:t>,</w:t>
      </w:r>
      <w:r>
        <w:t xml:space="preserve"> will have very different </w:t>
      </w:r>
      <w:r>
        <w:t xml:space="preserve">lived </w:t>
      </w:r>
      <w:r>
        <w:t>experiences. The environment around them, their friendships and family groups, their own sense of self and confidence, and their access to support will all determine</w:t>
      </w:r>
      <w:r>
        <w:t xml:space="preserve"> how this affects barriers to </w:t>
      </w:r>
      <w:r>
        <w:t>a</w:t>
      </w:r>
      <w:r>
        <w:t xml:space="preserve"> </w:t>
      </w:r>
      <w:r>
        <w:t>sense of belonging and</w:t>
      </w:r>
      <w:r>
        <w:t xml:space="preserve"> </w:t>
      </w:r>
      <w:r>
        <w:t xml:space="preserve">learning. </w:t>
      </w:r>
    </w:p>
    <w:p w:rsidR="00A3009A" w:rsidP="003C2489">
      <w:r>
        <w:t>The approach must</w:t>
      </w:r>
      <w:r>
        <w:t xml:space="preserve"> centre co-production</w:t>
      </w:r>
      <w:r>
        <w:t>;</w:t>
      </w:r>
      <w:r>
        <w:t xml:space="preserve"> aligned with the</w:t>
      </w:r>
      <w:r>
        <w:t xml:space="preserve"> Disabled People’s Movement’s</w:t>
      </w:r>
      <w:r>
        <w:t xml:space="preserve"> mantra Nothing About Us Without Us</w:t>
      </w:r>
      <w:r>
        <w:t xml:space="preserve"> and with</w:t>
      </w:r>
      <w:r>
        <w:t xml:space="preserve"> accessible</w:t>
      </w:r>
      <w:r>
        <w:t xml:space="preserve"> and enabling</w:t>
      </w:r>
      <w:r>
        <w:t xml:space="preserve"> involvement</w:t>
      </w:r>
      <w:r>
        <w:t xml:space="preserve"> that is properly</w:t>
      </w:r>
      <w:r>
        <w:t xml:space="preserve"> resourced</w:t>
      </w:r>
      <w:r>
        <w:t xml:space="preserve"> and </w:t>
      </w:r>
      <w:r>
        <w:t>renumerated,</w:t>
      </w:r>
      <w:r>
        <w:t xml:space="preserve"> and </w:t>
      </w:r>
      <w:r>
        <w:t>expertise</w:t>
      </w:r>
      <w:r>
        <w:t xml:space="preserve"> and lived experience</w:t>
      </w:r>
      <w:r>
        <w:t xml:space="preserve"> respected for the value </w:t>
      </w:r>
      <w:r>
        <w:t>it</w:t>
      </w:r>
      <w:r>
        <w:t xml:space="preserve"> provide</w:t>
      </w:r>
      <w:r>
        <w:t>s</w:t>
      </w:r>
      <w:r>
        <w:t xml:space="preserve">. </w:t>
      </w:r>
      <w:r>
        <w:t>This gives</w:t>
      </w:r>
      <w:r>
        <w:t xml:space="preserve"> the opportunity </w:t>
      </w:r>
      <w:r>
        <w:t>for</w:t>
      </w:r>
      <w:r>
        <w:t xml:space="preserve"> </w:t>
      </w:r>
      <w:r>
        <w:t xml:space="preserve">young </w:t>
      </w:r>
      <w:r>
        <w:t>Disabled</w:t>
      </w:r>
      <w:r>
        <w:t xml:space="preserve"> people to </w:t>
      </w:r>
      <w:r>
        <w:t>feel</w:t>
      </w:r>
      <w:r>
        <w:t xml:space="preserve"> </w:t>
      </w:r>
      <w:r>
        <w:t>ownership of their education, their futures, and that their opinion and their ideas matter and are important</w:t>
      </w:r>
      <w:r>
        <w:t xml:space="preserve"> in shaping policies and decision-making</w:t>
      </w:r>
      <w:r>
        <w:t>.</w:t>
      </w:r>
    </w:p>
    <w:p w:rsidR="00A3009A" w:rsidP="00C1294B">
      <w:pPr>
        <w:pStyle w:val="Heading3"/>
      </w:pPr>
      <w:r>
        <w:t>Recommendations:</w:t>
      </w:r>
    </w:p>
    <w:p w:rsidR="00A3009A" w:rsidP="00C1294B">
      <w:pPr>
        <w:pStyle w:val="ListParagraph"/>
        <w:numPr>
          <w:ilvl w:val="0"/>
          <w:numId w:val="11"/>
        </w:numPr>
      </w:pPr>
      <w:r>
        <w:t xml:space="preserve">To </w:t>
      </w:r>
      <w:r>
        <w:t>co-</w:t>
      </w:r>
      <w:r>
        <w:t>d</w:t>
      </w:r>
      <w:r>
        <w:t>evelop</w:t>
      </w:r>
      <w:r>
        <w:t xml:space="preserve"> statutory</w:t>
      </w:r>
      <w:r>
        <w:t xml:space="preserve"> </w:t>
      </w:r>
      <w:r>
        <w:t>guidance</w:t>
      </w:r>
      <w:r>
        <w:t xml:space="preserve"> with DPOs</w:t>
      </w:r>
      <w:r>
        <w:t xml:space="preserve"> and young Disabled people</w:t>
      </w:r>
      <w:r>
        <w:t xml:space="preserve"> </w:t>
      </w:r>
      <w:r>
        <w:t xml:space="preserve">that </w:t>
      </w:r>
      <w:r>
        <w:t>e</w:t>
      </w:r>
      <w:r>
        <w:t>mbed</w:t>
      </w:r>
      <w:r>
        <w:t>s</w:t>
      </w:r>
      <w:r>
        <w:t xml:space="preserve"> </w:t>
      </w:r>
      <w:r>
        <w:t xml:space="preserve">an </w:t>
      </w:r>
      <w:r>
        <w:t>intersectional</w:t>
      </w:r>
      <w:r>
        <w:t xml:space="preserve">, </w:t>
      </w:r>
      <w:r>
        <w:t>rights-based</w:t>
      </w:r>
      <w:r>
        <w:t xml:space="preserve"> </w:t>
      </w:r>
      <w:r>
        <w:t>model</w:t>
      </w:r>
      <w:r>
        <w:t xml:space="preserve"> as</w:t>
      </w:r>
      <w:r>
        <w:t xml:space="preserve"> the core</w:t>
      </w:r>
      <w:r>
        <w:t xml:space="preserve"> reference </w:t>
      </w:r>
      <w:r>
        <w:t>fo</w:t>
      </w:r>
      <w:r>
        <w:t>r assess</w:t>
      </w:r>
      <w:r>
        <w:t>ing policy impact, informing decision making</w:t>
      </w:r>
      <w:r>
        <w:t>,</w:t>
      </w:r>
      <w:r>
        <w:t xml:space="preserve"> </w:t>
      </w:r>
      <w:r>
        <w:t xml:space="preserve">securing </w:t>
      </w:r>
      <w:r>
        <w:t>equitable</w:t>
      </w:r>
      <w:r>
        <w:t xml:space="preserve"> rights, participation and educational opportunities</w:t>
      </w:r>
      <w:r>
        <w:t>.</w:t>
      </w:r>
    </w:p>
    <w:p w:rsidR="00A3009A" w:rsidP="00AD331E">
      <w:pPr>
        <w:pStyle w:val="ListParagraph"/>
        <w:numPr>
          <w:ilvl w:val="0"/>
          <w:numId w:val="11"/>
        </w:numPr>
      </w:pPr>
      <w:r>
        <w:t>To i</w:t>
      </w:r>
      <w:r>
        <w:t>mplement</w:t>
      </w:r>
      <w:r>
        <w:t xml:space="preserve"> intersectional</w:t>
      </w:r>
      <w:r>
        <w:t>,</w:t>
      </w:r>
      <w:r>
        <w:t xml:space="preserve"> </w:t>
      </w:r>
      <w:r>
        <w:t>rights-based</w:t>
      </w:r>
      <w:r>
        <w:t xml:space="preserve"> monitoring </w:t>
      </w:r>
      <w:r>
        <w:t>and accountability</w:t>
      </w:r>
      <w:r>
        <w:t xml:space="preserve"> procedures</w:t>
      </w:r>
      <w:r>
        <w:t xml:space="preserve"> that enforce statutory obligations, require transparent reporting, </w:t>
      </w:r>
      <w:r>
        <w:t xml:space="preserve">and mandate </w:t>
      </w:r>
      <w:r>
        <w:t xml:space="preserve">action to </w:t>
      </w:r>
      <w:r>
        <w:t>end</w:t>
      </w:r>
      <w:r>
        <w:t xml:space="preserve"> </w:t>
      </w:r>
      <w:r>
        <w:t xml:space="preserve">the </w:t>
      </w:r>
      <w:r>
        <w:t xml:space="preserve">structural </w:t>
      </w:r>
      <w:r>
        <w:t>barriers</w:t>
      </w:r>
      <w:r>
        <w:t xml:space="preserve"> </w:t>
      </w:r>
      <w:r>
        <w:t>exclud</w:t>
      </w:r>
      <w:r>
        <w:t>ing</w:t>
      </w:r>
      <w:r>
        <w:t xml:space="preserve"> </w:t>
      </w:r>
      <w:r>
        <w:t xml:space="preserve">children and young people </w:t>
      </w:r>
      <w:r>
        <w:t>in</w:t>
      </w:r>
      <w:r>
        <w:t xml:space="preserve"> education</w:t>
      </w:r>
      <w:r>
        <w:t xml:space="preserve"> </w:t>
      </w:r>
      <w:r>
        <w:t>because of</w:t>
      </w:r>
      <w:r>
        <w:t xml:space="preserve"> identity</w:t>
      </w:r>
      <w:r>
        <w:t xml:space="preserve"> and</w:t>
      </w:r>
      <w:r>
        <w:t xml:space="preserve"> </w:t>
      </w:r>
      <w:r>
        <w:t>other lived experiences</w:t>
      </w:r>
      <w:r>
        <w:t>.</w:t>
      </w:r>
      <w:r>
        <w:t xml:space="preserve"> </w:t>
      </w:r>
    </w:p>
    <w:p w:rsidR="00A3009A" w:rsidP="00C1294B">
      <w:pPr>
        <w:pStyle w:val="ListParagraph"/>
        <w:numPr>
          <w:ilvl w:val="0"/>
          <w:numId w:val="11"/>
        </w:numPr>
      </w:pPr>
      <w:r>
        <w:t>To c</w:t>
      </w:r>
      <w:r>
        <w:t xml:space="preserve">entre </w:t>
      </w:r>
      <w:r>
        <w:t xml:space="preserve">the diverse </w:t>
      </w:r>
      <w:r>
        <w:t>lived experience</w:t>
      </w:r>
      <w:r>
        <w:t>s</w:t>
      </w:r>
      <w:r>
        <w:t xml:space="preserve"> of </w:t>
      </w:r>
      <w:r>
        <w:t xml:space="preserve">Disabled </w:t>
      </w:r>
      <w:r>
        <w:t xml:space="preserve">children and young people, across the school system, and across </w:t>
      </w:r>
      <w:r>
        <w:t xml:space="preserve">Local Authorities. </w:t>
      </w:r>
      <w:r>
        <w:t>This should be done through co-production</w:t>
      </w:r>
      <w:r>
        <w:t xml:space="preserve"> with DPOs, Disabled children and young people and their families</w:t>
      </w:r>
      <w:r>
        <w:t xml:space="preserve"> of proposals </w:t>
      </w:r>
      <w:r>
        <w:t xml:space="preserve">for </w:t>
      </w:r>
      <w:r>
        <w:t xml:space="preserve">how to </w:t>
      </w:r>
      <w:r>
        <w:t xml:space="preserve">end </w:t>
      </w:r>
      <w:r>
        <w:t xml:space="preserve">the barriers to </w:t>
      </w:r>
      <w:r>
        <w:t xml:space="preserve">secure </w:t>
      </w:r>
      <w:r>
        <w:t xml:space="preserve">equitable </w:t>
      </w:r>
      <w:r>
        <w:t>education and learning</w:t>
      </w:r>
      <w:r>
        <w:t xml:space="preserve">. </w:t>
      </w:r>
    </w:p>
    <w:p w:rsidR="00A3009A" w:rsidP="00FE688D">
      <w:pPr>
        <w:pStyle w:val="ListParagraph"/>
        <w:numPr>
          <w:ilvl w:val="0"/>
          <w:numId w:val="11"/>
        </w:numPr>
      </w:pPr>
      <w:r>
        <w:t>To</w:t>
      </w:r>
      <w:r>
        <w:t xml:space="preserve"> </w:t>
      </w:r>
      <w:r>
        <w:t xml:space="preserve">remove the reservations on Article 24 of the </w:t>
      </w:r>
      <w:r>
        <w:t>UNCRPD and</w:t>
      </w:r>
      <w:r>
        <w:t xml:space="preserve"> use the definition of Inclusive Education </w:t>
      </w:r>
      <w:r>
        <w:t>contained in the UNCRPD</w:t>
      </w:r>
      <w:r>
        <w:t xml:space="preserve"> </w:t>
      </w:r>
      <w:r>
        <w:t>General Commen</w:t>
      </w:r>
      <w:r>
        <w:t>t No. 4</w:t>
      </w:r>
      <w:r>
        <w:t xml:space="preserve">, which will ensure intersectional, </w:t>
      </w:r>
      <w:r>
        <w:t xml:space="preserve">lived </w:t>
      </w:r>
      <w:r>
        <w:t xml:space="preserve">experience-led work guided by the Social Model of Disability </w:t>
      </w:r>
      <w:r>
        <w:t xml:space="preserve">is at the heart </w:t>
      </w:r>
      <w:r>
        <w:t>of</w:t>
      </w:r>
      <w:r>
        <w:t xml:space="preserve"> education policy and reform.</w:t>
      </w:r>
      <w:r>
        <w:t xml:space="preserve"> </w:t>
      </w:r>
    </w:p>
    <w:p w:rsidR="00A3009A" w:rsidRPr="005F4C60" w:rsidP="005945FF">
      <w:pPr>
        <w:spacing w:before="0" w:after="160"/>
      </w:pPr>
    </w:p>
    <w:sect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A3009A" w:rsidP="00491BF4">
      <w:pPr>
        <w:spacing w:before="0" w:after="0" w:line="240" w:lineRule="auto"/>
      </w:pPr>
      <w:r>
        <w:separator/>
      </w:r>
    </w:p>
  </w:endnote>
  <w:endnote w:type="continuationSeparator" w:id="1">
    <w:p w:rsidR="00A3009A" w:rsidP="00491BF4">
      <w:pPr>
        <w:spacing w:before="0" w:after="0" w:line="240" w:lineRule="auto"/>
      </w:pPr>
      <w:r>
        <w:continuationSeparator/>
      </w:r>
    </w:p>
  </w:endnote>
  <w:endnote w:id="2">
    <w:p w:rsidR="00A3009A">
      <w:pPr>
        <w:pStyle w:val="EndnoteText"/>
      </w:pPr>
      <w:r>
        <w:rPr>
          <w:rStyle w:val="EndnoteReference"/>
        </w:rPr>
        <w:endnoteRef/>
      </w:r>
      <w:r>
        <w:t xml:space="preserve"> United Nations, 2006, </w:t>
      </w:r>
      <w:r>
        <w:fldChar w:fldCharType="begin"/>
      </w:r>
      <w:r>
        <w:instrText xml:space="preserve"> HYPERLINK "https://www.ohchr.org/en/instruments-mechanisms/instruments/convention-rights-persons-disabilities" </w:instrText>
      </w:r>
      <w:r>
        <w:fldChar w:fldCharType="separate"/>
      </w:r>
      <w:r w:rsidRPr="00491BF4">
        <w:rPr>
          <w:rStyle w:val="Hyperlink"/>
        </w:rPr>
        <w:t>Convention on the Rights of Persons with Disabilities</w:t>
      </w:r>
      <w:r>
        <w:fldChar w:fldCharType="end"/>
      </w:r>
      <w:r>
        <w:t>, Article 24 - Education</w:t>
      </w:r>
    </w:p>
  </w:endnote>
  <w:endnote w:id="3">
    <w:p w:rsidR="00A3009A">
      <w:pPr>
        <w:pStyle w:val="EndnoteText"/>
      </w:pPr>
      <w:r>
        <w:rPr>
          <w:rStyle w:val="EndnoteReference"/>
        </w:rPr>
        <w:endnoteRef/>
      </w:r>
      <w:r>
        <w:t xml:space="preserve"> United Nations, 2006, </w:t>
      </w:r>
      <w:r>
        <w:fldChar w:fldCharType="begin"/>
      </w:r>
      <w:r>
        <w:instrText xml:space="preserve"> HYPERLINK "https://www.ohchr.org/en/instruments-mechanisms/instruments/convention-rights-persons-disabilities" </w:instrText>
      </w:r>
      <w:r>
        <w:fldChar w:fldCharType="separate"/>
      </w:r>
      <w:r w:rsidRPr="00491BF4">
        <w:rPr>
          <w:rStyle w:val="Hyperlink"/>
        </w:rPr>
        <w:t>Convention on the Rights of Persons with Disabilities</w:t>
      </w:r>
      <w:r>
        <w:fldChar w:fldCharType="end"/>
      </w:r>
      <w:r>
        <w:t>, Article 24 - Education</w:t>
      </w:r>
    </w:p>
  </w:endnote>
  <w:endnote w:id="4">
    <w:p w:rsidR="00A3009A">
      <w:pPr>
        <w:pStyle w:val="EndnoteText"/>
      </w:pPr>
      <w:r>
        <w:rPr>
          <w:rStyle w:val="EndnoteReference"/>
        </w:rPr>
        <w:endnoteRef/>
      </w:r>
      <w:r>
        <w:t xml:space="preserve"> ALLFIE, 2025, </w:t>
      </w:r>
      <w:r>
        <w:fldChar w:fldCharType="begin"/>
      </w:r>
      <w:r>
        <w:instrText xml:space="preserve"> HYPERLINK "https://www.allfie.org.uk/definitions/the-social-model-of-disability/" </w:instrText>
      </w:r>
      <w:r>
        <w:fldChar w:fldCharType="separate"/>
      </w:r>
      <w:r w:rsidRPr="00491BF4">
        <w:rPr>
          <w:rStyle w:val="Hyperlink"/>
        </w:rPr>
        <w:t>The Social Model of Disability</w:t>
      </w:r>
      <w:r>
        <w:fldChar w:fldCharType="end"/>
      </w:r>
    </w:p>
  </w:endnote>
  <w:endnote w:id="5">
    <w:p w:rsidR="00A3009A" w:rsidP="008F3825">
      <w:pPr>
        <w:pStyle w:val="EndnoteText"/>
      </w:pPr>
      <w:r>
        <w:rPr>
          <w:rStyle w:val="EndnoteReference"/>
        </w:rPr>
        <w:endnoteRef/>
      </w:r>
      <w:r>
        <w:t xml:space="preserve"> ALLFIE, 2025, </w:t>
      </w:r>
      <w:r>
        <w:fldChar w:fldCharType="begin"/>
      </w:r>
      <w:r>
        <w:instrText xml:space="preserve"> HYPERLINK "https://www.allfie.org.uk/definitions/the-social-model-of-disability/" </w:instrText>
      </w:r>
      <w:r>
        <w:fldChar w:fldCharType="separate"/>
      </w:r>
      <w:r w:rsidRPr="00BF1428">
        <w:rPr>
          <w:rStyle w:val="Hyperlink"/>
        </w:rPr>
        <w:t>The Social Model of Disability</w:t>
      </w:r>
      <w:r>
        <w:fldChar w:fldCharType="end"/>
      </w:r>
    </w:p>
  </w:endnote>
  <w:endnote w:id="6">
    <w:p w:rsidR="00A3009A">
      <w:pPr>
        <w:pStyle w:val="EndnoteText"/>
      </w:pPr>
      <w:r>
        <w:rPr>
          <w:rStyle w:val="EndnoteReference"/>
        </w:rPr>
        <w:endnoteRef/>
      </w:r>
      <w:r>
        <w:t xml:space="preserve"> Department for Education, 2026, </w:t>
      </w:r>
      <w:r>
        <w:fldChar w:fldCharType="begin"/>
      </w:r>
      <w:r>
        <w:instrText xml:space="preserve"> HYPERLINK "https://www.gov.uk/government/publications/every-child-achieving-and-thriving/every-child-achieving-and-thriving-html-version" </w:instrText>
      </w:r>
      <w:r>
        <w:fldChar w:fldCharType="separate"/>
      </w:r>
      <w:r w:rsidRPr="00491BF4">
        <w:rPr>
          <w:rStyle w:val="Hyperlink"/>
        </w:rPr>
        <w:t>Every Child Achieving and Thriving</w:t>
      </w:r>
      <w:r>
        <w:fldChar w:fldCharType="end"/>
      </w:r>
    </w:p>
  </w:endnote>
  <w:endnote w:id="7">
    <w:p w:rsidR="00A3009A">
      <w:pPr>
        <w:pStyle w:val="EndnoteText"/>
      </w:pPr>
      <w:r>
        <w:rPr>
          <w:rStyle w:val="EndnoteReference"/>
        </w:rPr>
        <w:endnoteRef/>
      </w:r>
      <w:r>
        <w:t xml:space="preserve"> The Sutton Trust, 2026,</w:t>
      </w:r>
      <w:r>
        <w:t xml:space="preserve"> </w:t>
      </w:r>
      <w:r>
        <w:fldChar w:fldCharType="begin"/>
      </w:r>
      <w:r>
        <w:instrText xml:space="preserve"> HYPERLINK "https://www.suttontrust.com/wp-content/uploads/2026/03/Selective-Inclusion-1.pdf" </w:instrText>
      </w:r>
      <w:r>
        <w:fldChar w:fldCharType="separate"/>
      </w:r>
      <w:r w:rsidRPr="00ED244F">
        <w:rPr>
          <w:rStyle w:val="Hyperlink"/>
        </w:rPr>
        <w:t>Selective Inclusion</w:t>
      </w:r>
      <w:r>
        <w:fldChar w:fldCharType="end"/>
      </w:r>
    </w:p>
  </w:endnote>
  <w:endnote w:id="8">
    <w:p w:rsidR="00A3009A">
      <w:pPr>
        <w:pStyle w:val="EndnoteText"/>
      </w:pPr>
      <w:r>
        <w:rPr>
          <w:rStyle w:val="EndnoteReference"/>
        </w:rPr>
        <w:endnoteRef/>
      </w:r>
      <w:r>
        <w:t xml:space="preserve"> Education Data Lab, 2025, </w:t>
      </w:r>
      <w:r>
        <w:fldChar w:fldCharType="begin"/>
      </w:r>
      <w:r>
        <w:instrText xml:space="preserve"> HYPERLINK "https://ffteducationdatalab.org.uk/2025/08/gcse-results-2025-the-main-trends-in-grades-and-entries/" </w:instrText>
      </w:r>
      <w:r>
        <w:fldChar w:fldCharType="separate"/>
      </w:r>
      <w:r w:rsidRPr="000F1278">
        <w:rPr>
          <w:rStyle w:val="Hyperlink"/>
        </w:rPr>
        <w:t>GCSE results 2025: The main trends in grades and entries</w:t>
      </w:r>
      <w:r>
        <w:fldChar w:fldCharType="end"/>
      </w:r>
    </w:p>
  </w:endnote>
  <w:endnote w:id="9">
    <w:p w:rsidR="00A3009A">
      <w:pPr>
        <w:pStyle w:val="EndnoteText"/>
      </w:pPr>
      <w:r>
        <w:rPr>
          <w:rStyle w:val="EndnoteReference"/>
        </w:rPr>
        <w:endnoteRef/>
      </w:r>
      <w:r>
        <w:t xml:space="preserve"> Ofqual, 2022, </w:t>
      </w:r>
      <w:r>
        <w:fldChar w:fldCharType="begin"/>
      </w:r>
      <w:r>
        <w:instrText xml:space="preserve"> HYPERLINK "https://www.gov.uk/government/publications/teacher-assessed-grades-in-summer-2022-interviews-and-surveys/teacher-assessed-grades-in-summer-2021-surveys" \l "tag-teaching-staff-survey-results" </w:instrText>
      </w:r>
      <w:r>
        <w:fldChar w:fldCharType="separate"/>
      </w:r>
      <w:r w:rsidRPr="002565D5">
        <w:rPr>
          <w:rStyle w:val="Hyperlink"/>
        </w:rPr>
        <w:t>Teacher Assessed Grades in summer 2021: Surveys</w:t>
      </w:r>
      <w:r>
        <w:fldChar w:fldCharType="end"/>
      </w:r>
    </w:p>
  </w:endnote>
  <w:endnote w:id="10">
    <w:p w:rsidR="00A3009A">
      <w:pPr>
        <w:pStyle w:val="EndnoteText"/>
      </w:pPr>
      <w:r>
        <w:rPr>
          <w:rStyle w:val="EndnoteReference"/>
        </w:rPr>
        <w:endnoteRef/>
      </w:r>
      <w:r>
        <w:t xml:space="preserve"> Ofsted &amp; Care Quality Commission, 2025, </w:t>
      </w:r>
      <w:r>
        <w:fldChar w:fldCharType="begin"/>
      </w:r>
      <w:r>
        <w:instrText xml:space="preserve"> HYPERLINK "https://www.gov.uk/government/publications/the-experiences-of-children-with-send-who-are-not-in-school-a-thematic-review/beyond-the-classroom-the-experiences-of-children-with-send-who-are-not-in-school" \l "the-reasons-why-children-with-send-are-not-in-school" </w:instrText>
      </w:r>
      <w:r>
        <w:fldChar w:fldCharType="separate"/>
      </w:r>
      <w:r w:rsidRPr="00E426C3">
        <w:rPr>
          <w:rStyle w:val="Hyperlink"/>
        </w:rPr>
        <w:t>Beyond the classroom: the experiences of children with SEND not in school</w:t>
      </w:r>
      <w:r>
        <w:fldChar w:fldCharType="end"/>
      </w:r>
    </w:p>
  </w:endnote>
  <w:endnote w:id="11">
    <w:p w:rsidR="00A3009A">
      <w:pPr>
        <w:pStyle w:val="EndnoteText"/>
      </w:pPr>
      <w:r>
        <w:rPr>
          <w:rStyle w:val="EndnoteReference"/>
        </w:rPr>
        <w:endnoteRef/>
      </w:r>
      <w:r>
        <w:t xml:space="preserve"> Ibid</w:t>
      </w:r>
    </w:p>
  </w:endnote>
  <w:endnote w:id="12">
    <w:p w:rsidR="00A3009A">
      <w:pPr>
        <w:pStyle w:val="EndnoteText"/>
      </w:pPr>
      <w:r>
        <w:rPr>
          <w:rStyle w:val="EndnoteReference"/>
        </w:rPr>
        <w:endnoteRef/>
      </w:r>
      <w:r>
        <w:t xml:space="preserve"> Joe Whittaker, 2020, </w:t>
      </w:r>
      <w:r>
        <w:fldChar w:fldCharType="begin"/>
      </w:r>
      <w:r>
        <w:instrText xml:space="preserve"> HYPERLINK "https://www.allfie.org.uk/resources/inclusion-now/inclusion-now-57/the-24-hour-school/" </w:instrText>
      </w:r>
      <w:r>
        <w:fldChar w:fldCharType="separate"/>
      </w:r>
      <w:r w:rsidRPr="00C31B54">
        <w:rPr>
          <w:rStyle w:val="Hyperlink"/>
        </w:rPr>
        <w:t>The 24 Hour School</w:t>
      </w:r>
      <w:r>
        <w:fldChar w:fldCharType="end"/>
      </w:r>
    </w:p>
  </w:endnote>
  <w:endnote w:id="13">
    <w:p w:rsidR="00A3009A">
      <w:pPr>
        <w:pStyle w:val="EndnoteText"/>
      </w:pPr>
      <w:r>
        <w:rPr>
          <w:rStyle w:val="EndnoteReference"/>
        </w:rPr>
        <w:endnoteRef/>
      </w:r>
      <w:r>
        <w:t xml:space="preserve"> British Educational Suppliers Association, 2025, </w:t>
      </w:r>
      <w:r>
        <w:fldChar w:fldCharType="begin"/>
      </w:r>
      <w:r>
        <w:instrText xml:space="preserve"> HYPERLINK "https://www.besa.org.uk/wp-content/uploads/2025/05/The-MAT-Report-2025-BESA-Research-1.pdf" </w:instrText>
      </w:r>
      <w:r>
        <w:fldChar w:fldCharType="separate"/>
      </w:r>
      <w:r w:rsidRPr="005A0E62">
        <w:rPr>
          <w:rStyle w:val="Hyperlink"/>
        </w:rPr>
        <w:t>The MAT Report 2025</w:t>
      </w:r>
      <w:r>
        <w:fldChar w:fldCharType="end"/>
      </w:r>
      <w:r>
        <w:t>, pg. 21</w:t>
      </w:r>
    </w:p>
  </w:endnote>
  <w:endnote w:id="14">
    <w:p w:rsidR="00A3009A">
      <w:pPr>
        <w:pStyle w:val="EndnoteText"/>
      </w:pPr>
      <w:r>
        <w:rPr>
          <w:rStyle w:val="EndnoteReference"/>
        </w:rPr>
        <w:endnoteRef/>
      </w:r>
      <w:r>
        <w:t xml:space="preserve"> Department for Education, 2026</w:t>
      </w:r>
    </w:p>
  </w:endnote>
  <w:endnote w:id="15">
    <w:p w:rsidR="00A3009A">
      <w:pPr>
        <w:pStyle w:val="EndnoteText"/>
      </w:pPr>
      <w:r>
        <w:rPr>
          <w:rStyle w:val="EndnoteReference"/>
        </w:rPr>
        <w:endnoteRef/>
      </w:r>
      <w:r>
        <w:t xml:space="preserve"> IMP Software and Confederation of School Trusts, 2025, </w:t>
      </w:r>
      <w:r>
        <w:fldChar w:fldCharType="begin"/>
      </w:r>
      <w:r>
        <w:instrText xml:space="preserve"> HYPERLINK "https://impsoftware.co.uk/wp-content/uploads/2025/10/IMP-MAT-Finance-Sector-Insight-Report-2025.pdf" </w:instrText>
      </w:r>
      <w:r>
        <w:fldChar w:fldCharType="separate"/>
      </w:r>
      <w:r w:rsidRPr="001D2130">
        <w:rPr>
          <w:rStyle w:val="Hyperlink"/>
        </w:rPr>
        <w:t>MAT Finance Sector Insight Report 2025</w:t>
      </w:r>
      <w:r>
        <w:fldChar w:fldCharType="end"/>
      </w:r>
      <w:r>
        <w:t>, pg. 8</w:t>
      </w:r>
    </w:p>
  </w:endnote>
  <w:endnote w:id="16">
    <w:p w:rsidR="00A3009A">
      <w:pPr>
        <w:pStyle w:val="EndnoteText"/>
      </w:pPr>
      <w:r>
        <w:rPr>
          <w:rStyle w:val="EndnoteReference"/>
        </w:rPr>
        <w:endnoteRef/>
      </w:r>
      <w:r>
        <w:t xml:space="preserve"> British Educational Suppliers Association, 2025, </w:t>
      </w:r>
      <w:r>
        <w:fldChar w:fldCharType="begin"/>
      </w:r>
      <w:r>
        <w:instrText xml:space="preserve"> HYPERLINK "https://www.besa.org.uk/wp-content/uploads/2025/05/The-MAT-Report-2025-BESA-Research-1.pdf" </w:instrText>
      </w:r>
      <w:r>
        <w:fldChar w:fldCharType="separate"/>
      </w:r>
      <w:r w:rsidRPr="005A0E62">
        <w:rPr>
          <w:rStyle w:val="Hyperlink"/>
        </w:rPr>
        <w:t>The MAT Report 2025</w:t>
      </w:r>
      <w:r>
        <w:fldChar w:fldCharType="end"/>
      </w:r>
      <w:r>
        <w:t>, pg. 32</w:t>
      </w:r>
    </w:p>
  </w:endnote>
  <w:endnote w:id="17">
    <w:p w:rsidR="00A3009A">
      <w:pPr>
        <w:pStyle w:val="EndnoteText"/>
      </w:pPr>
      <w:r>
        <w:rPr>
          <w:rStyle w:val="EndnoteReference"/>
        </w:rPr>
        <w:endnoteRef/>
      </w:r>
      <w:r>
        <w:t xml:space="preserve"> ALLFIE analysis of </w:t>
      </w:r>
      <w:r>
        <w:t xml:space="preserve">Gov.uk, 2025, </w:t>
      </w:r>
      <w:r>
        <w:fldChar w:fldCharType="begin"/>
      </w:r>
      <w:r>
        <w:instrText xml:space="preserve"> HYPERLINK "https://www.compare-school-performance.service.gov.uk/" </w:instrText>
      </w:r>
      <w:r>
        <w:fldChar w:fldCharType="separate"/>
      </w:r>
      <w:r w:rsidRPr="00964798">
        <w:rPr>
          <w:rStyle w:val="Hyperlink"/>
        </w:rPr>
        <w:t>Compare school and college performance in England</w:t>
      </w:r>
      <w:r>
        <w:fldChar w:fldCharType="end"/>
      </w:r>
      <w:r>
        <w:t xml:space="preserve">, tables England_ks4-mats-performance and </w:t>
      </w:r>
      <w:r>
        <w:t>england_ks4final (with appropriate removal of MAT data and independent and special school data).</w:t>
      </w:r>
    </w:p>
  </w:endnote>
  <w:endnote w:id="18">
    <w:p w:rsidR="00A3009A">
      <w:pPr>
        <w:pStyle w:val="EndnoteText"/>
      </w:pPr>
      <w:r>
        <w:rPr>
          <w:rStyle w:val="EndnoteReference"/>
        </w:rPr>
        <w:endnoteRef/>
      </w:r>
      <w:r>
        <w:t xml:space="preserve"> Ibid</w:t>
      </w:r>
    </w:p>
  </w:endnote>
  <w:endnote w:id="19">
    <w:p w:rsidR="00A3009A">
      <w:pPr>
        <w:pStyle w:val="EndnoteText"/>
      </w:pPr>
      <w:r>
        <w:rPr>
          <w:rStyle w:val="EndnoteReference"/>
        </w:rPr>
        <w:endnoteRef/>
      </w:r>
      <w:r>
        <w:t xml:space="preserve"> Billie Dolling, </w:t>
      </w:r>
      <w:r>
        <w:t xml:space="preserve">2021, </w:t>
      </w:r>
      <w:r>
        <w:fldChar w:fldCharType="begin"/>
      </w:r>
      <w:r>
        <w:instrText xml:space="preserve"> HYPERLINK "https://www.allfie.org.uk/resources/inclusion-now/inclusion-now-60/making-a-difference-in-schools-for-gypsy-and-traveller-children-and-young-people/" </w:instrText>
      </w:r>
      <w:r>
        <w:fldChar w:fldCharType="separate"/>
      </w:r>
      <w:r w:rsidRPr="00E34312">
        <w:rPr>
          <w:rStyle w:val="Hyperlink"/>
        </w:rPr>
        <w:t>Making a Difference in schools for Gypsy and Traveller Children and Young People</w:t>
      </w:r>
      <w:r>
        <w:fldChar w:fldCharType="end"/>
      </w:r>
    </w:p>
  </w:endnote>
  <w:endnote w:id="20">
    <w:p w:rsidR="00A3009A">
      <w:pPr>
        <w:pStyle w:val="EndnoteText"/>
      </w:pPr>
      <w:r>
        <w:rPr>
          <w:rStyle w:val="EndnoteReference"/>
        </w:rPr>
        <w:endnoteRef/>
      </w:r>
      <w:r>
        <w:t xml:space="preserve"> Department for Education, 2026, </w:t>
      </w:r>
      <w:r>
        <w:fldChar w:fldCharType="begin"/>
      </w:r>
      <w:r>
        <w:instrText xml:space="preserve"> HYPERLINK "https://explore-education-statistics.service.gov.uk/find-statistics/suspensions-and-permanent-exclusions-in-england/2024-25" \l "section-pupil-characteristics" </w:instrText>
      </w:r>
      <w:r>
        <w:fldChar w:fldCharType="separate"/>
      </w:r>
      <w:r w:rsidRPr="008B5AB3">
        <w:rPr>
          <w:rStyle w:val="Hyperlink"/>
        </w:rPr>
        <w:t>Suspensions and permanent exclusions in England: Academic year 2024/25</w:t>
      </w:r>
      <w:r>
        <w:fldChar w:fldCharType="end"/>
      </w:r>
    </w:p>
  </w:endnote>
  <w:endnote w:id="21">
    <w:p w:rsidR="00A3009A">
      <w:pPr>
        <w:pStyle w:val="EndnoteText"/>
      </w:pPr>
      <w:r>
        <w:rPr>
          <w:rStyle w:val="EndnoteReference"/>
        </w:rPr>
        <w:endnoteRef/>
      </w:r>
      <w:r>
        <w:t xml:space="preserve"> Ibid</w:t>
      </w:r>
    </w:p>
  </w:endnote>
  <w:endnote w:id="22">
    <w:p w:rsidR="00A3009A">
      <w:pPr>
        <w:pStyle w:val="EndnoteText"/>
      </w:pPr>
      <w:r>
        <w:rPr>
          <w:rStyle w:val="EndnoteReference"/>
        </w:rPr>
        <w:endnoteRef/>
      </w:r>
      <w:r>
        <w:t xml:space="preserve"> </w:t>
      </w:r>
      <w:r>
        <w:t xml:space="preserve">Kyle Tormey for Tes, 2026, </w:t>
      </w:r>
      <w:r>
        <w:fldChar w:fldCharType="begin"/>
      </w:r>
      <w:r>
        <w:instrText xml:space="preserve"> HYPERLINK "https://www.tes.com/magazine/news/general/suspensions-and-exclusions-data-sanctions-pupils-ehcps-rise?utm_campaign=344324303-Magazine_Newsletters_Daily&amp;utm_medium=email&amp;_hsenc=p2ANqtz-82gEy2GBDdfE0Lbt7M6uj9QAwUH9RyyushQ298p4DvpE-K7nX9jlrQ77oNaZRRwZ4bq_7T9W1k47TUd_wMWmYMVxmyQA&amp;_hsmi=140410456&amp;utm_content=140410456&amp;utm_source=hs_email" </w:instrText>
      </w:r>
      <w:r>
        <w:fldChar w:fldCharType="separate"/>
      </w:r>
      <w:r w:rsidRPr="00B97B01">
        <w:rPr>
          <w:rStyle w:val="Hyperlink"/>
        </w:rPr>
        <w:t>Suspensions and exclusions data: sanctions for pupils with EHCPs rise</w:t>
      </w:r>
      <w:r>
        <w:fldChar w:fldCharType="end"/>
      </w:r>
    </w:p>
  </w:endnote>
  <w:endnote w:id="23">
    <w:p w:rsidR="00A3009A">
      <w:pPr>
        <w:pStyle w:val="EndnoteText"/>
      </w:pPr>
      <w:r>
        <w:rPr>
          <w:rStyle w:val="EndnoteReference"/>
        </w:rPr>
        <w:endnoteRef/>
      </w:r>
      <w:r>
        <w:t xml:space="preserve"> ALLFIE, 2024, </w:t>
      </w:r>
      <w:r>
        <w:fldChar w:fldCharType="begin"/>
      </w:r>
      <w:r>
        <w:instrText xml:space="preserve"> HYPERLINK "https://www.allfie.org.uk/wp-content/uploads/2024/04/FULL-REPORT-Lived-Experience-of-BGM-Disabled-Pupils-and-their-Families-in-Mainstream-Education-Apr-24.pdf" </w:instrText>
      </w:r>
      <w:r>
        <w:fldChar w:fldCharType="separate"/>
      </w:r>
      <w:r w:rsidRPr="00893BF9">
        <w:rPr>
          <w:rStyle w:val="Hyperlink"/>
        </w:rPr>
        <w:t>Lived Experience of Black/Global Majority Disabled Pupils and their Families in Mainstream Education</w:t>
      </w:r>
      <w:r>
        <w:fldChar w:fldCharType="end"/>
      </w:r>
    </w:p>
  </w:endnote>
  <w:endnote w:id="24">
    <w:p w:rsidR="00A3009A">
      <w:pPr>
        <w:pStyle w:val="EndnoteText"/>
      </w:pPr>
      <w:r>
        <w:rPr>
          <w:rStyle w:val="EndnoteReference"/>
        </w:rPr>
        <w:endnoteRef/>
      </w:r>
      <w:r>
        <w:t xml:space="preserve"> Young people’s contributions to ALLFIE’s SEND Reform Consultation events, March 2026</w:t>
      </w:r>
    </w:p>
  </w:endnote>
  <w:endnote w:id="25">
    <w:p w:rsidR="00A3009A">
      <w:pPr>
        <w:pStyle w:val="EndnoteText"/>
      </w:pPr>
      <w:r>
        <w:rPr>
          <w:rStyle w:val="EndnoteReference"/>
        </w:rPr>
        <w:endnoteRef/>
      </w:r>
      <w:r>
        <w:t xml:space="preserve"> Parent’s contributions to ALLFIE’s SEND Reform Consultation events, March 2026</w:t>
      </w:r>
    </w:p>
    <w:p w:rsidR="00CB14CB">
      <w:pPr>
        <w:pStyle w:val="EndnoteText"/>
      </w:pPr>
    </w:p>
    <w:p w:rsidR="00CB14CB" w:rsidRPr="00CB14CB">
      <w:pPr>
        <w:pStyle w:val="EndnoteText"/>
        <w:rPr>
          <w:i/>
          <w:iCs/>
        </w:rPr>
      </w:pPr>
      <w:r w:rsidRPr="00CB14CB">
        <w:rPr>
          <w:i/>
          <w:iCs/>
        </w:rPr>
        <w:t>September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95571D"/>
    <w:multiLevelType w:val="hybridMultilevel"/>
    <w:tmpl w:val="7EF4EC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010971"/>
    <w:multiLevelType w:val="hybridMultilevel"/>
    <w:tmpl w:val="DCE6E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F34B8E"/>
    <w:multiLevelType w:val="hybridMultilevel"/>
    <w:tmpl w:val="8BC0EEDC"/>
    <w:lvl w:ilvl="0">
      <w:start w:val="1"/>
      <w:numFmt w:val="bullet"/>
      <w:lvlText w:val=""/>
      <w:lvlJc w:val="left"/>
      <w:pPr>
        <w:ind w:left="796" w:hanging="360"/>
      </w:pPr>
      <w:rPr>
        <w:rFonts w:ascii="Symbol" w:hAnsi="Symbol" w:hint="default"/>
      </w:rPr>
    </w:lvl>
    <w:lvl w:ilvl="1" w:tentative="1">
      <w:start w:val="1"/>
      <w:numFmt w:val="bullet"/>
      <w:lvlText w:val="o"/>
      <w:lvlJc w:val="left"/>
      <w:pPr>
        <w:ind w:left="1516" w:hanging="360"/>
      </w:pPr>
      <w:rPr>
        <w:rFonts w:ascii="Courier New" w:hAnsi="Courier New" w:cs="Courier New" w:hint="default"/>
      </w:rPr>
    </w:lvl>
    <w:lvl w:ilvl="2" w:tentative="1">
      <w:start w:val="1"/>
      <w:numFmt w:val="bullet"/>
      <w:lvlText w:val=""/>
      <w:lvlJc w:val="left"/>
      <w:pPr>
        <w:ind w:left="2236" w:hanging="360"/>
      </w:pPr>
      <w:rPr>
        <w:rFonts w:ascii="Wingdings" w:hAnsi="Wingdings" w:hint="default"/>
      </w:rPr>
    </w:lvl>
    <w:lvl w:ilvl="3" w:tentative="1">
      <w:start w:val="1"/>
      <w:numFmt w:val="bullet"/>
      <w:lvlText w:val=""/>
      <w:lvlJc w:val="left"/>
      <w:pPr>
        <w:ind w:left="2956" w:hanging="360"/>
      </w:pPr>
      <w:rPr>
        <w:rFonts w:ascii="Symbol" w:hAnsi="Symbol" w:hint="default"/>
      </w:rPr>
    </w:lvl>
    <w:lvl w:ilvl="4" w:tentative="1">
      <w:start w:val="1"/>
      <w:numFmt w:val="bullet"/>
      <w:lvlText w:val="o"/>
      <w:lvlJc w:val="left"/>
      <w:pPr>
        <w:ind w:left="3676" w:hanging="360"/>
      </w:pPr>
      <w:rPr>
        <w:rFonts w:ascii="Courier New" w:hAnsi="Courier New" w:cs="Courier New" w:hint="default"/>
      </w:rPr>
    </w:lvl>
    <w:lvl w:ilvl="5" w:tentative="1">
      <w:start w:val="1"/>
      <w:numFmt w:val="bullet"/>
      <w:lvlText w:val=""/>
      <w:lvlJc w:val="left"/>
      <w:pPr>
        <w:ind w:left="4396" w:hanging="360"/>
      </w:pPr>
      <w:rPr>
        <w:rFonts w:ascii="Wingdings" w:hAnsi="Wingdings" w:hint="default"/>
      </w:rPr>
    </w:lvl>
    <w:lvl w:ilvl="6" w:tentative="1">
      <w:start w:val="1"/>
      <w:numFmt w:val="bullet"/>
      <w:lvlText w:val=""/>
      <w:lvlJc w:val="left"/>
      <w:pPr>
        <w:ind w:left="5116" w:hanging="360"/>
      </w:pPr>
      <w:rPr>
        <w:rFonts w:ascii="Symbol" w:hAnsi="Symbol" w:hint="default"/>
      </w:rPr>
    </w:lvl>
    <w:lvl w:ilvl="7" w:tentative="1">
      <w:start w:val="1"/>
      <w:numFmt w:val="bullet"/>
      <w:lvlText w:val="o"/>
      <w:lvlJc w:val="left"/>
      <w:pPr>
        <w:ind w:left="5836" w:hanging="360"/>
      </w:pPr>
      <w:rPr>
        <w:rFonts w:ascii="Courier New" w:hAnsi="Courier New" w:cs="Courier New" w:hint="default"/>
      </w:rPr>
    </w:lvl>
    <w:lvl w:ilvl="8" w:tentative="1">
      <w:start w:val="1"/>
      <w:numFmt w:val="bullet"/>
      <w:lvlText w:val=""/>
      <w:lvlJc w:val="left"/>
      <w:pPr>
        <w:ind w:left="6556" w:hanging="360"/>
      </w:pPr>
      <w:rPr>
        <w:rFonts w:ascii="Wingdings" w:hAnsi="Wingdings" w:hint="default"/>
      </w:rPr>
    </w:lvl>
  </w:abstractNum>
  <w:abstractNum w:abstractNumId="3">
    <w:nsid w:val="109553DE"/>
    <w:multiLevelType w:val="hybridMultilevel"/>
    <w:tmpl w:val="74625A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77E3DC6"/>
    <w:multiLevelType w:val="hybridMultilevel"/>
    <w:tmpl w:val="4BAA37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7CE3489"/>
    <w:multiLevelType w:val="hybridMultilevel"/>
    <w:tmpl w:val="52028F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89D3939"/>
    <w:multiLevelType w:val="hybridMultilevel"/>
    <w:tmpl w:val="E200B0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AFD0665"/>
    <w:multiLevelType w:val="hybridMultilevel"/>
    <w:tmpl w:val="F4A4BA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C0E3DE3"/>
    <w:multiLevelType w:val="hybridMultilevel"/>
    <w:tmpl w:val="F22887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BA907D2"/>
    <w:multiLevelType w:val="hybridMultilevel"/>
    <w:tmpl w:val="4B80C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6921A90"/>
    <w:multiLevelType w:val="hybridMultilevel"/>
    <w:tmpl w:val="9A6464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B7D43FC"/>
    <w:multiLevelType w:val="hybridMultilevel"/>
    <w:tmpl w:val="95AA27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5"/>
  </w:num>
  <w:num w:numId="6">
    <w:abstractNumId w:val="11"/>
  </w:num>
  <w:num w:numId="7">
    <w:abstractNumId w:val="3"/>
  </w:num>
  <w:num w:numId="8">
    <w:abstractNumId w:val="8"/>
  </w:num>
  <w:num w:numId="9">
    <w:abstractNumId w:val="4"/>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003A"/>
    <w:pPr>
      <w:spacing w:before="240" w:after="120"/>
    </w:pPr>
    <w:rPr>
      <w:rFonts w:ascii="Arial" w:hAnsi="Arial"/>
      <w:sz w:val="28"/>
    </w:rPr>
  </w:style>
  <w:style w:type="paragraph" w:styleId="Heading1">
    <w:name w:val="heading 1"/>
    <w:basedOn w:val="Normal"/>
    <w:next w:val="Normal"/>
    <w:link w:val="Heading1Char"/>
    <w:uiPriority w:val="9"/>
    <w:qFormat/>
    <w:rsid w:val="00E45E0F"/>
    <w:pPr>
      <w:keepNext/>
      <w:keepLines/>
      <w:spacing w:line="276" w:lineRule="auto"/>
      <w:outlineLvl w:val="0"/>
    </w:pPr>
    <w:rPr>
      <w:rFonts w:eastAsiaTheme="majorEastAsia" w:cstheme="majorBidi"/>
      <w:b/>
      <w:color w:val="000000" w:themeColor="text1"/>
      <w:sz w:val="40"/>
      <w:szCs w:val="40"/>
    </w:rPr>
  </w:style>
  <w:style w:type="paragraph" w:styleId="Heading2">
    <w:name w:val="heading 2"/>
    <w:basedOn w:val="Normal"/>
    <w:next w:val="Normal"/>
    <w:link w:val="Heading2Char"/>
    <w:uiPriority w:val="9"/>
    <w:unhideWhenUsed/>
    <w:qFormat/>
    <w:rsid w:val="00E45E0F"/>
    <w:pPr>
      <w:keepNext/>
      <w:keepLines/>
      <w:spacing w:before="480" w:after="0" w:line="276" w:lineRule="auto"/>
      <w:outlineLvl w:val="1"/>
    </w:pPr>
    <w:rPr>
      <w:rFonts w:eastAsiaTheme="majorEastAsia" w:cs="Arial"/>
      <w:b/>
      <w:bCs/>
      <w:color w:val="512F8F" w:themeColor="text2"/>
      <w:sz w:val="36"/>
      <w:szCs w:val="32"/>
    </w:rPr>
  </w:style>
  <w:style w:type="paragraph" w:styleId="Heading3">
    <w:name w:val="heading 3"/>
    <w:basedOn w:val="Normal"/>
    <w:next w:val="Normal"/>
    <w:link w:val="Heading3Char"/>
    <w:autoRedefine/>
    <w:uiPriority w:val="9"/>
    <w:unhideWhenUsed/>
    <w:qFormat/>
    <w:rsid w:val="008146F3"/>
    <w:pPr>
      <w:keepNext/>
      <w:keepLines/>
      <w:spacing w:before="360" w:after="80" w:line="276" w:lineRule="auto"/>
      <w:outlineLvl w:val="2"/>
    </w:pPr>
    <w:rPr>
      <w:rFonts w:eastAsiaTheme="majorEastAsia" w:cstheme="majorBidi"/>
      <w:b/>
      <w:sz w:val="32"/>
      <w:szCs w:val="28"/>
    </w:rPr>
  </w:style>
  <w:style w:type="paragraph" w:styleId="Heading4">
    <w:name w:val="heading 4"/>
    <w:basedOn w:val="Normal"/>
    <w:next w:val="Normal"/>
    <w:link w:val="Heading4Char"/>
    <w:uiPriority w:val="9"/>
    <w:semiHidden/>
    <w:unhideWhenUsed/>
    <w:qFormat/>
    <w:rsid w:val="00E45E0F"/>
    <w:pPr>
      <w:keepNext/>
      <w:keepLines/>
      <w:spacing w:before="80" w:after="40"/>
      <w:outlineLvl w:val="3"/>
    </w:pPr>
    <w:rPr>
      <w:rFonts w:eastAsiaTheme="majorEastAsia" w:cstheme="majorBidi"/>
      <w:b/>
      <w:iCs/>
      <w:color w:val="512F8F" w:themeColor="text2"/>
    </w:rPr>
  </w:style>
  <w:style w:type="paragraph" w:styleId="Heading5">
    <w:name w:val="heading 5"/>
    <w:basedOn w:val="Normal"/>
    <w:next w:val="Normal"/>
    <w:link w:val="Heading5Char"/>
    <w:uiPriority w:val="9"/>
    <w:semiHidden/>
    <w:unhideWhenUsed/>
    <w:qFormat/>
    <w:rsid w:val="0007387A"/>
    <w:pPr>
      <w:keepNext/>
      <w:keepLines/>
      <w:spacing w:before="80" w:after="40"/>
      <w:outlineLvl w:val="4"/>
    </w:pPr>
    <w:rPr>
      <w:rFonts w:asciiTheme="minorHAnsi" w:eastAsiaTheme="majorEastAsia" w:hAnsiTheme="minorHAnsi" w:cstheme="majorBidi"/>
      <w:color w:val="3C236A" w:themeColor="accent1" w:themeShade="BF"/>
    </w:rPr>
  </w:style>
  <w:style w:type="paragraph" w:styleId="Heading6">
    <w:name w:val="heading 6"/>
    <w:basedOn w:val="Normal"/>
    <w:next w:val="Normal"/>
    <w:link w:val="Heading6Char"/>
    <w:uiPriority w:val="9"/>
    <w:semiHidden/>
    <w:unhideWhenUsed/>
    <w:qFormat/>
    <w:rsid w:val="000738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38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387A"/>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387A"/>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E0F"/>
    <w:rPr>
      <w:rFonts w:ascii="Arial" w:hAnsi="Arial" w:eastAsiaTheme="majorEastAsia" w:cstheme="majorBidi"/>
      <w:b/>
      <w:color w:val="000000" w:themeColor="text1"/>
      <w:sz w:val="40"/>
      <w:szCs w:val="40"/>
    </w:rPr>
  </w:style>
  <w:style w:type="paragraph" w:styleId="Title">
    <w:name w:val="Title"/>
    <w:basedOn w:val="Normal"/>
    <w:next w:val="Normal"/>
    <w:link w:val="TitleChar"/>
    <w:uiPriority w:val="10"/>
    <w:qFormat/>
    <w:rsid w:val="00E45E0F"/>
    <w:pPr>
      <w:spacing w:line="276" w:lineRule="auto"/>
      <w:contextualSpacing/>
    </w:pPr>
    <w:rPr>
      <w:rFonts w:eastAsiaTheme="majorEastAsia" w:cstheme="majorBidi"/>
      <w:b/>
      <w:color w:val="512F8F" w:themeColor="text2"/>
      <w:spacing w:val="-10"/>
      <w:kern w:val="28"/>
      <w:sz w:val="48"/>
      <w:szCs w:val="56"/>
    </w:rPr>
  </w:style>
  <w:style w:type="character" w:customStyle="1" w:styleId="TitleChar">
    <w:name w:val="Title Char"/>
    <w:basedOn w:val="DefaultParagraphFont"/>
    <w:link w:val="Title"/>
    <w:uiPriority w:val="10"/>
    <w:rsid w:val="00E45E0F"/>
    <w:rPr>
      <w:rFonts w:ascii="Arial" w:hAnsi="Arial" w:eastAsiaTheme="majorEastAsia" w:cstheme="majorBidi"/>
      <w:b/>
      <w:color w:val="512F8F" w:themeColor="text2"/>
      <w:spacing w:val="-10"/>
      <w:kern w:val="28"/>
      <w:sz w:val="48"/>
      <w:szCs w:val="56"/>
    </w:rPr>
  </w:style>
  <w:style w:type="character" w:customStyle="1" w:styleId="Heading2Char">
    <w:name w:val="Heading 2 Char"/>
    <w:basedOn w:val="DefaultParagraphFont"/>
    <w:link w:val="Heading2"/>
    <w:uiPriority w:val="9"/>
    <w:rsid w:val="00E45E0F"/>
    <w:rPr>
      <w:rFonts w:ascii="Arial" w:hAnsi="Arial" w:eastAsiaTheme="majorEastAsia" w:cs="Arial"/>
      <w:b/>
      <w:bCs/>
      <w:color w:val="512F8F" w:themeColor="text2"/>
      <w:sz w:val="36"/>
      <w:szCs w:val="32"/>
    </w:rPr>
  </w:style>
  <w:style w:type="character" w:customStyle="1" w:styleId="Heading3Char">
    <w:name w:val="Heading 3 Char"/>
    <w:basedOn w:val="DefaultParagraphFont"/>
    <w:link w:val="Heading3"/>
    <w:uiPriority w:val="9"/>
    <w:rsid w:val="008146F3"/>
    <w:rPr>
      <w:rFonts w:ascii="Arial" w:hAnsi="Arial" w:eastAsiaTheme="majorEastAsia" w:cstheme="majorBidi"/>
      <w:b/>
      <w:sz w:val="32"/>
      <w:szCs w:val="28"/>
    </w:rPr>
  </w:style>
  <w:style w:type="character" w:customStyle="1" w:styleId="Heading4Char">
    <w:name w:val="Heading 4 Char"/>
    <w:basedOn w:val="DefaultParagraphFont"/>
    <w:link w:val="Heading4"/>
    <w:uiPriority w:val="9"/>
    <w:semiHidden/>
    <w:rsid w:val="00E45E0F"/>
    <w:rPr>
      <w:rFonts w:ascii="Arial" w:hAnsi="Arial" w:eastAsiaTheme="majorEastAsia" w:cstheme="majorBidi"/>
      <w:b/>
      <w:iCs/>
      <w:color w:val="512F8F" w:themeColor="text2"/>
      <w:sz w:val="28"/>
    </w:rPr>
  </w:style>
  <w:style w:type="character" w:customStyle="1" w:styleId="Heading5Char">
    <w:name w:val="Heading 5 Char"/>
    <w:basedOn w:val="DefaultParagraphFont"/>
    <w:link w:val="Heading5"/>
    <w:uiPriority w:val="9"/>
    <w:semiHidden/>
    <w:rsid w:val="0007387A"/>
    <w:rPr>
      <w:rFonts w:eastAsiaTheme="majorEastAsia" w:cstheme="majorBidi"/>
      <w:color w:val="3C236A" w:themeColor="accent1" w:themeShade="BF"/>
      <w:sz w:val="28"/>
    </w:rPr>
  </w:style>
  <w:style w:type="character" w:customStyle="1" w:styleId="Heading6Char">
    <w:name w:val="Heading 6 Char"/>
    <w:basedOn w:val="DefaultParagraphFont"/>
    <w:link w:val="Heading6"/>
    <w:uiPriority w:val="9"/>
    <w:semiHidden/>
    <w:rsid w:val="0007387A"/>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07387A"/>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07387A"/>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07387A"/>
    <w:rPr>
      <w:rFonts w:eastAsiaTheme="majorEastAsia" w:cstheme="majorBidi"/>
      <w:color w:val="272727" w:themeColor="text1" w:themeTint="D8"/>
      <w:sz w:val="28"/>
    </w:rPr>
  </w:style>
  <w:style w:type="paragraph" w:styleId="Subtitle">
    <w:name w:val="Subtitle"/>
    <w:basedOn w:val="Normal"/>
    <w:next w:val="Normal"/>
    <w:link w:val="SubtitleChar"/>
    <w:uiPriority w:val="11"/>
    <w:qFormat/>
    <w:rsid w:val="0007387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73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8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387A"/>
    <w:rPr>
      <w:rFonts w:ascii="Arial" w:hAnsi="Arial"/>
      <w:i/>
      <w:iCs/>
      <w:color w:val="404040" w:themeColor="text1" w:themeTint="BF"/>
      <w:sz w:val="28"/>
    </w:rPr>
  </w:style>
  <w:style w:type="paragraph" w:styleId="ListParagraph">
    <w:name w:val="List Paragraph"/>
    <w:basedOn w:val="Normal"/>
    <w:uiPriority w:val="34"/>
    <w:qFormat/>
    <w:rsid w:val="0007387A"/>
    <w:pPr>
      <w:ind w:left="720"/>
      <w:contextualSpacing/>
    </w:pPr>
  </w:style>
  <w:style w:type="character" w:styleId="IntenseEmphasis">
    <w:name w:val="Intense Emphasis"/>
    <w:basedOn w:val="DefaultParagraphFont"/>
    <w:uiPriority w:val="21"/>
    <w:qFormat/>
    <w:rsid w:val="0007387A"/>
    <w:rPr>
      <w:i/>
      <w:iCs/>
      <w:color w:val="3C236A" w:themeColor="accent1" w:themeShade="BF"/>
    </w:rPr>
  </w:style>
  <w:style w:type="paragraph" w:styleId="IntenseQuote">
    <w:name w:val="Intense Quote"/>
    <w:basedOn w:val="Normal"/>
    <w:next w:val="Normal"/>
    <w:link w:val="IntenseQuoteChar"/>
    <w:uiPriority w:val="30"/>
    <w:qFormat/>
    <w:rsid w:val="0007387A"/>
    <w:pPr>
      <w:pBdr>
        <w:top w:val="single" w:sz="4" w:space="10" w:color="3C236A" w:themeColor="accent1" w:themeShade="BF"/>
        <w:bottom w:val="single" w:sz="4" w:space="10" w:color="3C236A" w:themeColor="accent1" w:themeShade="BF"/>
      </w:pBdr>
      <w:spacing w:before="360" w:after="360"/>
      <w:ind w:left="864" w:right="864"/>
      <w:jc w:val="center"/>
    </w:pPr>
    <w:rPr>
      <w:i/>
      <w:iCs/>
      <w:color w:val="3C236A" w:themeColor="accent1" w:themeShade="BF"/>
    </w:rPr>
  </w:style>
  <w:style w:type="character" w:customStyle="1" w:styleId="IntenseQuoteChar">
    <w:name w:val="Intense Quote Char"/>
    <w:basedOn w:val="DefaultParagraphFont"/>
    <w:link w:val="IntenseQuote"/>
    <w:uiPriority w:val="30"/>
    <w:rsid w:val="0007387A"/>
    <w:rPr>
      <w:rFonts w:ascii="Arial" w:hAnsi="Arial"/>
      <w:i/>
      <w:iCs/>
      <w:color w:val="3C236A" w:themeColor="accent1" w:themeShade="BF"/>
      <w:sz w:val="28"/>
    </w:rPr>
  </w:style>
  <w:style w:type="character" w:styleId="IntenseReference">
    <w:name w:val="Intense Reference"/>
    <w:basedOn w:val="DefaultParagraphFont"/>
    <w:uiPriority w:val="32"/>
    <w:qFormat/>
    <w:rsid w:val="0007387A"/>
    <w:rPr>
      <w:b/>
      <w:bCs/>
      <w:smallCaps/>
      <w:color w:val="3C236A" w:themeColor="accent1" w:themeShade="BF"/>
      <w:spacing w:val="5"/>
    </w:rPr>
  </w:style>
  <w:style w:type="paragraph" w:styleId="EndnoteText">
    <w:name w:val="endnote text"/>
    <w:basedOn w:val="Normal"/>
    <w:link w:val="EndnoteTextChar"/>
    <w:uiPriority w:val="99"/>
    <w:semiHidden/>
    <w:unhideWhenUsed/>
    <w:rsid w:val="00491BF4"/>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491BF4"/>
    <w:rPr>
      <w:rFonts w:ascii="Arial" w:hAnsi="Arial"/>
      <w:sz w:val="20"/>
      <w:szCs w:val="20"/>
    </w:rPr>
  </w:style>
  <w:style w:type="character" w:styleId="EndnoteReference">
    <w:name w:val="endnote reference"/>
    <w:basedOn w:val="DefaultParagraphFont"/>
    <w:uiPriority w:val="99"/>
    <w:semiHidden/>
    <w:unhideWhenUsed/>
    <w:rsid w:val="00491BF4"/>
    <w:rPr>
      <w:vertAlign w:val="superscript"/>
    </w:rPr>
  </w:style>
  <w:style w:type="character" w:styleId="Hyperlink">
    <w:name w:val="Hyperlink"/>
    <w:basedOn w:val="DefaultParagraphFont"/>
    <w:uiPriority w:val="99"/>
    <w:unhideWhenUsed/>
    <w:rsid w:val="00491BF4"/>
    <w:rPr>
      <w:color w:val="512F8F" w:themeColor="hyperlink"/>
      <w:u w:val="single"/>
    </w:rPr>
  </w:style>
  <w:style w:type="character" w:customStyle="1" w:styleId="UnresolvedMention1">
    <w:name w:val="Unresolved Mention1"/>
    <w:basedOn w:val="DefaultParagraphFont"/>
    <w:uiPriority w:val="99"/>
    <w:semiHidden/>
    <w:unhideWhenUsed/>
    <w:rsid w:val="00491BF4"/>
    <w:rPr>
      <w:color w:val="605E5C"/>
      <w:shd w:val="clear" w:color="auto" w:fill="E1DFDD"/>
    </w:rPr>
  </w:style>
  <w:style w:type="paragraph" w:styleId="Header">
    <w:name w:val="header"/>
    <w:basedOn w:val="Normal"/>
    <w:link w:val="HeaderChar"/>
    <w:uiPriority w:val="99"/>
    <w:unhideWhenUsed/>
    <w:rsid w:val="00406E8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06E8D"/>
    <w:rPr>
      <w:rFonts w:ascii="Arial" w:hAnsi="Arial"/>
      <w:sz w:val="28"/>
    </w:rPr>
  </w:style>
  <w:style w:type="paragraph" w:styleId="Footer">
    <w:name w:val="footer"/>
    <w:basedOn w:val="Normal"/>
    <w:link w:val="FooterChar"/>
    <w:uiPriority w:val="99"/>
    <w:unhideWhenUsed/>
    <w:rsid w:val="00406E8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06E8D"/>
    <w:rPr>
      <w:rFonts w:ascii="Arial" w:hAnsi="Arial"/>
      <w:sz w:val="28"/>
    </w:rPr>
  </w:style>
  <w:style w:type="paragraph" w:styleId="Revision">
    <w:name w:val="Revision"/>
    <w:hidden/>
    <w:uiPriority w:val="99"/>
    <w:semiHidden/>
    <w:rsid w:val="00C02348"/>
    <w:pPr>
      <w:spacing w:after="0" w:line="240" w:lineRule="auto"/>
    </w:pPr>
    <w:rPr>
      <w:rFonts w:ascii="Arial" w:hAnsi="Arial"/>
      <w:sz w:val="28"/>
    </w:rPr>
  </w:style>
  <w:style w:type="character" w:styleId="CommentReference">
    <w:name w:val="annotation reference"/>
    <w:basedOn w:val="DefaultParagraphFont"/>
    <w:uiPriority w:val="99"/>
    <w:semiHidden/>
    <w:unhideWhenUsed/>
    <w:rsid w:val="00A9420C"/>
    <w:rPr>
      <w:sz w:val="16"/>
      <w:szCs w:val="16"/>
    </w:rPr>
  </w:style>
  <w:style w:type="paragraph" w:styleId="CommentText">
    <w:name w:val="annotation text"/>
    <w:basedOn w:val="Normal"/>
    <w:link w:val="CommentTextChar"/>
    <w:uiPriority w:val="99"/>
    <w:unhideWhenUsed/>
    <w:rsid w:val="00A9420C"/>
    <w:pPr>
      <w:spacing w:line="240" w:lineRule="auto"/>
    </w:pPr>
    <w:rPr>
      <w:sz w:val="20"/>
      <w:szCs w:val="20"/>
    </w:rPr>
  </w:style>
  <w:style w:type="character" w:customStyle="1" w:styleId="CommentTextChar">
    <w:name w:val="Comment Text Char"/>
    <w:basedOn w:val="DefaultParagraphFont"/>
    <w:link w:val="CommentText"/>
    <w:uiPriority w:val="99"/>
    <w:rsid w:val="00A9420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9420C"/>
    <w:rPr>
      <w:b/>
      <w:bCs/>
    </w:rPr>
  </w:style>
  <w:style w:type="character" w:customStyle="1" w:styleId="CommentSubjectChar">
    <w:name w:val="Comment Subject Char"/>
    <w:basedOn w:val="CommentTextChar"/>
    <w:link w:val="CommentSubject"/>
    <w:uiPriority w:val="99"/>
    <w:semiHidden/>
    <w:rsid w:val="00A9420C"/>
    <w:rPr>
      <w:rFonts w:ascii="Arial" w:hAnsi="Arial"/>
      <w:b/>
      <w:bCs/>
      <w:sz w:val="20"/>
      <w:szCs w:val="20"/>
    </w:rPr>
  </w:style>
  <w:style w:type="character" w:customStyle="1" w:styleId="Mention1">
    <w:name w:val="Mention1"/>
    <w:basedOn w:val="DefaultParagraphFont"/>
    <w:uiPriority w:val="99"/>
    <w:unhideWhenUsed/>
    <w:rsid w:val="00A9420C"/>
    <w:rPr>
      <w:color w:val="2B579A"/>
      <w:shd w:val="clear" w:color="auto" w:fill="E1DFDD"/>
    </w:rPr>
  </w:style>
  <w:style w:type="paragraph" w:styleId="NormalWeb">
    <w:name w:val="Normal (Web)"/>
    <w:basedOn w:val="Normal"/>
    <w:uiPriority w:val="99"/>
    <w:semiHidden/>
    <w:unhideWhenUsed/>
    <w:rsid w:val="00E17BE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ALLFIE Colours">
  <a:themeElements>
    <a:clrScheme name="ALLFIE coloursa">
      <a:dk1>
        <a:sysClr val="windowText" lastClr="000000"/>
      </a:dk1>
      <a:lt1>
        <a:sysClr val="window" lastClr="FFFFFF"/>
      </a:lt1>
      <a:dk2>
        <a:srgbClr val="512F8F"/>
      </a:dk2>
      <a:lt2>
        <a:srgbClr val="F6F3FA"/>
      </a:lt2>
      <a:accent1>
        <a:srgbClr val="512F8F"/>
      </a:accent1>
      <a:accent2>
        <a:srgbClr val="FFDB36"/>
      </a:accent2>
      <a:accent3>
        <a:srgbClr val="C4B1E5"/>
      </a:accent3>
      <a:accent4>
        <a:srgbClr val="FFEA93"/>
      </a:accent4>
      <a:accent5>
        <a:srgbClr val="F6F3FA"/>
      </a:accent5>
      <a:accent6>
        <a:srgbClr val="8058C8"/>
      </a:accent6>
      <a:hlink>
        <a:srgbClr val="512F8F"/>
      </a:hlink>
      <a:folHlink>
        <a:srgbClr val="B29AD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8EFD8525266249B5A88E33BE7E0CFD" ma:contentTypeVersion="18" ma:contentTypeDescription="Create a new document." ma:contentTypeScope="" ma:versionID="10698ecdf7f7fb869c370441260d37bf">
  <xsd:schema xmlns:xsd="http://www.w3.org/2001/XMLSchema" xmlns:xs="http://www.w3.org/2001/XMLSchema" xmlns:p="http://schemas.microsoft.com/office/2006/metadata/properties" xmlns:ns2="af477516-2a70-46a5-8f8d-274d4272f0e7" xmlns:ns3="76d61deb-8b8a-48db-8792-62594a861528" targetNamespace="http://schemas.microsoft.com/office/2006/metadata/properties" ma:root="true" ma:fieldsID="9055fff7a04f8c3a8ef67f72aefdcf76" ns2:_="" ns3:_="">
    <xsd:import namespace="af477516-2a70-46a5-8f8d-274d4272f0e7"/>
    <xsd:import namespace="76d61deb-8b8a-48db-8792-62594a8615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77516-2a70-46a5-8f8d-274d4272f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8b80d3-7893-4833-9954-386638b553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61deb-8b8a-48db-8792-62594a8615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eead9c-a013-4b3f-a103-1039a162c257}" ma:internalName="TaxCatchAll" ma:showField="CatchAllData" ma:web="76d61deb-8b8a-48db-8792-62594a8615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d61deb-8b8a-48db-8792-62594a861528" xsi:nil="true"/>
    <lcf76f155ced4ddcb4097134ff3c332f xmlns="af477516-2a70-46a5-8f8d-274d4272f0e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04604-2382-4CBD-914E-3FF9CF5C0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77516-2a70-46a5-8f8d-274d4272f0e7"/>
    <ds:schemaRef ds:uri="76d61deb-8b8a-48db-8792-62594a861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337C71-3CEF-4625-B908-5F519FDA79D2}">
  <ds:schemaRefs>
    <ds:schemaRef ds:uri="http://schemas.microsoft.com/office/2006/metadata/properties"/>
    <ds:schemaRef ds:uri="http://schemas.microsoft.com/office/infopath/2007/PartnerControls"/>
    <ds:schemaRef ds:uri="76d61deb-8b8a-48db-8792-62594a861528"/>
    <ds:schemaRef ds:uri="af477516-2a70-46a5-8f8d-274d4272f0e7"/>
  </ds:schemaRefs>
</ds:datastoreItem>
</file>

<file path=customXml/itemProps3.xml><?xml version="1.0" encoding="utf-8"?>
<ds:datastoreItem xmlns:ds="http://schemas.openxmlformats.org/officeDocument/2006/customXml" ds:itemID="{2FEDE547-A523-4D88-81B4-B6AF0598CB02}">
  <ds:schemaRefs>
    <ds:schemaRef ds:uri="http://schemas.openxmlformats.org/officeDocument/2006/bibliography"/>
  </ds:schemaRefs>
</ds:datastoreItem>
</file>

<file path=customXml/itemProps4.xml><?xml version="1.0" encoding="utf-8"?>
<ds:datastoreItem xmlns:ds="http://schemas.openxmlformats.org/officeDocument/2006/customXml" ds:itemID="{606BF80B-2A02-445A-90D2-0CA221D784F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ECA0074</dc:title>
  <cp:revision>0</cp:revision>
</cp:coreProperties>
</file>