
<file path=[Content_Types].xml><?xml version="1.0" encoding="utf-8"?>
<Types xmlns="http://schemas.openxmlformats.org/package/2006/content-types">
  <Default Extension="rels" ContentType="application/vnd.openxmlformats-package.relationships+xml"/>
  <Default Extension="xml" ContentType="application/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microsoft.com/office/2020/02/relationships/classificationlabels" Target="docMetadata/LabelInfo.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E6754A">
      <w:pPr>
        <w:jc w:val="center"/>
        <w:rPr>
          <w:rFonts w:ascii="Poppins" w:hAnsi="Poppins" w:cs="Poppins"/>
          <w:b/>
          <w:bCs/>
          <w:sz w:val="28"/>
          <w:szCs w:val="28"/>
        </w:rPr>
      </w:pPr>
      <w:r>
        <w:rPr>
          <w:rFonts w:ascii="Poppins" w:hAnsi="Poppins" w:cs="Poppins"/>
          <w:b/>
          <w:bCs/>
          <w:sz w:val="28"/>
          <w:szCs w:val="28"/>
        </w:rPr>
        <w:t xml:space="preserve">Written evidence by </w:t>
      </w:r>
      <w:r w:rsidRPr="00E6754A">
        <w:rPr>
          <w:rFonts w:ascii="Poppins" w:hAnsi="Poppins" w:cs="Poppins"/>
          <w:b/>
          <w:bCs/>
          <w:sz w:val="28"/>
          <w:szCs w:val="28"/>
        </w:rPr>
        <w:t>Co-Centre for Sustainable Food Systems</w:t>
      </w:r>
      <w:r>
        <w:rPr>
          <w:rFonts w:ascii="Poppins" w:hAnsi="Poppins" w:cs="Poppins"/>
          <w:b/>
          <w:bCs/>
          <w:sz w:val="28"/>
          <w:szCs w:val="28"/>
        </w:rPr>
        <w:t xml:space="preserve"> (ECA0071)</w:t>
      </w:r>
    </w:p>
    <w:p w:rsidR="006A2BC4">
      <w:pPr>
        <w:jc w:val="center"/>
        <w:rPr>
          <w:rFonts w:ascii="Poppins" w:hAnsi="Poppins" w:cs="Poppins"/>
          <w:b/>
          <w:bCs/>
          <w:sz w:val="28"/>
          <w:szCs w:val="28"/>
        </w:rPr>
      </w:pPr>
      <w:r w:rsidRPr="00E04893">
        <w:rPr>
          <w:rFonts w:ascii="Poppins" w:hAnsi="Poppins" w:cs="Poppins"/>
          <w:b/>
          <w:bCs/>
          <w:sz w:val="28"/>
          <w:szCs w:val="28"/>
        </w:rPr>
        <w:t xml:space="preserve">Co-Centre for Sustainable Food Systems - </w:t>
      </w:r>
      <w:r>
        <w:rPr>
          <w:rFonts w:ascii="Poppins" w:hAnsi="Poppins" w:cs="Poppins"/>
          <w:b/>
          <w:bCs/>
          <w:sz w:val="28"/>
          <w:szCs w:val="28"/>
        </w:rPr>
        <w:t xml:space="preserve">Response to call for evidence: 'Every Child Achieving and Thriving' White Paper </w:t>
      </w:r>
    </w:p>
    <w:p w:rsidR="006A2BC4">
      <w:pPr>
        <w:jc w:val="center"/>
      </w:pPr>
      <w:r w:rsidRPr="00E04893">
        <w:t>Prof. Louise Dye, Prof. Jayne Woodside, Dr Neil Boyle, Dr Hannah Griffin, Eloise Tann</w:t>
      </w:r>
    </w:p>
    <w:p w:rsidR="006A2BC4">
      <w:pPr>
        <w:rPr>
          <w:rFonts w:ascii="Poppins" w:hAnsi="Poppins" w:cs="Poppins"/>
          <w:b/>
          <w:bCs/>
          <w:sz w:val="28"/>
          <w:szCs w:val="28"/>
        </w:rPr>
      </w:pPr>
    </w:p>
    <w:p w:rsidR="006A2BC4" w:rsidRPr="00E04893" w:rsidP="00E04893">
      <w:pPr>
        <w:pStyle w:val="ListParagraph"/>
        <w:numPr>
          <w:ilvl w:val="0"/>
          <w:numId w:val="3"/>
        </w:numPr>
        <w:rPr>
          <w:rFonts w:ascii="Poppins" w:hAnsi="Poppins" w:cs="Poppins"/>
          <w:b/>
          <w:bCs/>
          <w:sz w:val="28"/>
          <w:szCs w:val="28"/>
        </w:rPr>
      </w:pPr>
      <w:r w:rsidRPr="00E04893">
        <w:rPr>
          <w:rFonts w:ascii="Poppins" w:hAnsi="Poppins" w:cs="Poppins"/>
          <w:b/>
          <w:bCs/>
          <w:sz w:val="28"/>
          <w:szCs w:val="28"/>
        </w:rPr>
        <w:t>Raising attainment</w:t>
      </w:r>
    </w:p>
    <w:p w:rsidR="006A2BC4">
      <w:pPr>
        <w:jc w:val="both"/>
      </w:pPr>
      <w:r>
        <w:rPr>
          <w:rFonts w:ascii="Poppins" w:hAnsi="Poppins" w:cs="Poppins"/>
          <w:sz w:val="22"/>
          <w:szCs w:val="22"/>
        </w:rPr>
        <w:t xml:space="preserve">Regular breakfast consumption is widely considered a key determinant of cognitive function and academic performance in children and young people. Consistently eating breakfast is positively associated with improved academic performance - particularly maths. Further, those who rarely eat breakfast have been shown to achieve an average of two fewer GCSE grades than their peers. Providing nutritionally appropriate breakfasts to all pupils at school – in both primary </w:t>
      </w:r>
      <w:r>
        <w:rPr>
          <w:rFonts w:ascii="Poppins" w:hAnsi="Poppins" w:cs="Poppins"/>
          <w:i/>
          <w:iCs/>
          <w:sz w:val="22"/>
          <w:szCs w:val="22"/>
        </w:rPr>
        <w:t>and</w:t>
      </w:r>
      <w:r>
        <w:rPr>
          <w:rFonts w:ascii="Poppins" w:hAnsi="Poppins" w:cs="Poppins"/>
          <w:sz w:val="22"/>
          <w:szCs w:val="22"/>
        </w:rPr>
        <w:t xml:space="preserve"> secondary settings - is therefore an achievable intervention to support academic attainment in schools </w:t>
      </w:r>
    </w:p>
    <w:p w:rsidR="006A2BC4">
      <w:pPr>
        <w:pStyle w:val="ListParagraph"/>
        <w:numPr>
          <w:ilvl w:val="0"/>
          <w:numId w:val="1"/>
        </w:numPr>
        <w:jc w:val="both"/>
      </w:pPr>
      <w:r>
        <w:rPr>
          <w:rStyle w:val="cf01"/>
          <w:rFonts w:ascii="Poppins" w:eastAsia="DengXian Light" w:hAnsi="Poppins" w:cs="Poppins"/>
        </w:rPr>
        <w:t>Adolphus, K., Lawton, C.L., Champ, C.L. and Dye, L., 2016. The effects of breakfast and breakfast composition on cognition in children and adolescents: a systematic review. </w:t>
      </w:r>
      <w:r>
        <w:rPr>
          <w:rStyle w:val="cf11"/>
          <w:rFonts w:ascii="Poppins" w:eastAsia="DengXian Light" w:hAnsi="Poppins" w:cs="Poppins"/>
        </w:rPr>
        <w:t>Advances in nutrition</w:t>
      </w:r>
      <w:r>
        <w:rPr>
          <w:rStyle w:val="cf01"/>
          <w:rFonts w:ascii="Poppins" w:eastAsia="DengXian Light" w:hAnsi="Poppins" w:cs="Poppins"/>
        </w:rPr>
        <w:t>, </w:t>
      </w:r>
      <w:r>
        <w:rPr>
          <w:rStyle w:val="cf11"/>
          <w:rFonts w:ascii="Poppins" w:eastAsia="DengXian Light" w:hAnsi="Poppins" w:cs="Poppins"/>
        </w:rPr>
        <w:t>7</w:t>
      </w:r>
      <w:r>
        <w:rPr>
          <w:rStyle w:val="cf01"/>
          <w:rFonts w:ascii="Poppins" w:eastAsia="DengXian Light" w:hAnsi="Poppins" w:cs="Poppins"/>
        </w:rPr>
        <w:t>(3), pp.590S-612S.</w:t>
      </w:r>
      <w:r>
        <w:rPr>
          <w:rStyle w:val="cf21"/>
          <w:rFonts w:ascii="Poppins" w:eastAsia="DengXian Light" w:hAnsi="Poppins" w:cs="Poppins"/>
        </w:rPr>
        <w:t xml:space="preserve"> </w:t>
      </w:r>
    </w:p>
    <w:p w:rsidR="006A2BC4">
      <w:pPr>
        <w:pStyle w:val="ListParagraph"/>
        <w:numPr>
          <w:ilvl w:val="0"/>
          <w:numId w:val="1"/>
        </w:numPr>
        <w:jc w:val="both"/>
      </w:pPr>
      <w:r>
        <w:rPr>
          <w:rFonts w:ascii="Poppins" w:hAnsi="Poppins" w:cs="Poppins"/>
          <w:sz w:val="18"/>
          <w:szCs w:val="18"/>
        </w:rPr>
        <w:t>Adolphus, K., Lawton, C. L., &amp; Dye, L. (2013). The effects of breakfast on behavior and academic performance in children and adolescents. </w:t>
      </w:r>
      <w:r>
        <w:rPr>
          <w:rFonts w:ascii="Poppins" w:hAnsi="Poppins" w:cs="Poppins"/>
          <w:i/>
          <w:iCs/>
          <w:sz w:val="18"/>
          <w:szCs w:val="18"/>
        </w:rPr>
        <w:t>Frontiers in human neuroscience</w:t>
      </w:r>
      <w:r>
        <w:rPr>
          <w:rFonts w:ascii="Poppins" w:hAnsi="Poppins" w:cs="Poppins"/>
          <w:sz w:val="18"/>
          <w:szCs w:val="18"/>
        </w:rPr>
        <w:t>, </w:t>
      </w:r>
      <w:r>
        <w:rPr>
          <w:rFonts w:ascii="Poppins" w:hAnsi="Poppins" w:cs="Poppins"/>
          <w:i/>
          <w:iCs/>
          <w:sz w:val="18"/>
          <w:szCs w:val="18"/>
        </w:rPr>
        <w:t>7</w:t>
      </w:r>
      <w:r>
        <w:rPr>
          <w:rFonts w:ascii="Poppins" w:hAnsi="Poppins" w:cs="Poppins"/>
          <w:sz w:val="18"/>
          <w:szCs w:val="18"/>
        </w:rPr>
        <w:t>, 425.</w:t>
      </w:r>
    </w:p>
    <w:p w:rsidR="006A2BC4">
      <w:pPr>
        <w:pStyle w:val="ListParagraph"/>
        <w:numPr>
          <w:ilvl w:val="0"/>
          <w:numId w:val="1"/>
        </w:numPr>
        <w:jc w:val="both"/>
      </w:pPr>
      <w:r>
        <w:rPr>
          <w:rFonts w:ascii="Poppins" w:hAnsi="Poppins" w:cs="Poppins"/>
          <w:sz w:val="18"/>
          <w:szCs w:val="18"/>
        </w:rPr>
        <w:t>Adolphus, K., Lawton, C.L. and Dye, L., 2019. Associations between habitual school-day breakfast consumption frequency and academic performance in British adolescents. </w:t>
      </w:r>
      <w:r>
        <w:rPr>
          <w:rFonts w:ascii="Poppins" w:hAnsi="Poppins" w:cs="Poppins"/>
          <w:i/>
          <w:iCs/>
          <w:sz w:val="18"/>
          <w:szCs w:val="18"/>
        </w:rPr>
        <w:t>Frontiers in Public Health</w:t>
      </w:r>
      <w:r>
        <w:rPr>
          <w:rFonts w:ascii="Poppins" w:hAnsi="Poppins" w:cs="Poppins"/>
          <w:sz w:val="18"/>
          <w:szCs w:val="18"/>
        </w:rPr>
        <w:t>, </w:t>
      </w:r>
      <w:r>
        <w:rPr>
          <w:rFonts w:ascii="Poppins" w:hAnsi="Poppins" w:cs="Poppins"/>
          <w:i/>
          <w:iCs/>
          <w:sz w:val="18"/>
          <w:szCs w:val="18"/>
        </w:rPr>
        <w:t>7</w:t>
      </w:r>
      <w:r>
        <w:rPr>
          <w:rFonts w:ascii="Poppins" w:hAnsi="Poppins" w:cs="Poppins"/>
          <w:sz w:val="18"/>
          <w:szCs w:val="18"/>
        </w:rPr>
        <w:t>, p.283.</w:t>
      </w:r>
    </w:p>
    <w:p w:rsidR="006A2BC4">
      <w:pPr>
        <w:rPr>
          <w:rFonts w:ascii="Poppins" w:hAnsi="Poppins" w:cs="Poppins"/>
          <w:b/>
          <w:bCs/>
          <w:sz w:val="28"/>
          <w:szCs w:val="28"/>
        </w:rPr>
      </w:pPr>
    </w:p>
    <w:p w:rsidR="006A2BC4" w:rsidRPr="00E04893" w:rsidP="00E04893">
      <w:pPr>
        <w:pStyle w:val="ListParagraph"/>
        <w:numPr>
          <w:ilvl w:val="0"/>
          <w:numId w:val="3"/>
        </w:numPr>
        <w:rPr>
          <w:rFonts w:ascii="Poppins" w:hAnsi="Poppins" w:cs="Poppins"/>
          <w:b/>
          <w:bCs/>
          <w:sz w:val="28"/>
          <w:szCs w:val="28"/>
        </w:rPr>
      </w:pPr>
      <w:r w:rsidRPr="00E04893">
        <w:rPr>
          <w:rFonts w:ascii="Poppins" w:hAnsi="Poppins" w:cs="Poppins"/>
          <w:b/>
          <w:bCs/>
          <w:sz w:val="28"/>
          <w:szCs w:val="28"/>
        </w:rPr>
        <w:t>Improving attendance</w:t>
      </w:r>
    </w:p>
    <w:p w:rsidR="006A2BC4">
      <w:r>
        <w:rPr>
          <w:rFonts w:ascii="Poppins" w:hAnsi="Poppins" w:cs="Poppins"/>
          <w:sz w:val="21"/>
          <w:szCs w:val="21"/>
        </w:rPr>
        <w:t>Several studies have associated school breakfast clubs with improved attendance, suggesting that improved access to breakfast at school could in some cases encourage children and young people to attend school. Our 2024 survey of school breakfasts in Leeds (n=175) found that improving attendance was key in schools’ decisions to start up a breakfast offer and was cited as a primary motivator by around 60% of primary &amp; SEN schools, and over 80% of secondary schools. Similarly, many schools reported reduced abs</w:t>
      </w:r>
      <w:r>
        <w:rPr>
          <w:rFonts w:ascii="Poppins" w:hAnsi="Poppins" w:cs="Poppins"/>
          <w:sz w:val="21"/>
          <w:szCs w:val="21"/>
        </w:rPr>
        <w:t xml:space="preserve">ences and increased punctuality </w:t>
      </w:r>
      <w:r>
        <w:rPr>
          <w:rFonts w:ascii="Poppins" w:hAnsi="Poppins" w:cs="Poppins"/>
          <w:sz w:val="21"/>
          <w:szCs w:val="21"/>
        </w:rPr>
        <w:t xml:space="preserve">as a result of </w:t>
      </w:r>
      <w:r>
        <w:rPr>
          <w:rFonts w:ascii="Poppins" w:hAnsi="Poppins" w:cs="Poppins"/>
          <w:sz w:val="21"/>
          <w:szCs w:val="21"/>
        </w:rPr>
        <w:t>having a breakfast offer. For example one primary school said “</w:t>
      </w:r>
      <w:r>
        <w:rPr>
          <w:rFonts w:ascii="Poppins" w:hAnsi="Poppins" w:cs="Poppins"/>
          <w:i/>
          <w:iCs/>
          <w:sz w:val="21"/>
          <w:szCs w:val="21"/>
        </w:rPr>
        <w:t xml:space="preserve">the breakfast club is offered to persistently absent pupils in an attempt to raise attendance. In nearly all cases attendance has improved”. </w:t>
      </w:r>
      <w:r>
        <w:rPr>
          <w:rFonts w:ascii="Poppins" w:hAnsi="Poppins" w:cs="Poppins"/>
          <w:sz w:val="21"/>
          <w:szCs w:val="21"/>
        </w:rPr>
        <w:t xml:space="preserve">Other schools echoed this, adding that </w:t>
      </w:r>
      <w:r>
        <w:rPr>
          <w:rFonts w:ascii="Poppins" w:hAnsi="Poppins" w:cs="Poppins"/>
          <w:i/>
          <w:iCs/>
          <w:sz w:val="21"/>
          <w:szCs w:val="21"/>
        </w:rPr>
        <w:t xml:space="preserve">“punctuality improves once the children start coming to Breakfast Club”. </w:t>
      </w:r>
    </w:p>
    <w:p w:rsidR="006A2BC4">
      <w:pPr>
        <w:pStyle w:val="ListParagraph"/>
        <w:numPr>
          <w:ilvl w:val="0"/>
          <w:numId w:val="2"/>
        </w:numPr>
      </w:pPr>
      <w:r>
        <w:rPr>
          <w:rFonts w:ascii="Poppins" w:hAnsi="Poppins" w:cs="Poppins"/>
          <w:sz w:val="18"/>
          <w:szCs w:val="18"/>
        </w:rPr>
        <w:t xml:space="preserve">Tann, E., Boyle, N., Dye, L., and Jennings, S. 2025. School breakfasts in Leeds: findings from the 2024 Leeds school breakfast survey. [online]. Available: </w:t>
      </w:r>
      <w:r>
        <w:fldChar w:fldCharType="begin"/>
      </w:r>
      <w:r>
        <w:instrText xml:space="preserve"> HYPERLINK "https://www.schoolwellbeing.co.uk/uploads/optimadmin/document/document/562/School_Breakfasts_in_Leeds_Report__2_.pdf" </w:instrText>
      </w:r>
      <w:r>
        <w:fldChar w:fldCharType="separate"/>
      </w:r>
      <w:r>
        <w:rPr>
          <w:rStyle w:val="Hyperlink"/>
          <w:rFonts w:ascii="Poppins" w:hAnsi="Poppins" w:cs="Poppins"/>
          <w:sz w:val="18"/>
          <w:szCs w:val="18"/>
        </w:rPr>
        <w:t>School Breakfasts in Leeds Report</w:t>
      </w:r>
      <w:r>
        <w:fldChar w:fldCharType="end"/>
      </w:r>
    </w:p>
    <w:p w:rsidR="006A2BC4">
      <w:pPr>
        <w:rPr>
          <w:rFonts w:ascii="Poppins" w:hAnsi="Poppins" w:cs="Poppins"/>
          <w:sz w:val="21"/>
          <w:szCs w:val="21"/>
        </w:rPr>
      </w:pPr>
    </w:p>
    <w:p w:rsidR="006A2BC4" w:rsidRPr="00E04893" w:rsidP="00E04893">
      <w:pPr>
        <w:pStyle w:val="ListParagraph"/>
        <w:numPr>
          <w:ilvl w:val="0"/>
          <w:numId w:val="3"/>
        </w:numPr>
        <w:rPr>
          <w:rFonts w:ascii="Poppins" w:hAnsi="Poppins" w:cs="Poppins"/>
          <w:b/>
          <w:bCs/>
          <w:sz w:val="28"/>
          <w:szCs w:val="28"/>
        </w:rPr>
      </w:pPr>
      <w:r w:rsidRPr="00E04893">
        <w:rPr>
          <w:rFonts w:ascii="Poppins" w:hAnsi="Poppins" w:cs="Poppins"/>
          <w:b/>
          <w:bCs/>
          <w:sz w:val="28"/>
          <w:szCs w:val="28"/>
        </w:rPr>
        <w:t>Enrichment, belonging and behaviour</w:t>
      </w:r>
    </w:p>
    <w:p w:rsidR="006A2BC4">
      <w:pPr>
        <w:jc w:val="both"/>
      </w:pPr>
      <w:r>
        <w:rPr>
          <w:rFonts w:ascii="Poppins" w:hAnsi="Poppins" w:cs="Poppins"/>
          <w:sz w:val="22"/>
          <w:szCs w:val="22"/>
        </w:rPr>
        <w:t>School breakfasts offer more than just a supervised meal. A welcoming, social breakfast environment can improve attitudes towards school and help pupils to settle into the school day and arrive in the classroom ready to learn. Our 2024 survey of schools in Leeds found that improvements to pupil wellbeing were the most widely reported impact of school breakfast provision. Improvements included smoother home to school transitions, and improved readiness to learn, with one school commenting that “</w:t>
      </w:r>
      <w:r>
        <w:rPr>
          <w:rFonts w:ascii="Poppins" w:hAnsi="Poppins" w:cs="Poppins"/>
          <w:i/>
          <w:iCs/>
          <w:sz w:val="22"/>
          <w:szCs w:val="22"/>
        </w:rPr>
        <w:t>Children are ready to learn and engaged earlier than other children who did not attend breakfast club provision</w:t>
      </w:r>
      <w:r>
        <w:rPr>
          <w:rFonts w:ascii="Poppins" w:hAnsi="Poppins" w:cs="Poppins"/>
          <w:sz w:val="22"/>
          <w:szCs w:val="22"/>
        </w:rPr>
        <w:t>”. Furthermore, many of the surveyed primary and SEN schools reported that their breakfast provision had a positive impact on pupil behaviour and conduct, including peer relationships. A teacher at one school noted that having a breakfast club meant “</w:t>
      </w:r>
      <w:r>
        <w:rPr>
          <w:rFonts w:ascii="Poppins" w:hAnsi="Poppins" w:cs="Poppins"/>
          <w:i/>
          <w:iCs/>
          <w:sz w:val="22"/>
          <w:szCs w:val="22"/>
        </w:rPr>
        <w:t>children are more settled, are able to join in group games, conversation and self-regulate before joining their class</w:t>
      </w:r>
      <w:r>
        <w:rPr>
          <w:rFonts w:ascii="Poppins" w:hAnsi="Poppins" w:cs="Poppins"/>
          <w:sz w:val="22"/>
          <w:szCs w:val="22"/>
        </w:rPr>
        <w:t xml:space="preserve">”. Some schools also reported the important role their school breakfast club played in safeguarding. For example, one Secondary school commented that having a breakfast club meant that </w:t>
      </w:r>
      <w:r>
        <w:rPr>
          <w:rFonts w:ascii="Poppins" w:hAnsi="Poppins" w:cs="Poppins"/>
          <w:i/>
          <w:iCs/>
          <w:sz w:val="22"/>
          <w:szCs w:val="22"/>
        </w:rPr>
        <w:t xml:space="preserve">“students have a time and space to talk to a member of staff should they need”, </w:t>
      </w:r>
      <w:r>
        <w:rPr>
          <w:rFonts w:ascii="Poppins" w:hAnsi="Poppins" w:cs="Poppins"/>
          <w:sz w:val="22"/>
          <w:szCs w:val="22"/>
        </w:rPr>
        <w:t>and another primary school added that breakfast club</w:t>
      </w:r>
      <w:r>
        <w:rPr>
          <w:rFonts w:ascii="Poppins" w:hAnsi="Poppins" w:cs="Poppins"/>
          <w:sz w:val="22"/>
          <w:szCs w:val="22"/>
        </w:rPr>
        <w:t>s</w:t>
      </w:r>
      <w:r>
        <w:rPr>
          <w:rFonts w:ascii="Poppins" w:hAnsi="Poppins" w:cs="Poppins"/>
          <w:sz w:val="22"/>
          <w:szCs w:val="22"/>
        </w:rPr>
        <w:t xml:space="preserve"> mean pupils can </w:t>
      </w:r>
      <w:r>
        <w:rPr>
          <w:rFonts w:ascii="Poppins" w:hAnsi="Poppins" w:cs="Poppins"/>
          <w:i/>
          <w:iCs/>
          <w:sz w:val="22"/>
          <w:szCs w:val="22"/>
        </w:rPr>
        <w:t xml:space="preserve">“eat with a member of support staff where they can sit and talk about how they are on a one-to-one level”. </w:t>
      </w:r>
    </w:p>
    <w:p w:rsidR="006A2BC4">
      <w:pPr>
        <w:pStyle w:val="ListParagraph"/>
        <w:numPr>
          <w:ilvl w:val="0"/>
          <w:numId w:val="2"/>
        </w:numPr>
      </w:pPr>
      <w:r>
        <w:rPr>
          <w:rFonts w:ascii="Poppins" w:hAnsi="Poppins" w:cs="Poppins"/>
          <w:sz w:val="18"/>
          <w:szCs w:val="18"/>
        </w:rPr>
        <w:t xml:space="preserve">Tann, E., Boyle, N., Dye, L., and Jennings, S. 2025. School breakfasts in Leeds: findings from the 2024 Leeds school breakfast survey. [online]. Available: </w:t>
      </w:r>
      <w:r>
        <w:fldChar w:fldCharType="begin"/>
      </w:r>
      <w:r>
        <w:instrText xml:space="preserve"> HYPERLINK "https://www.schoolwellbeing.co.uk/uploads/optimadmin/document/document/562/School_Breakfasts_in_Leeds_Report__2_.pdf" </w:instrText>
      </w:r>
      <w:r>
        <w:fldChar w:fldCharType="separate"/>
      </w:r>
      <w:r>
        <w:rPr>
          <w:rStyle w:val="Hyperlink"/>
          <w:rFonts w:ascii="Poppins" w:hAnsi="Poppins" w:cs="Poppins"/>
          <w:sz w:val="18"/>
          <w:szCs w:val="18"/>
        </w:rPr>
        <w:t>School Breakfasts in Leeds Report</w:t>
      </w:r>
      <w:r>
        <w:fldChar w:fldCharType="end"/>
      </w:r>
    </w:p>
    <w:p w:rsidR="00E6754A" w:rsidP="00E6754A"/>
    <w:p w:rsidR="00E6754A" w:rsidRPr="00E6754A" w:rsidP="00E6754A">
      <w:pPr>
        <w:rPr>
          <w:i/>
          <w:iCs/>
        </w:rPr>
      </w:pPr>
      <w:r w:rsidRPr="00E6754A">
        <w:rPr>
          <w:i/>
          <w:iCs/>
        </w:rPr>
        <w:t>September 2026</w:t>
      </w:r>
    </w:p>
    <w:p w:rsidR="006A2BC4">
      <w:pPr>
        <w:rPr>
          <w:rFonts w:ascii="Poppins" w:hAnsi="Poppins" w:cs="Poppins"/>
          <w:b/>
          <w:bCs/>
          <w:sz w:val="28"/>
          <w:szCs w:val="28"/>
        </w:rPr>
      </w:pPr>
    </w:p>
    <w:sectPr>
      <w:pgSz w:w="11906" w:h="16838"/>
      <w:pgMar w:top="1440" w:right="1440" w:bottom="1440" w:left="1440" w:header="708" w:footer="708"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DengXian Light">
    <w:charset w:val="86"/>
    <w:family w:val="auto"/>
    <w:pitch w:val="variable"/>
    <w:sig w:usb0="A00002BF" w:usb1="38CF7CFA" w:usb2="00000016" w:usb3="00000000" w:csb0="0004000F" w:csb1="00000000"/>
  </w:font>
  <w:font w:name="Segoe UI">
    <w:panose1 w:val="020B0502040204020203"/>
    <w:charset w:val="00"/>
    <w:family w:val="swiss"/>
    <w:pitch w:val="variable"/>
    <w:sig w:usb0="E4002EFF" w:usb1="C000E47F" w:usb2="00000009" w:usb3="00000000" w:csb0="000001FF" w:csb1="00000000"/>
  </w:font>
  <w:font w:name="Poppins">
    <w:charset w:val="00"/>
    <w:family w:val="auto"/>
    <w:pitch w:val="variable"/>
    <w:sig w:usb0="00008007" w:usb1="00000000" w:usb2="00000000" w:usb3="00000000" w:csb0="00000093" w:csb1="00000000"/>
  </w:font>
  <w:font w:name="DengXian">
    <w:panose1 w:val="02010600030101010101"/>
    <w:charset w:val="86"/>
    <w:family w:val="auto"/>
    <w:pitch w:val="variable"/>
    <w:sig w:usb0="A00002BF" w:usb1="38CF7CFA" w:usb2="00000016" w:usb3="00000000" w:csb0="0004000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222C351D"/>
    <w:multiLevelType w:val="hybridMultilevel"/>
    <w:tmpl w:val="25FED9E8"/>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
    <w:nsid w:val="617A5A7A"/>
    <w:multiLevelType w:val="multilevel"/>
    <w:tmpl w:val="85E64BE6"/>
    <w:lvl w:ilvl="0">
      <w:start w:val="0"/>
      <w:numFmt w:val="bullet"/>
      <w:lvlText w:val=""/>
      <w:lvlJc w:val="left"/>
      <w:pPr>
        <w:ind w:left="720" w:hanging="360"/>
      </w:pPr>
      <w:rPr>
        <w:rFonts w:ascii="Symbol" w:hAnsi="Symbol"/>
      </w:rPr>
    </w:lvl>
    <w:lvl w:ilvl="1">
      <w:start w:val="0"/>
      <w:numFmt w:val="bullet"/>
      <w:lvlText w:val="o"/>
      <w:lvlJc w:val="left"/>
      <w:pPr>
        <w:ind w:left="1440" w:hanging="360"/>
      </w:pPr>
      <w:rPr>
        <w:rFonts w:ascii="Courier New" w:hAnsi="Courier New" w:cs="Courier New"/>
      </w:rPr>
    </w:lvl>
    <w:lvl w:ilvl="2">
      <w:start w:val="0"/>
      <w:numFmt w:val="bullet"/>
      <w:lvlText w:val=""/>
      <w:lvlJc w:val="left"/>
      <w:pPr>
        <w:ind w:left="2160" w:hanging="360"/>
      </w:pPr>
      <w:rPr>
        <w:rFonts w:ascii="Wingdings" w:hAnsi="Wingdings"/>
      </w:rPr>
    </w:lvl>
    <w:lvl w:ilvl="3">
      <w:start w:val="0"/>
      <w:numFmt w:val="bullet"/>
      <w:lvlText w:val=""/>
      <w:lvlJc w:val="left"/>
      <w:pPr>
        <w:ind w:left="2880" w:hanging="360"/>
      </w:pPr>
      <w:rPr>
        <w:rFonts w:ascii="Symbol" w:hAnsi="Symbol"/>
      </w:rPr>
    </w:lvl>
    <w:lvl w:ilvl="4">
      <w:start w:val="0"/>
      <w:numFmt w:val="bullet"/>
      <w:lvlText w:val="o"/>
      <w:lvlJc w:val="left"/>
      <w:pPr>
        <w:ind w:left="3600" w:hanging="360"/>
      </w:pPr>
      <w:rPr>
        <w:rFonts w:ascii="Courier New" w:hAnsi="Courier New" w:cs="Courier New"/>
      </w:rPr>
    </w:lvl>
    <w:lvl w:ilvl="5">
      <w:start w:val="0"/>
      <w:numFmt w:val="bullet"/>
      <w:lvlText w:val=""/>
      <w:lvlJc w:val="left"/>
      <w:pPr>
        <w:ind w:left="4320" w:hanging="360"/>
      </w:pPr>
      <w:rPr>
        <w:rFonts w:ascii="Wingdings" w:hAnsi="Wingdings"/>
      </w:rPr>
    </w:lvl>
    <w:lvl w:ilvl="6">
      <w:start w:val="0"/>
      <w:numFmt w:val="bullet"/>
      <w:lvlText w:val=""/>
      <w:lvlJc w:val="left"/>
      <w:pPr>
        <w:ind w:left="5040" w:hanging="360"/>
      </w:pPr>
      <w:rPr>
        <w:rFonts w:ascii="Symbol" w:hAnsi="Symbol"/>
      </w:rPr>
    </w:lvl>
    <w:lvl w:ilvl="7">
      <w:start w:val="0"/>
      <w:numFmt w:val="bullet"/>
      <w:lvlText w:val="o"/>
      <w:lvlJc w:val="left"/>
      <w:pPr>
        <w:ind w:left="5760" w:hanging="360"/>
      </w:pPr>
      <w:rPr>
        <w:rFonts w:ascii="Courier New" w:hAnsi="Courier New" w:cs="Courier New"/>
      </w:rPr>
    </w:lvl>
    <w:lvl w:ilvl="8">
      <w:start w:val="0"/>
      <w:numFmt w:val="bullet"/>
      <w:lvlText w:val=""/>
      <w:lvlJc w:val="left"/>
      <w:pPr>
        <w:ind w:left="6480" w:hanging="360"/>
      </w:pPr>
      <w:rPr>
        <w:rFonts w:ascii="Wingdings" w:hAnsi="Wingdings"/>
      </w:rPr>
    </w:lvl>
  </w:abstractNum>
  <w:abstractNum w:abstractNumId="2">
    <w:nsid w:val="6BA7342C"/>
    <w:multiLevelType w:val="multilevel"/>
    <w:tmpl w:val="992EFDF2"/>
    <w:lvl w:ilvl="0">
      <w:start w:val="0"/>
      <w:numFmt w:val="bullet"/>
      <w:lvlText w:val=""/>
      <w:lvlJc w:val="left"/>
      <w:pPr>
        <w:ind w:left="720" w:hanging="360"/>
      </w:pPr>
      <w:rPr>
        <w:rFonts w:ascii="Symbol" w:hAnsi="Symbol"/>
      </w:rPr>
    </w:lvl>
    <w:lvl w:ilvl="1">
      <w:start w:val="1"/>
      <w:numFmt w:val="lowerLetter"/>
      <w:lvlText w:val="."/>
      <w:lvlJc w:val="left"/>
      <w:pPr>
        <w:ind w:left="1440" w:hanging="360"/>
      </w:pPr>
    </w:lvl>
    <w:lvl w:ilvl="2">
      <w:start w:val="1"/>
      <w:numFmt w:val="lowerRoman"/>
      <w:lvlText w:val="."/>
      <w:lvlJc w:val="right"/>
      <w:pPr>
        <w:ind w:left="2160" w:hanging="180"/>
      </w:pPr>
    </w:lvl>
    <w:lvl w:ilvl="3">
      <w:start w:val="1"/>
      <w:numFmt w:val="decimal"/>
      <w:lvlText w:val="."/>
      <w:lvlJc w:val="left"/>
      <w:pPr>
        <w:ind w:left="2880" w:hanging="360"/>
      </w:pPr>
    </w:lvl>
    <w:lvl w:ilvl="4">
      <w:start w:val="1"/>
      <w:numFmt w:val="lowerLetter"/>
      <w:lvlText w:val="."/>
      <w:lvlJc w:val="left"/>
      <w:pPr>
        <w:ind w:left="3600" w:hanging="360"/>
      </w:pPr>
    </w:lvl>
    <w:lvl w:ilvl="5">
      <w:start w:val="1"/>
      <w:numFmt w:val="lowerRoman"/>
      <w:lvlText w:val="."/>
      <w:lvlJc w:val="right"/>
      <w:pPr>
        <w:ind w:left="4320" w:hanging="180"/>
      </w:pPr>
    </w:lvl>
    <w:lvl w:ilvl="6">
      <w:start w:val="1"/>
      <w:numFmt w:val="decimal"/>
      <w:lvlText w:val="."/>
      <w:lvlJc w:val="left"/>
      <w:pPr>
        <w:ind w:left="5040" w:hanging="360"/>
      </w:pPr>
    </w:lvl>
    <w:lvl w:ilvl="7">
      <w:start w:val="1"/>
      <w:numFmt w:val="lowerLetter"/>
      <w:lvlText w:val="."/>
      <w:lvlJc w:val="left"/>
      <w:pPr>
        <w:ind w:left="5760" w:hanging="360"/>
      </w:pPr>
    </w:lvl>
    <w:lvl w:ilvl="8">
      <w:start w:val="1"/>
      <w:numFmt w:val="lowerRoman"/>
      <w:lvlText w:val="."/>
      <w:lvlJc w:val="right"/>
      <w:pPr>
        <w:ind w:left="6480" w:hanging="180"/>
      </w:p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proofState w:spelling="clean" w:grammar="clean"/>
  <w:doNotTrackMoves/>
  <w:defaultTabStop w:val="720"/>
  <w:autoHyphenation/>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m:mathPr>
    <m:mathFont m:val="Cambria Math"/>
  </m:mathPr>
  <w:themeFontLang w:val="en-GB" w:eastAsia="zh-CN" w:bidi="ar-SA"/>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ptos" w:eastAsia="Aptos" w:hAnsi="Aptos" w:cs="Arial"/>
        <w:kern w:val="3"/>
        <w:sz w:val="24"/>
        <w:szCs w:val="24"/>
        <w:lang w:val="en-GB" w:eastAsia="en-US" w:bidi="ar-SA"/>
      </w:rPr>
    </w:rPrDefault>
    <w:pPrDefault>
      <w:pPr>
        <w:autoSpaceDN w:val="0"/>
        <w:spacing w:after="16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pPr>
      <w:suppressAutoHyphens/>
    </w:pPr>
  </w:style>
  <w:style w:type="paragraph" w:styleId="Heading1">
    <w:name w:val="heading 1"/>
    <w:basedOn w:val="Normal"/>
    <w:next w:val="Normal"/>
    <w:uiPriority w:val="9"/>
    <w:qFormat/>
    <w:pPr>
      <w:keepNext/>
      <w:keepLines/>
      <w:spacing w:before="360" w:after="80"/>
      <w:outlineLvl w:val="0"/>
    </w:pPr>
    <w:rPr>
      <w:rFonts w:ascii="Aptos Display" w:eastAsia="DengXian Light" w:hAnsi="Aptos Display" w:cs="Times New Roman"/>
      <w:color w:val="0F4761"/>
      <w:sz w:val="40"/>
      <w:szCs w:val="40"/>
    </w:rPr>
  </w:style>
  <w:style w:type="paragraph" w:styleId="Heading2">
    <w:name w:val="heading 2"/>
    <w:basedOn w:val="Normal"/>
    <w:next w:val="Normal"/>
    <w:uiPriority w:val="9"/>
    <w:semiHidden/>
    <w:unhideWhenUsed/>
    <w:qFormat/>
    <w:pPr>
      <w:keepNext/>
      <w:keepLines/>
      <w:spacing w:before="160" w:after="80"/>
      <w:outlineLvl w:val="1"/>
    </w:pPr>
    <w:rPr>
      <w:rFonts w:ascii="Aptos Display" w:eastAsia="DengXian Light" w:hAnsi="Aptos Display" w:cs="Times New Roman"/>
      <w:color w:val="0F4761"/>
      <w:sz w:val="32"/>
      <w:szCs w:val="32"/>
    </w:rPr>
  </w:style>
  <w:style w:type="paragraph" w:styleId="Heading3">
    <w:name w:val="heading 3"/>
    <w:basedOn w:val="Normal"/>
    <w:next w:val="Normal"/>
    <w:uiPriority w:val="9"/>
    <w:semiHidden/>
    <w:unhideWhenUsed/>
    <w:qFormat/>
    <w:pPr>
      <w:keepNext/>
      <w:keepLines/>
      <w:spacing w:before="160" w:after="80"/>
      <w:outlineLvl w:val="2"/>
    </w:pPr>
    <w:rPr>
      <w:rFonts w:eastAsia="DengXian Light" w:cs="Times New Roman"/>
      <w:color w:val="0F4761"/>
      <w:sz w:val="28"/>
      <w:szCs w:val="28"/>
    </w:rPr>
  </w:style>
  <w:style w:type="paragraph" w:styleId="Heading4">
    <w:name w:val="heading 4"/>
    <w:basedOn w:val="Normal"/>
    <w:next w:val="Normal"/>
    <w:uiPriority w:val="9"/>
    <w:semiHidden/>
    <w:unhideWhenUsed/>
    <w:qFormat/>
    <w:pPr>
      <w:keepNext/>
      <w:keepLines/>
      <w:spacing w:before="80" w:after="40"/>
      <w:outlineLvl w:val="3"/>
    </w:pPr>
    <w:rPr>
      <w:rFonts w:eastAsia="DengXian Light" w:cs="Times New Roman"/>
      <w:i/>
      <w:iCs/>
      <w:color w:val="0F4761"/>
    </w:rPr>
  </w:style>
  <w:style w:type="paragraph" w:styleId="Heading5">
    <w:name w:val="heading 5"/>
    <w:basedOn w:val="Normal"/>
    <w:next w:val="Normal"/>
    <w:uiPriority w:val="9"/>
    <w:semiHidden/>
    <w:unhideWhenUsed/>
    <w:qFormat/>
    <w:pPr>
      <w:keepNext/>
      <w:keepLines/>
      <w:spacing w:before="80" w:after="40"/>
      <w:outlineLvl w:val="4"/>
    </w:pPr>
    <w:rPr>
      <w:rFonts w:eastAsia="DengXian Light" w:cs="Times New Roman"/>
      <w:color w:val="0F4761"/>
    </w:rPr>
  </w:style>
  <w:style w:type="paragraph" w:styleId="Heading6">
    <w:name w:val="heading 6"/>
    <w:basedOn w:val="Normal"/>
    <w:next w:val="Normal"/>
    <w:uiPriority w:val="9"/>
    <w:semiHidden/>
    <w:unhideWhenUsed/>
    <w:qFormat/>
    <w:pPr>
      <w:keepNext/>
      <w:keepLines/>
      <w:spacing w:before="40" w:after="0"/>
      <w:outlineLvl w:val="5"/>
    </w:pPr>
    <w:rPr>
      <w:rFonts w:eastAsia="DengXian Light" w:cs="Times New Roman"/>
      <w:i/>
      <w:iCs/>
      <w:color w:val="595959"/>
    </w:rPr>
  </w:style>
  <w:style w:type="paragraph" w:styleId="Heading7">
    <w:name w:val="heading 7"/>
    <w:basedOn w:val="Normal"/>
    <w:next w:val="Normal"/>
    <w:pPr>
      <w:keepNext/>
      <w:keepLines/>
      <w:spacing w:before="40" w:after="0"/>
      <w:outlineLvl w:val="6"/>
    </w:pPr>
    <w:rPr>
      <w:rFonts w:eastAsia="DengXian Light" w:cs="Times New Roman"/>
      <w:color w:val="595959"/>
    </w:rPr>
  </w:style>
  <w:style w:type="paragraph" w:styleId="Heading8">
    <w:name w:val="heading 8"/>
    <w:basedOn w:val="Normal"/>
    <w:next w:val="Normal"/>
    <w:pPr>
      <w:keepNext/>
      <w:keepLines/>
      <w:spacing w:after="0"/>
      <w:outlineLvl w:val="7"/>
    </w:pPr>
    <w:rPr>
      <w:rFonts w:eastAsia="DengXian Light" w:cs="Times New Roman"/>
      <w:i/>
      <w:iCs/>
      <w:color w:val="272727"/>
    </w:rPr>
  </w:style>
  <w:style w:type="paragraph" w:styleId="Heading9">
    <w:name w:val="heading 9"/>
    <w:basedOn w:val="Normal"/>
    <w:next w:val="Normal"/>
    <w:pPr>
      <w:keepNext/>
      <w:keepLines/>
      <w:spacing w:after="0"/>
      <w:outlineLvl w:val="8"/>
    </w:pPr>
    <w:rPr>
      <w:rFonts w:eastAsia="DengXian Light" w:cs="Times New Roman"/>
      <w:color w:val="272727"/>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rPr>
      <w:rFonts w:ascii="Aptos Display" w:eastAsia="DengXian Light" w:hAnsi="Aptos Display" w:cs="Times New Roman"/>
      <w:color w:val="0F4761"/>
      <w:sz w:val="40"/>
      <w:szCs w:val="40"/>
    </w:rPr>
  </w:style>
  <w:style w:type="character" w:customStyle="1" w:styleId="Heading2Char">
    <w:name w:val="Heading 2 Char"/>
    <w:basedOn w:val="DefaultParagraphFont"/>
    <w:rPr>
      <w:rFonts w:ascii="Aptos Display" w:eastAsia="DengXian Light" w:hAnsi="Aptos Display" w:cs="Times New Roman"/>
      <w:color w:val="0F4761"/>
      <w:sz w:val="32"/>
      <w:szCs w:val="32"/>
    </w:rPr>
  </w:style>
  <w:style w:type="character" w:customStyle="1" w:styleId="Heading3Char">
    <w:name w:val="Heading 3 Char"/>
    <w:basedOn w:val="DefaultParagraphFont"/>
    <w:rPr>
      <w:rFonts w:eastAsia="DengXian Light" w:cs="Times New Roman"/>
      <w:color w:val="0F4761"/>
      <w:sz w:val="28"/>
      <w:szCs w:val="28"/>
    </w:rPr>
  </w:style>
  <w:style w:type="character" w:customStyle="1" w:styleId="Heading4Char">
    <w:name w:val="Heading 4 Char"/>
    <w:basedOn w:val="DefaultParagraphFont"/>
    <w:rPr>
      <w:rFonts w:eastAsia="DengXian Light" w:cs="Times New Roman"/>
      <w:i/>
      <w:iCs/>
      <w:color w:val="0F4761"/>
    </w:rPr>
  </w:style>
  <w:style w:type="character" w:customStyle="1" w:styleId="Heading5Char">
    <w:name w:val="Heading 5 Char"/>
    <w:basedOn w:val="DefaultParagraphFont"/>
    <w:rPr>
      <w:rFonts w:eastAsia="DengXian Light" w:cs="Times New Roman"/>
      <w:color w:val="0F4761"/>
    </w:rPr>
  </w:style>
  <w:style w:type="character" w:customStyle="1" w:styleId="Heading6Char">
    <w:name w:val="Heading 6 Char"/>
    <w:basedOn w:val="DefaultParagraphFont"/>
    <w:rPr>
      <w:rFonts w:eastAsia="DengXian Light" w:cs="Times New Roman"/>
      <w:i/>
      <w:iCs/>
      <w:color w:val="595959"/>
    </w:rPr>
  </w:style>
  <w:style w:type="character" w:customStyle="1" w:styleId="Heading7Char">
    <w:name w:val="Heading 7 Char"/>
    <w:basedOn w:val="DefaultParagraphFont"/>
    <w:rPr>
      <w:rFonts w:eastAsia="DengXian Light" w:cs="Times New Roman"/>
      <w:color w:val="595959"/>
    </w:rPr>
  </w:style>
  <w:style w:type="character" w:customStyle="1" w:styleId="Heading8Char">
    <w:name w:val="Heading 8 Char"/>
    <w:basedOn w:val="DefaultParagraphFont"/>
    <w:rPr>
      <w:rFonts w:eastAsia="DengXian Light" w:cs="Times New Roman"/>
      <w:i/>
      <w:iCs/>
      <w:color w:val="272727"/>
    </w:rPr>
  </w:style>
  <w:style w:type="character" w:customStyle="1" w:styleId="Heading9Char">
    <w:name w:val="Heading 9 Char"/>
    <w:basedOn w:val="DefaultParagraphFont"/>
    <w:rPr>
      <w:rFonts w:eastAsia="DengXian Light" w:cs="Times New Roman"/>
      <w:color w:val="272727"/>
    </w:rPr>
  </w:style>
  <w:style w:type="paragraph" w:styleId="Title">
    <w:name w:val="Title"/>
    <w:basedOn w:val="Normal"/>
    <w:next w:val="Normal"/>
    <w:uiPriority w:val="10"/>
    <w:qFormat/>
    <w:pPr>
      <w:spacing w:after="80" w:line="240" w:lineRule="auto"/>
      <w:contextualSpacing/>
    </w:pPr>
    <w:rPr>
      <w:rFonts w:ascii="Aptos Display" w:eastAsia="DengXian Light" w:hAnsi="Aptos Display" w:cs="Times New Roman"/>
      <w:spacing w:val="-10"/>
      <w:sz w:val="56"/>
      <w:szCs w:val="56"/>
    </w:rPr>
  </w:style>
  <w:style w:type="character" w:customStyle="1" w:styleId="TitleChar">
    <w:name w:val="Title Char"/>
    <w:basedOn w:val="DefaultParagraphFont"/>
    <w:rPr>
      <w:rFonts w:ascii="Aptos Display" w:eastAsia="DengXian Light" w:hAnsi="Aptos Display" w:cs="Times New Roman"/>
      <w:spacing w:val="-10"/>
      <w:kern w:val="3"/>
      <w:sz w:val="56"/>
      <w:szCs w:val="56"/>
    </w:rPr>
  </w:style>
  <w:style w:type="paragraph" w:styleId="Subtitle">
    <w:name w:val="Subtitle"/>
    <w:basedOn w:val="Normal"/>
    <w:next w:val="Normal"/>
    <w:uiPriority w:val="11"/>
    <w:qFormat/>
    <w:rPr>
      <w:rFonts w:eastAsia="DengXian Light" w:cs="Times New Roman"/>
      <w:color w:val="595959"/>
      <w:spacing w:val="15"/>
      <w:sz w:val="28"/>
      <w:szCs w:val="28"/>
    </w:rPr>
  </w:style>
  <w:style w:type="character" w:customStyle="1" w:styleId="SubtitleChar">
    <w:name w:val="Subtitle Char"/>
    <w:basedOn w:val="DefaultParagraphFont"/>
    <w:rPr>
      <w:rFonts w:eastAsia="DengXian Light" w:cs="Times New Roman"/>
      <w:color w:val="595959"/>
      <w:spacing w:val="15"/>
      <w:sz w:val="28"/>
      <w:szCs w:val="28"/>
    </w:rPr>
  </w:style>
  <w:style w:type="paragraph" w:styleId="Quote">
    <w:name w:val="Quote"/>
    <w:basedOn w:val="Normal"/>
    <w:next w:val="Normal"/>
    <w:pPr>
      <w:spacing w:before="160"/>
      <w:jc w:val="center"/>
    </w:pPr>
    <w:rPr>
      <w:i/>
      <w:iCs/>
      <w:color w:val="404040"/>
    </w:rPr>
  </w:style>
  <w:style w:type="character" w:customStyle="1" w:styleId="QuoteChar">
    <w:name w:val="Quote Char"/>
    <w:basedOn w:val="DefaultParagraphFont"/>
    <w:rPr>
      <w:i/>
      <w:iCs/>
      <w:color w:val="404040"/>
    </w:rPr>
  </w:style>
  <w:style w:type="paragraph" w:styleId="ListParagraph">
    <w:name w:val="List Paragraph"/>
    <w:basedOn w:val="Normal"/>
    <w:pPr>
      <w:ind w:left="720"/>
      <w:contextualSpacing/>
    </w:pPr>
  </w:style>
  <w:style w:type="character" w:styleId="IntenseEmphasis">
    <w:name w:val="Intense Emphasis"/>
    <w:basedOn w:val="DefaultParagraphFont"/>
    <w:rPr>
      <w:i/>
      <w:iCs/>
      <w:color w:val="0F4761"/>
    </w:rPr>
  </w:style>
  <w:style w:type="paragraph" w:styleId="IntenseQuote">
    <w:name w:val="Intense Quote"/>
    <w:basedOn w:val="Normal"/>
    <w:next w:val="Normal"/>
    <w:pPr>
      <w:pBdr>
        <w:top w:val="single" w:sz="4" w:space="10" w:color="0F4761"/>
        <w:bottom w:val="single" w:sz="4" w:space="10" w:color="0F4761"/>
      </w:pBdr>
      <w:spacing w:before="360" w:after="360"/>
      <w:ind w:left="864" w:right="864"/>
      <w:jc w:val="center"/>
    </w:pPr>
    <w:rPr>
      <w:i/>
      <w:iCs/>
      <w:color w:val="0F4761"/>
    </w:rPr>
  </w:style>
  <w:style w:type="character" w:customStyle="1" w:styleId="IntenseQuoteChar">
    <w:name w:val="Intense Quote Char"/>
    <w:basedOn w:val="DefaultParagraphFont"/>
    <w:rPr>
      <w:i/>
      <w:iCs/>
      <w:color w:val="0F4761"/>
    </w:rPr>
  </w:style>
  <w:style w:type="character" w:styleId="IntenseReference">
    <w:name w:val="Intense Reference"/>
    <w:basedOn w:val="DefaultParagraphFont"/>
    <w:rPr>
      <w:b/>
      <w:bCs/>
      <w:smallCaps/>
      <w:color w:val="0F4761"/>
      <w:spacing w:val="5"/>
    </w:rPr>
  </w:style>
  <w:style w:type="character" w:styleId="CommentReference">
    <w:name w:val="annotation reference"/>
    <w:basedOn w:val="DefaultParagraphFont"/>
    <w:rPr>
      <w:sz w:val="16"/>
      <w:szCs w:val="16"/>
    </w:rPr>
  </w:style>
  <w:style w:type="paragraph" w:styleId="CommentText">
    <w:name w:val="annotation text"/>
    <w:basedOn w:val="Normal"/>
    <w:pPr>
      <w:spacing w:line="240" w:lineRule="auto"/>
    </w:pPr>
    <w:rPr>
      <w:sz w:val="20"/>
      <w:szCs w:val="20"/>
    </w:rPr>
  </w:style>
  <w:style w:type="character" w:customStyle="1" w:styleId="CommentTextChar">
    <w:name w:val="Comment Text Char"/>
    <w:basedOn w:val="DefaultParagraphFont"/>
    <w:rPr>
      <w:sz w:val="20"/>
      <w:szCs w:val="20"/>
    </w:rPr>
  </w:style>
  <w:style w:type="paragraph" w:styleId="CommentSubject">
    <w:name w:val="annotation subject"/>
    <w:basedOn w:val="CommentText"/>
    <w:next w:val="CommentText"/>
    <w:rPr>
      <w:b/>
      <w:bCs/>
    </w:rPr>
  </w:style>
  <w:style w:type="character" w:customStyle="1" w:styleId="CommentSubjectChar">
    <w:name w:val="Comment Subject Char"/>
    <w:basedOn w:val="CommentTextChar"/>
    <w:rPr>
      <w:b/>
      <w:bCs/>
      <w:sz w:val="20"/>
      <w:szCs w:val="20"/>
    </w:rPr>
  </w:style>
  <w:style w:type="character" w:styleId="Hyperlink">
    <w:name w:val="Hyperlink"/>
    <w:basedOn w:val="DefaultParagraphFont"/>
    <w:rPr>
      <w:color w:val="467886"/>
      <w:u w:val="single"/>
    </w:rPr>
  </w:style>
  <w:style w:type="character" w:customStyle="1" w:styleId="UnresolvedMention1">
    <w:name w:val="Unresolved Mention1"/>
    <w:basedOn w:val="DefaultParagraphFont"/>
    <w:rPr>
      <w:color w:val="605E5C"/>
      <w:shd w:val="clear" w:color="auto" w:fill="E1DFDD"/>
    </w:rPr>
  </w:style>
  <w:style w:type="paragraph" w:styleId="Header">
    <w:name w:val="header"/>
    <w:basedOn w:val="Normal"/>
    <w:pPr>
      <w:tabs>
        <w:tab w:val="center" w:pos="4513"/>
        <w:tab w:val="right" w:pos="9026"/>
      </w:tabs>
      <w:spacing w:after="0" w:line="240" w:lineRule="auto"/>
    </w:pPr>
  </w:style>
  <w:style w:type="character" w:customStyle="1" w:styleId="HeaderChar">
    <w:name w:val="Header Char"/>
    <w:basedOn w:val="DefaultParagraphFont"/>
  </w:style>
  <w:style w:type="paragraph" w:styleId="Footer">
    <w:name w:val="footer"/>
    <w:basedOn w:val="Normal"/>
    <w:pPr>
      <w:tabs>
        <w:tab w:val="center" w:pos="4513"/>
        <w:tab w:val="right" w:pos="9026"/>
      </w:tabs>
      <w:spacing w:after="0" w:line="240" w:lineRule="auto"/>
    </w:pPr>
  </w:style>
  <w:style w:type="character" w:customStyle="1" w:styleId="FooterChar">
    <w:name w:val="Footer Char"/>
    <w:basedOn w:val="DefaultParagraphFont"/>
  </w:style>
  <w:style w:type="paragraph" w:customStyle="1" w:styleId="pf0">
    <w:name w:val="pf0"/>
    <w:basedOn w:val="Normal"/>
    <w:pPr>
      <w:suppressAutoHyphens w:val="0"/>
      <w:spacing w:before="100" w:after="100" w:line="240" w:lineRule="auto"/>
    </w:pPr>
    <w:rPr>
      <w:rFonts w:ascii="Times New Roman" w:eastAsia="Times New Roman" w:hAnsi="Times New Roman" w:cs="Times New Roman"/>
      <w:kern w:val="0"/>
      <w:lang w:eastAsia="en-GB"/>
    </w:rPr>
  </w:style>
  <w:style w:type="character" w:customStyle="1" w:styleId="cf01">
    <w:name w:val="cf01"/>
    <w:basedOn w:val="DefaultParagraphFont"/>
    <w:rPr>
      <w:rFonts w:ascii="Segoe UI" w:hAnsi="Segoe UI" w:cs="Segoe UI"/>
      <w:color w:val="222222"/>
      <w:sz w:val="18"/>
      <w:szCs w:val="18"/>
    </w:rPr>
  </w:style>
  <w:style w:type="character" w:customStyle="1" w:styleId="cf11">
    <w:name w:val="cf11"/>
    <w:basedOn w:val="DefaultParagraphFont"/>
    <w:rPr>
      <w:rFonts w:ascii="Segoe UI" w:hAnsi="Segoe UI" w:cs="Segoe UI"/>
      <w:i/>
      <w:iCs/>
      <w:color w:val="222222"/>
      <w:sz w:val="18"/>
      <w:szCs w:val="18"/>
    </w:rPr>
  </w:style>
  <w:style w:type="character" w:customStyle="1" w:styleId="cf21">
    <w:name w:val="cf21"/>
    <w:basedOn w:val="DefaultParagraphFont"/>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theme" Target="theme/theme1.xml" /><Relationship Id="rId5" Type="http://schemas.openxmlformats.org/officeDocument/2006/relationships/numbering" Target="numbering.xml" /><Relationship Id="rId6"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Metadata/LabelInfo.xml><?xml version="1.0" encoding="utf-8"?>
<clbl:labelList xmlns:clbl="http://schemas.microsoft.com/office/2020/mipLabelMetadata">
  <clbl:label id="{a8f77787-5df4-43b6-a2a8-8d8b678a318b}" enabled="1" method="Standard" siteId="{1ce6dd9e-b337-4088-be5e-8dbbec04b34a}" contentBits="0" removed="0"/>
</clbl:labelList>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Written evidence - ECA0071</dc:title>
  <cp:revision>0</cp:revision>
</cp:coreProperties>
</file>