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53968" w:rsidP="00AE47B9">
      <w:pPr>
        <w:jc w:val="center"/>
        <w:rPr>
          <w:b/>
          <w:bCs/>
        </w:rPr>
      </w:pPr>
      <w:r>
        <w:rPr>
          <w:b/>
          <w:bCs/>
        </w:rPr>
        <w:t xml:space="preserve">Written evidence by </w:t>
      </w:r>
      <w:r w:rsidRPr="00C25274">
        <w:rPr>
          <w:b/>
          <w:bCs/>
        </w:rPr>
        <w:t>Katherine Collier </w:t>
      </w:r>
      <w:r>
        <w:rPr>
          <w:b/>
          <w:bCs/>
        </w:rPr>
        <w:t>(ECA0069)</w:t>
      </w:r>
    </w:p>
    <w:p w:rsidR="00D53968" w:rsidP="00AE47B9">
      <w:pPr>
        <w:jc w:val="center"/>
        <w:rPr>
          <w:b/>
          <w:bCs/>
        </w:rPr>
      </w:pPr>
    </w:p>
    <w:p w:rsidR="00D53968" w:rsidRPr="000454CE" w:rsidP="00AE47B9">
      <w:pPr>
        <w:jc w:val="center"/>
        <w:rPr>
          <w:b/>
          <w:bCs/>
        </w:rPr>
      </w:pPr>
      <w:r w:rsidRPr="000454CE">
        <w:rPr>
          <w:b/>
          <w:bCs/>
        </w:rPr>
        <w:t>‘Every Child Achieving and Thriving’ White Paper</w:t>
      </w:r>
    </w:p>
    <w:p w:rsidR="00D53968" w:rsidRPr="000454CE" w:rsidP="00AE47B9">
      <w:pPr>
        <w:jc w:val="center"/>
        <w:rPr>
          <w:b/>
          <w:bCs/>
        </w:rPr>
      </w:pPr>
      <w:r w:rsidRPr="000454CE">
        <w:rPr>
          <w:b/>
          <w:bCs/>
        </w:rPr>
        <w:t>Call for Evidence Response</w:t>
      </w:r>
    </w:p>
    <w:p w:rsidR="00D53968" w:rsidRPr="000454CE" w:rsidP="00AE47B9">
      <w:pPr>
        <w:rPr>
          <w:b/>
          <w:bCs/>
        </w:rPr>
      </w:pPr>
    </w:p>
    <w:p w:rsidR="00D53968" w:rsidP="003A2563">
      <w:pPr>
        <w:jc w:val="center"/>
        <w:rPr>
          <w:b/>
          <w:bCs/>
        </w:rPr>
      </w:pPr>
      <w:r w:rsidRPr="00B069DC">
        <w:rPr>
          <w:b/>
          <w:bCs/>
        </w:rPr>
        <w:t xml:space="preserve">Written evidence submitted </w:t>
      </w:r>
      <w:r>
        <w:rPr>
          <w:b/>
          <w:bCs/>
        </w:rPr>
        <w:t xml:space="preserve">by Katherine Collier, School of Education, Durham University, on </w:t>
      </w:r>
      <w:r w:rsidRPr="00B069DC">
        <w:rPr>
          <w:b/>
          <w:bCs/>
        </w:rPr>
        <w:t>2</w:t>
      </w:r>
      <w:r>
        <w:rPr>
          <w:b/>
          <w:bCs/>
        </w:rPr>
        <w:t>9</w:t>
      </w:r>
      <w:r w:rsidRPr="00B069DC">
        <w:rPr>
          <w:b/>
          <w:bCs/>
          <w:vertAlign w:val="superscript"/>
        </w:rPr>
        <w:t>th</w:t>
      </w:r>
      <w:r w:rsidRPr="00B069DC">
        <w:rPr>
          <w:b/>
          <w:bCs/>
        </w:rPr>
        <w:t xml:space="preserve"> July 2026</w:t>
      </w:r>
    </w:p>
    <w:p w:rsidR="00FF3124" w:rsidP="003A2563">
      <w:pPr>
        <w:jc w:val="center"/>
        <w:rPr>
          <w:b/>
          <w:bCs/>
        </w:rPr>
      </w:pPr>
    </w:p>
    <w:p w:rsidR="00FF3124" w:rsidRPr="00FF3124" w:rsidP="00FF3124">
      <w:pPr>
        <w:jc w:val="center"/>
        <w:rPr>
          <w:b/>
          <w:bCs/>
        </w:rPr>
      </w:pPr>
      <w:r w:rsidRPr="00FF3124">
        <w:rPr>
          <w:b/>
          <w:bCs/>
        </w:rPr>
        <w:t>This work was supported by the Economic and Social Research Council funded NINE Doctoral Training Partnership [grant number ES/Y001648/1].</w:t>
      </w:r>
    </w:p>
    <w:p w:rsidR="00FF3124" w:rsidRPr="00B069DC" w:rsidP="003A2563">
      <w:pPr>
        <w:jc w:val="center"/>
        <w:rPr>
          <w:b/>
          <w:bCs/>
        </w:rPr>
      </w:pPr>
    </w:p>
    <w:p w:rsidR="00D53968" w:rsidP="00640C70">
      <w:pPr>
        <w:pStyle w:val="Heading1"/>
        <w:numPr>
          <w:ilvl w:val="0"/>
          <w:numId w:val="14"/>
        </w:numPr>
        <w:ind w:left="360"/>
        <w:jc w:val="both"/>
        <w:rPr>
          <w:rFonts w:asciiTheme="minorHAnsi" w:eastAsiaTheme="minorHAnsi" w:hAnsiTheme="minorHAnsi" w:cstheme="minorBidi"/>
          <w:color w:val="auto"/>
          <w:sz w:val="24"/>
          <w:szCs w:val="24"/>
        </w:rPr>
      </w:pPr>
      <w:r w:rsidRPr="00AE47B9">
        <w:rPr>
          <w:rFonts w:asciiTheme="minorHAnsi" w:eastAsiaTheme="minorHAnsi" w:hAnsiTheme="minorHAnsi" w:cstheme="minorBidi"/>
          <w:color w:val="auto"/>
          <w:sz w:val="24"/>
          <w:szCs w:val="24"/>
        </w:rPr>
        <w:t xml:space="preserve">I am a </w:t>
      </w:r>
      <w:r>
        <w:rPr>
          <w:rFonts w:asciiTheme="minorHAnsi" w:eastAsiaTheme="minorHAnsi" w:hAnsiTheme="minorHAnsi" w:cstheme="minorBidi"/>
          <w:color w:val="auto"/>
          <w:sz w:val="24"/>
          <w:szCs w:val="24"/>
        </w:rPr>
        <w:t xml:space="preserve">doctoral researcher within the School of Education at Durham University and have previously undertaken research on the association between mild or unilateral hearing loss (MUHL) and academic achievement in primary school, </w:t>
      </w:r>
      <w:r>
        <w:rPr>
          <w:rFonts w:asciiTheme="minorHAnsi" w:eastAsiaTheme="minorHAnsi" w:hAnsiTheme="minorHAnsi" w:cstheme="minorBidi"/>
          <w:color w:val="auto"/>
          <w:sz w:val="24"/>
          <w:szCs w:val="24"/>
        </w:rPr>
        <w:t>in comparison with fully-hearing peers. I would like to share the results of this research as evidence relating to the raising attainment terms of reference.</w:t>
      </w:r>
    </w:p>
    <w:p w:rsidR="00D53968" w:rsidRPr="00FE5FCA" w:rsidP="00640C70"/>
    <w:p w:rsidR="00D53968" w:rsidRPr="007C248D" w:rsidP="00640C70">
      <w:pPr>
        <w:rPr>
          <w:b/>
          <w:bCs/>
          <w:color w:val="000000" w:themeColor="text1"/>
        </w:rPr>
      </w:pPr>
      <w:r w:rsidRPr="007C248D">
        <w:rPr>
          <w:b/>
          <w:bCs/>
          <w:color w:val="000000" w:themeColor="text1"/>
        </w:rPr>
        <w:t>Summary</w:t>
      </w:r>
    </w:p>
    <w:p w:rsidR="00D53968" w:rsidP="00640C70">
      <w:pPr>
        <w:pStyle w:val="ListParagraph"/>
        <w:numPr>
          <w:ilvl w:val="0"/>
          <w:numId w:val="14"/>
        </w:numPr>
        <w:ind w:left="360"/>
        <w:jc w:val="both"/>
        <w:rPr>
          <w:color w:val="000000" w:themeColor="text1"/>
        </w:rPr>
      </w:pPr>
      <w:r w:rsidRPr="005F0C51">
        <w:rPr>
          <w:color w:val="000000" w:themeColor="text1"/>
        </w:rPr>
        <w:t xml:space="preserve">Collier </w:t>
      </w:r>
      <w:r w:rsidRPr="005F0C51">
        <w:rPr>
          <w:color w:val="000000" w:themeColor="text1"/>
        </w:rPr>
        <w:fldChar w:fldCharType="begin"/>
      </w:r>
      <w:r w:rsidRPr="005F0C51">
        <w:rPr>
          <w:color w:val="000000" w:themeColor="text1"/>
        </w:rPr>
        <w:instrText xml:space="preserve"> ADDIN EN.CITE &lt;EndNote&gt;&lt;Cite ExcludeAuth="1"&gt;&lt;Author&gt;Collier&lt;/Author&gt;&lt;Year&gt;2025&lt;/Year&gt;&lt;RecNum&gt;9856&lt;/RecNum&gt;&lt;DisplayText&gt;(2025)&lt;/DisplayText&gt;&lt;record&gt;&lt;rec-number&gt;9856&lt;/rec-number&gt;&lt;foreign-keys&gt;&lt;key app="EN" db-id="ssex2padeddvp7edvf1v055wsraea9fxwtar" timestamp="1777022213"&gt;9856&lt;/key&gt;&lt;/foreign-keys&gt;&lt;ref-type name="Journal Article"&gt;17&lt;/ref-type&gt;&lt;contributors&gt;&lt;authors&gt;&lt;author&gt;Collier, Katherine&lt;/author&gt;&lt;/authors&gt;&lt;/contributors&gt;&lt;titles&gt;&lt;title&gt;Academic achievement of children with unilateral or mild bilateral he</w:instrText>
      </w:r>
      <w:r w:rsidRPr="005F0C51">
        <w:rPr>
          <w:color w:val="000000" w:themeColor="text1"/>
        </w:rPr>
        <w:instrText>aring loss: A systematic review&lt;/title&gt;&lt;secondary-title&gt;Review of Education&lt;/secondary-title&gt;&lt;/titles&gt;&lt;periodical&gt;&lt;full-title&gt;Review of Education&lt;/full-title&gt;&lt;/periodical&gt;&lt;pages&gt;e70072&lt;/pages&gt;&lt;volume&gt;13&lt;/volume&gt;&lt;number&gt;2&lt;/number&gt;&lt;dates&gt;&lt;year&gt;2025&lt;/year&gt;&lt;/dates&gt;&lt;urls&gt;&lt;/urls&gt;&lt;electronic-resource-num&gt;https://doi.org/10.1002/rev3.70072&lt;/electronic-resource-num&gt;&lt;/record&gt;&lt;/Cite&gt;&lt;/EndNote&gt;</w:instrText>
      </w:r>
      <w:r w:rsidRPr="005F0C51">
        <w:rPr>
          <w:color w:val="000000" w:themeColor="text1"/>
        </w:rPr>
        <w:fldChar w:fldCharType="separate"/>
      </w:r>
      <w:r w:rsidRPr="005F0C51">
        <w:rPr>
          <w:noProof/>
          <w:color w:val="000000" w:themeColor="text1"/>
        </w:rPr>
        <w:t>(2025)</w:t>
      </w:r>
      <w:r w:rsidRPr="005F0C51">
        <w:rPr>
          <w:color w:val="000000" w:themeColor="text1"/>
        </w:rPr>
        <w:fldChar w:fldCharType="end"/>
      </w:r>
      <w:r>
        <w:rPr>
          <w:color w:val="000000" w:themeColor="text1"/>
        </w:rPr>
        <w:t xml:space="preserve"> examined academic achievement among primary-aged children with mild and unilateral hearing loss</w:t>
      </w:r>
      <w:r>
        <w:rPr>
          <w:color w:val="000000" w:themeColor="text1"/>
        </w:rPr>
        <w:t xml:space="preserve"> compared with their fully hearing peers through a systematic review of existing literature. The review found that children with MUHL generally achieved lower assessment scores than their hearing peers across a range of outcomes. While the evidence base remains limited, the findings indicate that mild and unilateral hearing loss should not be assumed to have minimal educational consequences. </w:t>
      </w:r>
    </w:p>
    <w:p w:rsidR="00D53968" w:rsidP="00640C70">
      <w:pPr>
        <w:pStyle w:val="ListParagraph"/>
        <w:numPr>
          <w:ilvl w:val="0"/>
          <w:numId w:val="14"/>
        </w:numPr>
        <w:ind w:left="360"/>
        <w:jc w:val="both"/>
        <w:rPr>
          <w:color w:val="000000" w:themeColor="text1"/>
        </w:rPr>
      </w:pPr>
      <w:r>
        <w:rPr>
          <w:color w:val="000000" w:themeColor="text1"/>
        </w:rPr>
        <w:t xml:space="preserve">Current educational guidance does not consistently reflect the potential impact of MUHL. </w:t>
      </w:r>
      <w:r>
        <w:rPr>
          <w:color w:val="000000" w:themeColor="text1"/>
        </w:rPr>
        <w:t xml:space="preserve">This may contribute to variation in identification and support. Greater recognition of functional impact, alongside early identification and accessible classroom practice, would support more consistent provision and align with the wider aims of SEND reform to improve inclusion and outcomes for all children. </w:t>
      </w:r>
    </w:p>
    <w:p w:rsidR="00D53968" w:rsidRPr="005F0C51" w:rsidP="00640C70">
      <w:pPr>
        <w:pStyle w:val="ListParagraph"/>
        <w:numPr>
          <w:ilvl w:val="0"/>
          <w:numId w:val="14"/>
        </w:numPr>
        <w:ind w:left="360"/>
        <w:jc w:val="both"/>
        <w:rPr>
          <w:color w:val="000000" w:themeColor="text1"/>
        </w:rPr>
      </w:pPr>
      <w:r>
        <w:rPr>
          <w:color w:val="000000" w:themeColor="text1"/>
        </w:rPr>
        <w:t xml:space="preserve">This evidence submission recommends that national guidance better reflects the needs of children with MUHL, that teacher awareness of its educational impact is strengthened and that schools are supported to implement appropriate, evidence-informed classroom adjustments. </w:t>
      </w:r>
    </w:p>
    <w:p w:rsidR="00D53968" w:rsidRPr="000454CE" w:rsidP="00640C70">
      <w:pPr>
        <w:pStyle w:val="ListParagraph"/>
        <w:ind w:left="1080"/>
        <w:jc w:val="both"/>
        <w:rPr>
          <w:color w:val="C00000"/>
        </w:rPr>
      </w:pPr>
    </w:p>
    <w:p w:rsidR="00D53968" w:rsidRPr="007C248D" w:rsidP="00640C70">
      <w:pPr>
        <w:rPr>
          <w:b/>
          <w:bCs/>
          <w:color w:val="000000" w:themeColor="text1"/>
        </w:rPr>
      </w:pPr>
      <w:r w:rsidRPr="007C248D">
        <w:rPr>
          <w:b/>
          <w:bCs/>
          <w:color w:val="000000" w:themeColor="text1"/>
        </w:rPr>
        <w:t>Policy context</w:t>
      </w:r>
    </w:p>
    <w:p w:rsidR="00D53968" w:rsidRPr="00A54956" w:rsidP="00A16353">
      <w:pPr>
        <w:pStyle w:val="ListParagraph"/>
        <w:numPr>
          <w:ilvl w:val="0"/>
          <w:numId w:val="14"/>
        </w:numPr>
        <w:ind w:left="360"/>
        <w:jc w:val="both"/>
        <w:rPr>
          <w:color w:val="000000" w:themeColor="text1"/>
        </w:rPr>
      </w:pPr>
      <w:r w:rsidRPr="00A54956">
        <w:rPr>
          <w:color w:val="000000" w:themeColor="text1"/>
        </w:rPr>
        <w:t xml:space="preserve">The World Health Organisation </w:t>
      </w:r>
      <w:r w:rsidRPr="00A54956">
        <w:rPr>
          <w:color w:val="000000" w:themeColor="text1"/>
        </w:rPr>
        <w:fldChar w:fldCharType="begin"/>
      </w:r>
      <w:r w:rsidRPr="00A54956">
        <w:rPr>
          <w:color w:val="000000" w:themeColor="text1"/>
        </w:rPr>
        <w:instrText xml:space="preserve"> ADDIN EN.CITE &lt;EndNote&gt;&lt;Cite ExcludeAuth="1"&gt;&lt;Author&gt;WHO&lt;/Author&gt;&lt;Year&gt;2021&lt;/Year&gt;&lt;RecNum&gt;9713&lt;/RecNum&gt;&lt;DisplayText&gt;(2021)&lt;/DisplayText&gt;&lt;record&gt;&lt;rec-number&gt;9713&lt;/rec-number&gt;&lt;foreign-keys&gt;&lt;key app="EN" db-id="ssex2padeddvp7edvf1v055wsraea9fxwtar" timestamp="1689247585"&gt;9713&lt;/key&gt;&lt;/foreign-keys&gt;&lt;ref-type name="Report"&gt;27&lt;/ref-type&gt;&lt;contributors&gt;&lt;authors&gt;&lt;author&gt;WHO&lt;/author&gt;&lt;/authors&gt;&lt;/contributors&gt;&lt;titles&gt;&lt;title&gt;World Report on Hearing&lt;/title&gt;&lt;/titles&gt;&lt;dates&gt;&lt;year&gt;2021&lt;/year&gt;&lt;/dates&gt;&lt;publisher&gt;World Health O</w:instrText>
      </w:r>
      <w:r w:rsidRPr="00A54956">
        <w:rPr>
          <w:color w:val="000000" w:themeColor="text1"/>
        </w:rPr>
        <w:instrText>rganisation&lt;/publisher&gt;&lt;urls&gt;&lt;/urls&gt;&lt;/record&gt;&lt;/Cite&gt;&lt;/EndNote&gt;</w:instrText>
      </w:r>
      <w:r w:rsidRPr="00A54956">
        <w:rPr>
          <w:color w:val="000000" w:themeColor="text1"/>
        </w:rPr>
        <w:fldChar w:fldCharType="separate"/>
      </w:r>
      <w:r w:rsidRPr="00A54956">
        <w:rPr>
          <w:noProof/>
          <w:color w:val="000000" w:themeColor="text1"/>
        </w:rPr>
        <w:t>(2021)</w:t>
      </w:r>
      <w:r w:rsidRPr="00A54956">
        <w:rPr>
          <w:color w:val="000000" w:themeColor="text1"/>
        </w:rPr>
        <w:fldChar w:fldCharType="end"/>
      </w:r>
      <w:r>
        <w:rPr>
          <w:color w:val="000000" w:themeColor="text1"/>
        </w:rPr>
        <w:t xml:space="preserve"> highlights that h</w:t>
      </w:r>
      <w:r w:rsidRPr="00123704">
        <w:rPr>
          <w:color w:val="000000" w:themeColor="text1"/>
        </w:rPr>
        <w:t xml:space="preserve">earing is </w:t>
      </w:r>
      <w:r>
        <w:rPr>
          <w:color w:val="000000" w:themeColor="text1"/>
        </w:rPr>
        <w:t>fundamental to communication, language development and educational participation</w:t>
      </w:r>
      <w:r w:rsidRPr="00A54956">
        <w:rPr>
          <w:color w:val="000000" w:themeColor="text1"/>
        </w:rPr>
        <w:t xml:space="preserve">. </w:t>
      </w:r>
      <w:r>
        <w:rPr>
          <w:color w:val="000000" w:themeColor="text1"/>
        </w:rPr>
        <w:t xml:space="preserve">This emphasises the importance of equitable access to spoken information, particularly within educational environments where listening is central to learning </w:t>
      </w:r>
      <w:r w:rsidRPr="00A54956">
        <w:rPr>
          <w:color w:val="000000" w:themeColor="text1"/>
        </w:rPr>
        <w:t xml:space="preserve">and engagement. </w:t>
      </w:r>
    </w:p>
    <w:p w:rsidR="00D53968" w:rsidP="00A16353">
      <w:pPr>
        <w:pStyle w:val="ListParagraph"/>
        <w:numPr>
          <w:ilvl w:val="0"/>
          <w:numId w:val="14"/>
        </w:numPr>
        <w:ind w:left="360"/>
        <w:jc w:val="both"/>
        <w:rPr>
          <w:color w:val="000000" w:themeColor="text1"/>
        </w:rPr>
      </w:pPr>
      <w:r w:rsidRPr="00A54956">
        <w:rPr>
          <w:color w:val="000000" w:themeColor="text1"/>
        </w:rPr>
        <w:t xml:space="preserve"> In England, nearly 46,000 deaf children are identified within education services </w:t>
      </w:r>
      <w:r w:rsidRPr="00A54956">
        <w:rPr>
          <w:color w:val="000000" w:themeColor="text1"/>
        </w:rPr>
        <w:fldChar w:fldCharType="begin"/>
      </w:r>
      <w:r w:rsidRPr="00A54956">
        <w:rPr>
          <w:color w:val="000000" w:themeColor="text1"/>
        </w:rPr>
        <w:instrText xml:space="preserve"> ADDIN EN.CITE &lt;EndNote&gt;&lt;Cite&gt;&lt;Author&gt;CRIDE&lt;/Author&gt;&lt;Year&gt;2025&lt;/Year&gt;&lt;RecNum&gt;9913&lt;/RecNum&gt;&lt;DisplayText&gt;(CRIDE, 2025)&lt;/DisplayText&gt;&lt;record&gt;&lt;rec-number&gt;9913&lt;/rec-number&gt;&lt;foreign-keys&gt;&lt;key app="EN" db-id="ssex2padeddvp7edvf1v055wsraea9fxwtar" timestamp="1782807599"&gt;9913&lt;/key&gt;&lt;/foreign-keys&gt;&lt;ref-type name="Report"&gt;27&lt;/ref-type&gt;&lt;contributors&gt;&lt;authors&gt;&lt;author&gt;CRIDE&lt;/author&gt;&lt;/authors&gt;&lt;/contributors&gt;&lt;titles&gt;&lt;title&gt;Education provision for deaf children in England in 2024/25&lt;/title&gt;&lt;/titles&gt;&lt;dates&gt;&lt;year&gt;2025&lt;/year&gt;&lt;/</w:instrText>
      </w:r>
      <w:r w:rsidRPr="00A54956">
        <w:rPr>
          <w:color w:val="000000" w:themeColor="text1"/>
        </w:rPr>
        <w:instrText>dates&gt;&lt;urls&gt;&lt;related-urls&gt;&lt;url&gt;https://cms.ndcs.org.uk/sites/default/files/2025-12/CRIDE%20England%20-%202025_0.pdf&lt;/url&gt;&lt;/related-urls&gt;&lt;/urls&gt;&lt;/record&gt;&lt;/Cite&gt;&lt;/EndNote&gt;</w:instrText>
      </w:r>
      <w:r w:rsidRPr="00A54956">
        <w:rPr>
          <w:color w:val="000000" w:themeColor="text1"/>
        </w:rPr>
        <w:fldChar w:fldCharType="separate"/>
      </w:r>
      <w:r w:rsidRPr="00A54956">
        <w:rPr>
          <w:noProof/>
          <w:color w:val="000000" w:themeColor="text1"/>
        </w:rPr>
        <w:t>(CRIDE, 2025)</w:t>
      </w:r>
      <w:r w:rsidRPr="00A54956">
        <w:rPr>
          <w:color w:val="000000" w:themeColor="text1"/>
        </w:rPr>
        <w:fldChar w:fldCharType="end"/>
      </w:r>
      <w:r w:rsidRPr="00A54956">
        <w:rPr>
          <w:color w:val="000000" w:themeColor="text1"/>
        </w:rPr>
        <w:t>.</w:t>
      </w:r>
      <w:r>
        <w:rPr>
          <w:color w:val="000000" w:themeColor="text1"/>
        </w:rPr>
        <w:t xml:space="preserve"> Evidence from the Evidence Policy Institute found that deaf children typically experience poorer educational outcomes that their hearing peers </w:t>
      </w:r>
      <w:r w:rsidRPr="00A54956">
        <w:rPr>
          <w:color w:val="000000" w:themeColor="text1"/>
        </w:rPr>
        <w:t xml:space="preserve"> </w:t>
      </w:r>
      <w:r w:rsidRPr="001E2F18">
        <w:rPr>
          <w:color w:val="000000" w:themeColor="text1"/>
        </w:rPr>
        <w:fldChar w:fldCharType="begin"/>
      </w:r>
      <w:r w:rsidRPr="001E2F18">
        <w:rPr>
          <w:color w:val="000000" w:themeColor="text1"/>
        </w:rPr>
        <w:instrText xml:space="preserve"> ADDIN EN.CITE &lt;EndNote&gt;&lt;Cite&gt;&lt;Author&gt;Hutchinson&lt;/Author&gt;&lt;Year&gt;2023&lt;/Year&gt;&lt;RecNum&gt;9929&lt;/RecNum&gt;&lt;DisplayText&gt;(Hutchinson, 2023)&lt;/DisplayText&gt;&lt;record&gt;&lt;rec-number&gt;9929&lt;/rec-number&gt;&lt;foreign-keys&gt;&lt;key app="EN" db-id="ssex2padeddvp7edvf1v055wsraea9fxwtar" timestamp="1784898553"&gt;9929&lt;/key&gt;&lt;/foreign-keys&gt;&lt;ref-type name="Report"&gt;27&lt;/ref-type&gt;&lt;contributors&gt;&lt;authors&gt;&lt;author&gt;Jo Hutchinson&lt;/author&gt;&lt;/authors&gt;&lt;/contributors&gt;&lt;titles&gt;&lt;title&gt;The educational outcomes of deaf children in England: Attainment at key stages 1, 2 </w:instrText>
      </w:r>
      <w:r w:rsidRPr="001E2F18">
        <w:rPr>
          <w:color w:val="000000" w:themeColor="text1"/>
        </w:rPr>
        <w:instrText>and 4&lt;/title&gt;&lt;/titles&gt;&lt;dates&gt;&lt;year&gt;2023&lt;/year&gt;&lt;/dates&gt;&lt;publisher&gt;Education Policy Institute and National Deaf Children&amp;apos;s Society&lt;/publisher&gt;&lt;urls&gt;&lt;/urls&gt;&lt;/record&gt;&lt;/Cite&gt;&lt;/EndNote&gt;</w:instrText>
      </w:r>
      <w:r w:rsidRPr="001E2F18">
        <w:rPr>
          <w:color w:val="000000" w:themeColor="text1"/>
        </w:rPr>
        <w:fldChar w:fldCharType="separate"/>
      </w:r>
      <w:r w:rsidRPr="001E2F18">
        <w:rPr>
          <w:noProof/>
          <w:color w:val="000000" w:themeColor="text1"/>
        </w:rPr>
        <w:t>(Hutchinson, 2023)</w:t>
      </w:r>
      <w:r w:rsidRPr="001E2F18">
        <w:rPr>
          <w:color w:val="000000" w:themeColor="text1"/>
        </w:rPr>
        <w:fldChar w:fldCharType="end"/>
      </w:r>
      <w:r>
        <w:rPr>
          <w:color w:val="000000" w:themeColor="text1"/>
        </w:rPr>
        <w:t xml:space="preserve">, demonstrating the continued need to improve identification, support and inclusion for children with hearing loss. </w:t>
      </w:r>
    </w:p>
    <w:p w:rsidR="00D53968" w:rsidRPr="0013522F" w:rsidP="00640C70">
      <w:pPr>
        <w:pStyle w:val="ListParagraph"/>
        <w:numPr>
          <w:ilvl w:val="0"/>
          <w:numId w:val="14"/>
        </w:numPr>
        <w:ind w:left="360"/>
        <w:jc w:val="both"/>
        <w:rPr>
          <w:color w:val="000000" w:themeColor="text1"/>
        </w:rPr>
      </w:pPr>
      <w:r w:rsidRPr="0013522F">
        <w:rPr>
          <w:color w:val="000000" w:themeColor="text1"/>
        </w:rPr>
        <w:t>The current SEND and mainstream education reform presents an opportunity to improve the recognition of children whose support needs may be less readily identified. Although c</w:t>
      </w:r>
      <w:r w:rsidRPr="0013522F">
        <w:rPr>
          <w:color w:val="000000" w:themeColor="text1"/>
        </w:rPr>
        <w:t xml:space="preserve">hildren with mild and unilateral hearing loss may not typically require specialist provision, their access to learning can be affected by difficulties hearing spoken information, participating in classroom interactions and acquiring knowledge through incidental learning. Improving awareness and understanding of these challenges would contribute to the wider objective of creating more inclusive educational environments where all children can thrive. </w:t>
      </w:r>
    </w:p>
    <w:p w:rsidR="00D53968" w:rsidRPr="0013522F" w:rsidP="00640C70">
      <w:pPr>
        <w:pStyle w:val="ListParagraph"/>
        <w:numPr>
          <w:ilvl w:val="0"/>
          <w:numId w:val="14"/>
        </w:numPr>
        <w:ind w:left="360"/>
        <w:jc w:val="both"/>
        <w:rPr>
          <w:color w:val="000000" w:themeColor="text1"/>
        </w:rPr>
      </w:pPr>
      <w:r w:rsidRPr="0013522F">
        <w:rPr>
          <w:color w:val="000000" w:themeColor="text1"/>
        </w:rPr>
        <w:t xml:space="preserve">Although existing legislation and SEND guidance provide a framework for supporting children with hearing loss, they do not commonly distinguish between different degrees of hearing loss or explicitly address the educational implications or mild and unilateral hearing loss. As a result, recognition and support may vary depending on how individual needs are identified and understood within educational settings. </w:t>
      </w:r>
    </w:p>
    <w:p w:rsidR="00D53968" w:rsidRPr="00FE5FCA" w:rsidP="00640C70">
      <w:pPr>
        <w:pStyle w:val="ListParagraph"/>
        <w:ind w:left="360"/>
        <w:jc w:val="both"/>
        <w:rPr>
          <w:color w:val="C00000"/>
        </w:rPr>
      </w:pPr>
    </w:p>
    <w:p w:rsidR="00D53968" w:rsidRPr="006C5ABF" w:rsidP="00640C70">
      <w:pPr>
        <w:rPr>
          <w:b/>
          <w:bCs/>
          <w:color w:val="000000" w:themeColor="text1"/>
        </w:rPr>
      </w:pPr>
      <w:r w:rsidRPr="006C5ABF">
        <w:rPr>
          <w:b/>
          <w:bCs/>
          <w:color w:val="000000" w:themeColor="text1"/>
        </w:rPr>
        <w:t>Key Issues</w:t>
      </w:r>
    </w:p>
    <w:p w:rsidR="00D53968" w:rsidRPr="00640C70" w:rsidP="00640C70">
      <w:pPr>
        <w:pStyle w:val="ListParagraph"/>
        <w:numPr>
          <w:ilvl w:val="0"/>
          <w:numId w:val="14"/>
        </w:numPr>
        <w:ind w:left="360"/>
        <w:rPr>
          <w:b/>
          <w:bCs/>
          <w:color w:val="000000" w:themeColor="text1"/>
        </w:rPr>
      </w:pPr>
      <w:r w:rsidRPr="00640C70">
        <w:rPr>
          <w:b/>
          <w:bCs/>
          <w:color w:val="000000" w:themeColor="text1"/>
        </w:rPr>
        <w:t>Mild and unilateral hearing loss can represent an under-recognised educational need</w:t>
      </w:r>
    </w:p>
    <w:p w:rsidR="00D53968" w:rsidRPr="00640C70" w:rsidP="00A16353">
      <w:pPr>
        <w:pStyle w:val="ListParagraph"/>
        <w:ind w:left="360"/>
        <w:jc w:val="both"/>
        <w:rPr>
          <w:color w:val="000000" w:themeColor="text1"/>
        </w:rPr>
      </w:pPr>
      <w:r w:rsidRPr="00640C70">
        <w:rPr>
          <w:color w:val="000000" w:themeColor="text1"/>
        </w:rPr>
        <w:t xml:space="preserve">Children with mild and unilateral hearing loss may </w:t>
      </w:r>
      <w:r>
        <w:rPr>
          <w:color w:val="000000" w:themeColor="text1"/>
        </w:rPr>
        <w:t xml:space="preserve">not always display obvious signs of difficulty, particularly in quiet one-to-one interactions where they are able to communicate effectively. However, mainstream classrooms represent complex listening environments with background noise, multiple speakers and frequent opportunities for incidental learning. These demands can create barriers that are not immediately apparent. </w:t>
      </w:r>
    </w:p>
    <w:p w:rsidR="00D53968" w:rsidRPr="00FE5FCA" w:rsidP="007C248D">
      <w:pPr>
        <w:pStyle w:val="ListParagraph"/>
        <w:ind w:left="0"/>
        <w:jc w:val="both"/>
        <w:rPr>
          <w:color w:val="C00000"/>
        </w:rPr>
      </w:pPr>
    </w:p>
    <w:p w:rsidR="00D53968" w:rsidRPr="00640C70" w:rsidP="00640C70">
      <w:pPr>
        <w:pStyle w:val="ListParagraph"/>
        <w:numPr>
          <w:ilvl w:val="0"/>
          <w:numId w:val="14"/>
        </w:numPr>
        <w:ind w:left="360"/>
        <w:rPr>
          <w:b/>
          <w:bCs/>
          <w:color w:val="000000" w:themeColor="text1"/>
        </w:rPr>
      </w:pPr>
      <w:r w:rsidRPr="00640C70">
        <w:rPr>
          <w:b/>
          <w:bCs/>
          <w:color w:val="000000" w:themeColor="text1"/>
        </w:rPr>
        <w:t xml:space="preserve">Evidence indicates </w:t>
      </w:r>
      <w:r>
        <w:rPr>
          <w:b/>
          <w:bCs/>
          <w:color w:val="000000" w:themeColor="text1"/>
        </w:rPr>
        <w:t>link with educational outcomes</w:t>
      </w:r>
    </w:p>
    <w:p w:rsidR="00D53968" w:rsidP="00A16353">
      <w:pPr>
        <w:pStyle w:val="ListParagraph"/>
        <w:ind w:left="360"/>
        <w:jc w:val="both"/>
        <w:rPr>
          <w:color w:val="000000" w:themeColor="text1"/>
        </w:rPr>
      </w:pPr>
      <w:r w:rsidRPr="00A1234B">
        <w:rPr>
          <w:color w:val="000000" w:themeColor="text1"/>
        </w:rPr>
        <w:t xml:space="preserve">Collier </w:t>
      </w:r>
      <w:r w:rsidRPr="00A1234B">
        <w:rPr>
          <w:color w:val="000000" w:themeColor="text1"/>
        </w:rPr>
        <w:fldChar w:fldCharType="begin"/>
      </w:r>
      <w:r w:rsidRPr="00A1234B">
        <w:rPr>
          <w:color w:val="000000" w:themeColor="text1"/>
        </w:rPr>
        <w:instrText xml:space="preserve"> ADDIN EN.CITE &lt;EndNote&gt;&lt;Cite ExcludeAuth="1"&gt;&lt;Author&gt;Collier&lt;/Author&gt;&lt;Year&gt;2025&lt;/Year&gt;&lt;RecNum&gt;9856&lt;/RecNum&gt;&lt;DisplayText&gt;(2025)&lt;/DisplayText&gt;&lt;record&gt;&lt;rec-number&gt;9856&lt;/rec-number&gt;&lt;foreign-keys&gt;&lt;key app="EN" db-id="ssex2padeddvp7edvf1v055wsraea9fxwtar" timestamp="1777022213"&gt;9856&lt;/key&gt;&lt;/foreign-keys&gt;&lt;ref-type name="Journal Article"&gt;17&lt;/ref-type&gt;&lt;contributors&gt;&lt;authors&gt;&lt;author&gt;Collier, Katherine&lt;/author&gt;&lt;/authors&gt;&lt;/contributors&gt;&lt;titles&gt;&lt;title&gt;Academic achievement of children with unilateral or mild bilateral he</w:instrText>
      </w:r>
      <w:r w:rsidRPr="00A1234B">
        <w:rPr>
          <w:color w:val="000000" w:themeColor="text1"/>
        </w:rPr>
        <w:instrText>aring loss: A systematic review&lt;/title&gt;&lt;secondary-title&gt;Review of Education&lt;/secondary-title&gt;&lt;/titles&gt;&lt;periodical&gt;&lt;full-title&gt;Review of Education&lt;/full-title&gt;&lt;/periodical&gt;&lt;pages&gt;e70072&lt;/pages&gt;&lt;volume&gt;13&lt;/volume&gt;&lt;number&gt;2&lt;/number&gt;&lt;dates&gt;&lt;year&gt;2025&lt;/year&gt;&lt;/dates&gt;&lt;urls&gt;&lt;/urls&gt;&lt;electronic-resource-num&gt;https://doi.org/10.1002/rev3.70072&lt;/electronic-resource-num&gt;&lt;/record&gt;&lt;/Cite&gt;&lt;/EndNote&gt;</w:instrText>
      </w:r>
      <w:r w:rsidRPr="00A1234B">
        <w:rPr>
          <w:color w:val="000000" w:themeColor="text1"/>
        </w:rPr>
        <w:fldChar w:fldCharType="separate"/>
      </w:r>
      <w:r w:rsidRPr="00A1234B">
        <w:rPr>
          <w:noProof/>
          <w:color w:val="000000" w:themeColor="text1"/>
        </w:rPr>
        <w:t>(2025)</w:t>
      </w:r>
      <w:r w:rsidRPr="00A1234B">
        <w:rPr>
          <w:color w:val="000000" w:themeColor="text1"/>
        </w:rPr>
        <w:fldChar w:fldCharType="end"/>
      </w:r>
      <w:r w:rsidRPr="00A1234B">
        <w:rPr>
          <w:color w:val="000000" w:themeColor="text1"/>
        </w:rPr>
        <w:t xml:space="preserve"> conducted a systematic review examining academic achievement</w:t>
      </w:r>
      <w:r w:rsidRPr="00A1234B">
        <w:rPr>
          <w:color w:val="000000" w:themeColor="text1"/>
        </w:rPr>
        <w:t xml:space="preserve"> among primary-school aged children with mild and unilateral hearing loss. The review identified that 50 out of 56 effect sizes were negative, indicating lower academic </w:t>
      </w:r>
      <w:r w:rsidRPr="00A1234B">
        <w:rPr>
          <w:color w:val="000000" w:themeColor="text1"/>
        </w:rPr>
        <w:t>outcomes compared with hearing peers across a range of measures. While the evidence base is limited, the consistency of findings indicates that mild and unilateral hearing loss should receive greater consideration within educational policy and practice.</w:t>
      </w:r>
    </w:p>
    <w:p w:rsidR="00D53968" w:rsidRPr="00A1234B" w:rsidP="00A1234B">
      <w:pPr>
        <w:pStyle w:val="ListParagraph"/>
        <w:ind w:left="360"/>
        <w:jc w:val="both"/>
        <w:rPr>
          <w:color w:val="000000" w:themeColor="text1"/>
        </w:rPr>
      </w:pPr>
    </w:p>
    <w:p w:rsidR="00D53968" w:rsidRPr="00243F3C" w:rsidP="00640C70">
      <w:pPr>
        <w:pStyle w:val="ListParagraph"/>
        <w:numPr>
          <w:ilvl w:val="0"/>
          <w:numId w:val="14"/>
        </w:numPr>
        <w:ind w:left="360"/>
        <w:rPr>
          <w:b/>
          <w:bCs/>
          <w:color w:val="000000" w:themeColor="text1"/>
        </w:rPr>
      </w:pPr>
      <w:r w:rsidRPr="00243F3C">
        <w:rPr>
          <w:b/>
          <w:bCs/>
          <w:color w:val="000000" w:themeColor="text1"/>
        </w:rPr>
        <w:t>Classroom demands may increase barriers to participation and learning</w:t>
      </w:r>
    </w:p>
    <w:p w:rsidR="00D53968" w:rsidRPr="00243F3C" w:rsidP="00A16353">
      <w:pPr>
        <w:pStyle w:val="ListParagraph"/>
        <w:ind w:left="360"/>
        <w:jc w:val="both"/>
        <w:rPr>
          <w:color w:val="000000" w:themeColor="text1"/>
        </w:rPr>
      </w:pPr>
      <w:r w:rsidRPr="00243F3C">
        <w:rPr>
          <w:color w:val="000000" w:themeColor="text1"/>
        </w:rPr>
        <w:t xml:space="preserve">Classrooms </w:t>
      </w:r>
      <w:r w:rsidRPr="00243F3C">
        <w:rPr>
          <w:color w:val="000000" w:themeColor="text1"/>
        </w:rPr>
        <w:t xml:space="preserve">require students to process spoken information in challenging listening conditions, including following discussions, interpreting verbal instructions and learning though interactions with school staff and peers. For children with mild and unilateral hearing loss, these demands may increase listening effort and </w:t>
      </w:r>
      <w:r>
        <w:rPr>
          <w:color w:val="000000" w:themeColor="text1"/>
        </w:rPr>
        <w:t>a</w:t>
      </w:r>
      <w:r w:rsidRPr="00243F3C">
        <w:rPr>
          <w:color w:val="000000" w:themeColor="text1"/>
        </w:rPr>
        <w:t>ffect access to learning, participation and concentration.</w:t>
      </w:r>
    </w:p>
    <w:p w:rsidR="00D53968" w:rsidRPr="00FE5FCA" w:rsidP="00640C70">
      <w:pPr>
        <w:pStyle w:val="ListParagraph"/>
        <w:ind w:left="-360"/>
        <w:jc w:val="both"/>
        <w:rPr>
          <w:color w:val="C00000"/>
        </w:rPr>
      </w:pPr>
    </w:p>
    <w:p w:rsidR="00D53968" w:rsidRPr="00243F3C" w:rsidP="00243F3C">
      <w:pPr>
        <w:pStyle w:val="ListParagraph"/>
        <w:numPr>
          <w:ilvl w:val="0"/>
          <w:numId w:val="14"/>
        </w:numPr>
        <w:ind w:left="360"/>
        <w:rPr>
          <w:b/>
          <w:bCs/>
          <w:color w:val="000000" w:themeColor="text1"/>
        </w:rPr>
      </w:pPr>
      <w:r w:rsidRPr="00243F3C">
        <w:rPr>
          <w:b/>
          <w:bCs/>
          <w:color w:val="000000" w:themeColor="text1"/>
        </w:rPr>
        <w:t>Awareness and recognition may require further development</w:t>
      </w:r>
    </w:p>
    <w:p w:rsidR="00D53968" w:rsidP="00A16353">
      <w:pPr>
        <w:pStyle w:val="ListParagraph"/>
        <w:ind w:left="360"/>
        <w:jc w:val="both"/>
        <w:rPr>
          <w:color w:val="000000" w:themeColor="text1"/>
        </w:rPr>
      </w:pPr>
      <w:r>
        <w:rPr>
          <w:color w:val="000000" w:themeColor="text1"/>
        </w:rPr>
        <w:t xml:space="preserve">The limited visibility of mild and unilateral hearing loss within educational guidance may contribute to uncertainty around identification and support. Further consideration of these needs within professional guidance and training could help ensure that education professionals are better equipped to recognise potential barriers and implement appropriate adjustments. </w:t>
      </w:r>
    </w:p>
    <w:p w:rsidR="00D53968" w:rsidRPr="00243F3C" w:rsidP="00243F3C">
      <w:pPr>
        <w:pStyle w:val="ListParagraph"/>
        <w:ind w:left="360"/>
        <w:jc w:val="both"/>
        <w:rPr>
          <w:color w:val="000000" w:themeColor="text1"/>
        </w:rPr>
      </w:pPr>
    </w:p>
    <w:p w:rsidR="00D53968" w:rsidRPr="007C248D" w:rsidP="00640C70">
      <w:pPr>
        <w:rPr>
          <w:b/>
          <w:bCs/>
          <w:color w:val="000000" w:themeColor="text1"/>
        </w:rPr>
      </w:pPr>
      <w:r w:rsidRPr="007C248D">
        <w:rPr>
          <w:b/>
          <w:bCs/>
          <w:color w:val="000000" w:themeColor="text1"/>
        </w:rPr>
        <w:t xml:space="preserve">Key Evidence </w:t>
      </w:r>
    </w:p>
    <w:p w:rsidR="00D53968" w:rsidRPr="00352B1E" w:rsidP="00640C70">
      <w:pPr>
        <w:pStyle w:val="ListParagraph"/>
        <w:numPr>
          <w:ilvl w:val="0"/>
          <w:numId w:val="14"/>
        </w:numPr>
        <w:ind w:left="360"/>
        <w:jc w:val="both"/>
        <w:rPr>
          <w:color w:val="000000" w:themeColor="text1"/>
        </w:rPr>
      </w:pPr>
      <w:r>
        <w:rPr>
          <w:color w:val="000000" w:themeColor="text1"/>
        </w:rPr>
        <w:t xml:space="preserve">While the relationship between hearing loss and educational outcomes has been widely studied, much of the existing research has focused on children with more significant levels of hearing loss and does not consistently distinguish between different degrees of impairment. As a result, the educational impact of mild and unilateral hearing loss remains less well understood, despite prevalence estimates indicating that these forms of hearing loss affect a substantial proportion of children and young people. </w:t>
      </w:r>
    </w:p>
    <w:p w:rsidR="00D53968" w:rsidP="00640C70">
      <w:pPr>
        <w:pStyle w:val="ListParagraph"/>
        <w:numPr>
          <w:ilvl w:val="0"/>
          <w:numId w:val="14"/>
        </w:numPr>
        <w:ind w:left="360"/>
        <w:jc w:val="both"/>
        <w:rPr>
          <w:color w:val="000000" w:themeColor="text1"/>
        </w:rPr>
      </w:pPr>
      <w:r w:rsidRPr="00352B1E">
        <w:rPr>
          <w:color w:val="000000" w:themeColor="text1"/>
        </w:rPr>
        <w:t xml:space="preserve">Collier </w:t>
      </w:r>
      <w:r w:rsidRPr="00352B1E">
        <w:rPr>
          <w:color w:val="000000" w:themeColor="text1"/>
        </w:rPr>
        <w:fldChar w:fldCharType="begin"/>
      </w:r>
      <w:r w:rsidRPr="00352B1E">
        <w:rPr>
          <w:color w:val="000000" w:themeColor="text1"/>
        </w:rPr>
        <w:instrText xml:space="preserve"> ADDIN EN.CITE &lt;EndNote&gt;&lt;Cite ExcludeAuth="1"&gt;&lt;Author&gt;Collier&lt;/Author&gt;&lt;Year&gt;2025&lt;/Year&gt;&lt;RecNum&gt;9856&lt;/RecNum&gt;&lt;DisplayText&gt;(2025)&lt;/DisplayText&gt;&lt;record&gt;&lt;rec-number&gt;9856&lt;/rec-number&gt;&lt;foreign-keys&gt;&lt;key app="EN" db-id="ssex2padeddvp7edvf1v055wsraea9fxwtar" timestamp="1777022213"&gt;9856&lt;/key&gt;&lt;/foreign-keys&gt;&lt;ref-type name="Journal Article"&gt;17&lt;/ref-type&gt;&lt;contributors&gt;&lt;authors&gt;&lt;author&gt;Collier, Katherine&lt;/author&gt;&lt;/authors&gt;&lt;/contributors&gt;&lt;titles&gt;&lt;title&gt;Academic achievement of children with unilateral or mild bilateral he</w:instrText>
      </w:r>
      <w:r w:rsidRPr="00352B1E">
        <w:rPr>
          <w:color w:val="000000" w:themeColor="text1"/>
        </w:rPr>
        <w:instrText>aring loss: A systematic review&lt;/title&gt;&lt;secondary-title&gt;Review of Education&lt;/secondary-title&gt;&lt;/titles&gt;&lt;periodical&gt;&lt;full-title&gt;Review of Education&lt;/full-title&gt;&lt;/periodical&gt;&lt;pages&gt;e70072&lt;/pages&gt;&lt;volume&gt;13&lt;/volume&gt;&lt;number&gt;2&lt;/number&gt;&lt;dates&gt;&lt;year&gt;2025&lt;/year&gt;&lt;/dates&gt;&lt;urls&gt;&lt;/urls&gt;&lt;electronic-resource-num&gt;https://doi.org/10.1002/rev3.70072&lt;/electronic-resource-num&gt;&lt;/record&gt;&lt;/Cite&gt;&lt;/EndNote&gt;</w:instrText>
      </w:r>
      <w:r w:rsidRPr="00352B1E">
        <w:rPr>
          <w:color w:val="000000" w:themeColor="text1"/>
        </w:rPr>
        <w:fldChar w:fldCharType="separate"/>
      </w:r>
      <w:r w:rsidRPr="00352B1E">
        <w:rPr>
          <w:noProof/>
          <w:color w:val="000000" w:themeColor="text1"/>
        </w:rPr>
        <w:t>(2025)</w:t>
      </w:r>
      <w:r w:rsidRPr="00352B1E">
        <w:rPr>
          <w:color w:val="000000" w:themeColor="text1"/>
        </w:rPr>
        <w:fldChar w:fldCharType="end"/>
      </w:r>
      <w:r w:rsidRPr="00352B1E">
        <w:rPr>
          <w:color w:val="000000" w:themeColor="text1"/>
        </w:rPr>
        <w:t xml:space="preserve"> sought to address this evidence gap </w:t>
      </w:r>
      <w:r w:rsidRPr="00352B1E">
        <w:rPr>
          <w:color w:val="000000" w:themeColor="text1"/>
        </w:rPr>
        <w:t>through a systematic review examining the relationship between mild and unilateral hearing loss and academic achievement among primary-aged children. The review analysed evidence from the eight studies that met the inclusion criteria and found that 50 out of 56 effect sizes were negative</w:t>
      </w:r>
      <w:r>
        <w:rPr>
          <w:color w:val="000000" w:themeColor="text1"/>
        </w:rPr>
        <w:t>,</w:t>
      </w:r>
      <w:r w:rsidRPr="00352B1E">
        <w:rPr>
          <w:color w:val="000000" w:themeColor="text1"/>
        </w:rPr>
        <w:t xml:space="preserve"> indicating that children with mild and unilateral hearing loss generally achieved lower assessment scores than their hearing peers. </w:t>
      </w:r>
      <w:r>
        <w:rPr>
          <w:color w:val="000000" w:themeColor="text1"/>
        </w:rPr>
        <w:t>26 of the 50 negative effect sizes met the threshold for a substantially important effect</w:t>
      </w:r>
      <w:r>
        <w:rPr>
          <w:color w:val="000000" w:themeColor="text1"/>
        </w:rPr>
        <w:t xml:space="preserve">, defined as an effect size greater than or equal to 0.25 </w:t>
      </w:r>
      <w:r w:rsidRPr="00D30A81">
        <w:rPr>
          <w:rFonts w:ascii="Arial" w:hAnsi="Arial" w:cs="Arial"/>
          <w:color w:val="000000" w:themeColor="text1"/>
        </w:rPr>
        <w:fldChar w:fldCharType="begin"/>
      </w:r>
      <w:r w:rsidRPr="00D30A81">
        <w:rPr>
          <w:rFonts w:ascii="Arial" w:hAnsi="Arial" w:cs="Arial"/>
          <w:color w:val="000000" w:themeColor="text1"/>
        </w:rPr>
        <w:instrText xml:space="preserve"> ADDIN EN.CITE &lt;EndNote&gt;&lt;Cite&gt;&lt;Author&gt;WWC&lt;/Author&gt;&lt;Year&gt;2017&lt;/Year&gt;&lt;RecNum&gt;9750&lt;/RecNum&gt;&lt;DisplayText&gt;(WWC, 2017)&lt;/DisplayText&gt;&lt;record&gt;&lt;rec-number&gt;9750&lt;/rec-number&gt;&lt;foreign-keys&gt;&lt;key app="EN" db-id="ssex2padeddvp7edvf1v055wsraea9fxwtar" timestamp="1691441502"&gt;9750&lt;/key&gt;&lt;/foreign-keys&gt;&lt;ref-type name="Report"&gt;27&lt;/ref-type&gt;&lt;contributors&gt;&lt;authors&gt;&lt;author&gt;WWC&lt;/author&gt;&lt;/authors&gt;&lt;/contributors&gt;&lt;titles&gt;&lt;title&gt;Standards Handbook Version 4.0&lt;/title&gt;&lt;/titles&gt;&lt;dates&gt;&lt;year&gt;2017&lt;/year&gt;&lt;/dates&gt;&lt;publisher&gt;What Works Clearin</w:instrText>
      </w:r>
      <w:r w:rsidRPr="00D30A81">
        <w:rPr>
          <w:rFonts w:ascii="Arial" w:hAnsi="Arial" w:cs="Arial"/>
          <w:color w:val="000000" w:themeColor="text1"/>
        </w:rPr>
        <w:instrText>ghouse&lt;/publisher&gt;&lt;urls&gt;&lt;/urls&gt;&lt;/record&gt;&lt;/Cite&gt;&lt;/EndNote&gt;</w:instrText>
      </w:r>
      <w:r w:rsidRPr="00D30A81">
        <w:rPr>
          <w:rFonts w:ascii="Arial" w:hAnsi="Arial" w:cs="Arial"/>
          <w:color w:val="000000" w:themeColor="text1"/>
        </w:rPr>
        <w:fldChar w:fldCharType="separate"/>
      </w:r>
      <w:r w:rsidRPr="00D30A81">
        <w:rPr>
          <w:rFonts w:ascii="Arial" w:hAnsi="Arial" w:cs="Arial"/>
          <w:color w:val="000000" w:themeColor="text1"/>
        </w:rPr>
        <w:t>(WWC, 2017)</w:t>
      </w:r>
      <w:r w:rsidRPr="00D30A81">
        <w:rPr>
          <w:rFonts w:ascii="Arial" w:hAnsi="Arial" w:cs="Arial"/>
          <w:color w:val="000000" w:themeColor="text1"/>
        </w:rPr>
        <w:fldChar w:fldCharType="end"/>
      </w:r>
      <w:r>
        <w:rPr>
          <w:rFonts w:ascii="Arial" w:hAnsi="Arial" w:cs="Arial"/>
          <w:color w:val="000000" w:themeColor="text1"/>
        </w:rPr>
        <w:t xml:space="preserve">. </w:t>
      </w:r>
      <w:r>
        <w:rPr>
          <w:color w:val="000000" w:themeColor="text1"/>
        </w:rPr>
        <w:t xml:space="preserve">None of the positive effect sizes met this threshold. Although the evidence base remains limited and consists of relatively small and heterogeneous studies, the findings indicate that mild and unliteral hearing loss should not be assumed to have minimal impact on educational outcomes. </w:t>
      </w:r>
    </w:p>
    <w:p w:rsidR="00D53968" w:rsidP="00640C70">
      <w:pPr>
        <w:pStyle w:val="ListParagraph"/>
        <w:numPr>
          <w:ilvl w:val="0"/>
          <w:numId w:val="14"/>
        </w:numPr>
        <w:ind w:left="360"/>
        <w:jc w:val="both"/>
        <w:rPr>
          <w:color w:val="000000" w:themeColor="text1"/>
        </w:rPr>
      </w:pPr>
      <w:r w:rsidRPr="00D30A81">
        <w:rPr>
          <w:color w:val="000000" w:themeColor="text1"/>
        </w:rPr>
        <w:t xml:space="preserve">Table 1 summarises the percentage of </w:t>
      </w:r>
      <w:r>
        <w:rPr>
          <w:color w:val="000000" w:themeColor="text1"/>
        </w:rPr>
        <w:t>all</w:t>
      </w:r>
      <w:r w:rsidRPr="00D30A81">
        <w:rPr>
          <w:color w:val="000000" w:themeColor="text1"/>
        </w:rPr>
        <w:t xml:space="preserve"> effect sizes that were </w:t>
      </w:r>
      <w:r>
        <w:rPr>
          <w:color w:val="000000" w:themeColor="text1"/>
        </w:rPr>
        <w:t xml:space="preserve">both negative and </w:t>
      </w:r>
      <w:r w:rsidRPr="00D30A81">
        <w:rPr>
          <w:color w:val="000000" w:themeColor="text1"/>
        </w:rPr>
        <w:t>substantially important</w:t>
      </w:r>
      <w:r>
        <w:rPr>
          <w:color w:val="000000" w:themeColor="text1"/>
        </w:rPr>
        <w:t xml:space="preserve"> for each learning </w:t>
      </w:r>
      <w:r w:rsidRPr="00D30A81">
        <w:rPr>
          <w:color w:val="000000" w:themeColor="text1"/>
        </w:rPr>
        <w:t>outcome and hearing loss category</w:t>
      </w:r>
      <w:r>
        <w:rPr>
          <w:color w:val="000000" w:themeColor="text1"/>
        </w:rPr>
        <w:t xml:space="preserve"> </w:t>
      </w:r>
      <w:r w:rsidRPr="00352B1E">
        <w:rPr>
          <w:color w:val="000000" w:themeColor="text1"/>
        </w:rPr>
        <w:fldChar w:fldCharType="begin"/>
      </w:r>
      <w:r>
        <w:rPr>
          <w:color w:val="000000" w:themeColor="text1"/>
        </w:rPr>
        <w:instrText xml:space="preserve"> ADDIN EN.CITE &lt;EndNote&gt;&lt;Cite&gt;&lt;Author&gt;Collier&lt;/Author&gt;&lt;Year&gt;2025&lt;/Year&gt;&lt;RecNum&gt;9856&lt;/RecNum&gt;&lt;DisplayText&gt;(Collier, 2025)&lt;/DisplayText&gt;&lt;record&gt;&lt;rec-number&gt;9856&lt;/rec-number&gt;&lt;foreign-keys&gt;&lt;key app="EN" db-id="ssex2padeddvp7edvf1v055wsraea9fxwtar" timestamp="1777022213"&gt;9856&lt;/key&gt;&lt;/foreign-keys&gt;&lt;ref-type name="Journal Article"&gt;17&lt;/ref-type&gt;&lt;contributors&gt;&lt;authors&gt;&lt;author&gt;Collier, Katherine&lt;/author&gt;&lt;/authors&gt;&lt;/contributors&gt;&lt;titles&gt;&lt;title&gt;Academic achievement of children with unilateral or mild bilateral hearing l</w:instrText>
      </w:r>
      <w:r>
        <w:rPr>
          <w:color w:val="000000" w:themeColor="text1"/>
        </w:rPr>
        <w:instrText>oss: A systematic review&lt;/title&gt;&lt;secondary-title&gt;Review of Education&lt;/secondary-title&gt;&lt;/titles&gt;&lt;periodical&gt;&lt;full-title&gt;Review of Education&lt;/full-title&gt;&lt;/periodical&gt;&lt;pages&gt;e70072&lt;/pages&gt;&lt;volume&gt;13&lt;/volume&gt;&lt;number&gt;2&lt;/number&gt;&lt;dates&gt;&lt;year&gt;2025&lt;/year&gt;&lt;/dates&gt;&lt;urls&gt;&lt;/urls&gt;&lt;electronic-resource-num&gt;https://doi.org/10.1002/rev3.70072&lt;/electronic-resource-num&gt;&lt;/record&gt;&lt;/Cite&gt;&lt;/EndNote&gt;</w:instrText>
      </w:r>
      <w:r w:rsidRPr="00352B1E">
        <w:rPr>
          <w:color w:val="000000" w:themeColor="text1"/>
        </w:rPr>
        <w:fldChar w:fldCharType="separate"/>
      </w:r>
      <w:r>
        <w:rPr>
          <w:noProof/>
          <w:color w:val="000000" w:themeColor="text1"/>
        </w:rPr>
        <w:t xml:space="preserve">(Collier, </w:t>
      </w:r>
      <w:r>
        <w:rPr>
          <w:noProof/>
          <w:color w:val="000000" w:themeColor="text1"/>
        </w:rPr>
        <w:t>2025)</w:t>
      </w:r>
      <w:r w:rsidRPr="00352B1E">
        <w:rPr>
          <w:color w:val="000000" w:themeColor="text1"/>
        </w:rPr>
        <w:fldChar w:fldCharType="end"/>
      </w:r>
      <w:r w:rsidRPr="00D30A81">
        <w:rPr>
          <w:color w:val="000000" w:themeColor="text1"/>
        </w:rPr>
        <w:t>.</w:t>
      </w:r>
      <w:r>
        <w:rPr>
          <w:color w:val="000000" w:themeColor="text1"/>
        </w:rPr>
        <w:t xml:space="preserve"> The values represent the percentage of all effect sizes within each learning outcome and hearing loss category</w:t>
      </w:r>
      <w:r>
        <w:rPr>
          <w:color w:val="000000" w:themeColor="text1"/>
        </w:rPr>
        <w:t xml:space="preserve"> that were negative and met the threshold for substantial importance (effect size </w:t>
      </w:r>
      <w:r>
        <w:rPr>
          <w:rFonts w:ascii="Symbol" w:hAnsi="Symbol"/>
          <w:color w:val="000000" w:themeColor="text1"/>
        </w:rPr>
        <w:sym w:font="Symbol" w:char="F0B3"/>
      </w:r>
      <w:r>
        <w:rPr>
          <w:color w:val="000000" w:themeColor="text1"/>
        </w:rPr>
        <w:t xml:space="preserve"> 0.25). </w:t>
      </w:r>
    </w:p>
    <w:p w:rsidR="00D53968" w:rsidP="00891E84">
      <w:pPr>
        <w:jc w:val="both"/>
        <w:rPr>
          <w:color w:val="000000" w:themeColor="text1"/>
        </w:rPr>
      </w:pPr>
    </w:p>
    <w:p w:rsidR="00D53968" w:rsidP="00891E84">
      <w:pPr>
        <w:jc w:val="both"/>
        <w:rPr>
          <w:color w:val="000000" w:themeColor="text1"/>
        </w:rPr>
      </w:pPr>
    </w:p>
    <w:p w:rsidR="00D53968" w:rsidP="00891E84">
      <w:pPr>
        <w:jc w:val="both"/>
        <w:rPr>
          <w:color w:val="000000" w:themeColor="text1"/>
        </w:rPr>
      </w:pPr>
    </w:p>
    <w:p w:rsidR="00D53968" w:rsidP="00891E84">
      <w:pPr>
        <w:jc w:val="both"/>
        <w:rPr>
          <w:color w:val="000000" w:themeColor="text1"/>
        </w:rPr>
      </w:pPr>
    </w:p>
    <w:p w:rsidR="00D53968" w:rsidP="00891E84">
      <w:pPr>
        <w:pStyle w:val="Caption"/>
        <w:keepNext/>
      </w:pPr>
      <w:r>
        <w:t xml:space="preserve">Table </w:t>
      </w:r>
      <w:r>
        <w:fldChar w:fldCharType="begin"/>
      </w:r>
      <w:r>
        <w:instrText xml:space="preserve"> SEQ Table \* ARABIC </w:instrText>
      </w:r>
      <w:r>
        <w:fldChar w:fldCharType="separate"/>
      </w:r>
      <w:r>
        <w:rPr>
          <w:noProof/>
        </w:rPr>
        <w:t>1</w:t>
      </w:r>
      <w:r>
        <w:rPr>
          <w:noProof/>
        </w:rPr>
        <w:fldChar w:fldCharType="end"/>
      </w:r>
      <w:r>
        <w:t xml:space="preserve">- Percentage of all effect sizes that were both negative and substantially important for each hearing loss level and learning outcome </w:t>
      </w:r>
    </w:p>
    <w:tbl>
      <w:tblPr>
        <w:tblStyle w:val="TableGrid"/>
        <w:tblW w:w="0" w:type="auto"/>
        <w:tblLook w:val="04A0"/>
      </w:tblPr>
      <w:tblGrid>
        <w:gridCol w:w="1268"/>
        <w:gridCol w:w="2555"/>
        <w:gridCol w:w="1701"/>
        <w:gridCol w:w="1701"/>
        <w:gridCol w:w="1791"/>
      </w:tblGrid>
      <w:tr w:rsidTr="00A16353">
        <w:tblPrEx>
          <w:tblW w:w="0" w:type="auto"/>
          <w:tblLook w:val="04A0"/>
        </w:tblPrEx>
        <w:tc>
          <w:tcPr>
            <w:tcW w:w="3823" w:type="dxa"/>
            <w:gridSpan w:val="2"/>
            <w:vMerge w:val="restart"/>
            <w:vAlign w:val="bottom"/>
          </w:tcPr>
          <w:p w:rsidR="00D53968" w:rsidP="00891E84">
            <w:pPr>
              <w:jc w:val="right"/>
              <w:rPr>
                <w:color w:val="000000" w:themeColor="text1"/>
              </w:rPr>
            </w:pPr>
            <w:r>
              <w:rPr>
                <w:color w:val="000000" w:themeColor="text1"/>
              </w:rPr>
              <w:t>%</w:t>
            </w:r>
          </w:p>
        </w:tc>
        <w:tc>
          <w:tcPr>
            <w:tcW w:w="5193" w:type="dxa"/>
            <w:gridSpan w:val="3"/>
          </w:tcPr>
          <w:p w:rsidR="00D53968" w:rsidP="00891E84">
            <w:pPr>
              <w:jc w:val="center"/>
              <w:rPr>
                <w:color w:val="000000" w:themeColor="text1"/>
              </w:rPr>
            </w:pPr>
            <w:r>
              <w:rPr>
                <w:color w:val="000000" w:themeColor="text1"/>
              </w:rPr>
              <w:t>Hearing loss level</w:t>
            </w:r>
          </w:p>
        </w:tc>
      </w:tr>
      <w:tr w:rsidTr="00A16353">
        <w:tblPrEx>
          <w:tblW w:w="0" w:type="auto"/>
          <w:tblLook w:val="04A0"/>
        </w:tblPrEx>
        <w:tc>
          <w:tcPr>
            <w:tcW w:w="3823" w:type="dxa"/>
            <w:gridSpan w:val="2"/>
            <w:vMerge/>
          </w:tcPr>
          <w:p w:rsidR="00D53968" w:rsidP="00891E84">
            <w:pPr>
              <w:jc w:val="both"/>
              <w:rPr>
                <w:color w:val="000000" w:themeColor="text1"/>
              </w:rPr>
            </w:pPr>
          </w:p>
        </w:tc>
        <w:tc>
          <w:tcPr>
            <w:tcW w:w="1701" w:type="dxa"/>
            <w:vAlign w:val="center"/>
          </w:tcPr>
          <w:p w:rsidR="00D53968" w:rsidP="00891E84">
            <w:pPr>
              <w:jc w:val="center"/>
              <w:rPr>
                <w:color w:val="000000" w:themeColor="text1"/>
              </w:rPr>
            </w:pPr>
            <w:r>
              <w:rPr>
                <w:color w:val="000000" w:themeColor="text1"/>
              </w:rPr>
              <w:t>Unilateral</w:t>
            </w:r>
          </w:p>
        </w:tc>
        <w:tc>
          <w:tcPr>
            <w:tcW w:w="1701" w:type="dxa"/>
            <w:vAlign w:val="center"/>
          </w:tcPr>
          <w:p w:rsidR="00D53968" w:rsidP="00891E84">
            <w:pPr>
              <w:jc w:val="center"/>
              <w:rPr>
                <w:color w:val="000000" w:themeColor="text1"/>
              </w:rPr>
            </w:pPr>
            <w:r>
              <w:rPr>
                <w:color w:val="000000" w:themeColor="text1"/>
              </w:rPr>
              <w:t>Mild</w:t>
            </w:r>
          </w:p>
        </w:tc>
        <w:tc>
          <w:tcPr>
            <w:tcW w:w="1791" w:type="dxa"/>
            <w:vAlign w:val="center"/>
          </w:tcPr>
          <w:p w:rsidR="00D53968" w:rsidP="00891E84">
            <w:pPr>
              <w:jc w:val="center"/>
              <w:rPr>
                <w:color w:val="000000" w:themeColor="text1"/>
              </w:rPr>
            </w:pPr>
            <w:r>
              <w:rPr>
                <w:color w:val="000000" w:themeColor="text1"/>
              </w:rPr>
              <w:t>Both hearing loss groups</w:t>
            </w:r>
          </w:p>
        </w:tc>
      </w:tr>
      <w:tr w:rsidTr="00A16353">
        <w:tblPrEx>
          <w:tblW w:w="0" w:type="auto"/>
          <w:tblLook w:val="04A0"/>
        </w:tblPrEx>
        <w:tc>
          <w:tcPr>
            <w:tcW w:w="1268" w:type="dxa"/>
            <w:vMerge w:val="restart"/>
            <w:vAlign w:val="center"/>
          </w:tcPr>
          <w:p w:rsidR="00D53968" w:rsidP="00891E84">
            <w:pPr>
              <w:rPr>
                <w:color w:val="000000" w:themeColor="text1"/>
              </w:rPr>
            </w:pPr>
            <w:r>
              <w:rPr>
                <w:color w:val="000000" w:themeColor="text1"/>
              </w:rPr>
              <w:t>Learning outcome</w:t>
            </w:r>
          </w:p>
        </w:tc>
        <w:tc>
          <w:tcPr>
            <w:tcW w:w="2555" w:type="dxa"/>
          </w:tcPr>
          <w:p w:rsidR="00D53968" w:rsidP="00891E84">
            <w:pPr>
              <w:jc w:val="both"/>
              <w:rPr>
                <w:color w:val="000000" w:themeColor="text1"/>
              </w:rPr>
            </w:pPr>
            <w:r>
              <w:rPr>
                <w:color w:val="000000" w:themeColor="text1"/>
              </w:rPr>
              <w:t>Oral language</w:t>
            </w:r>
          </w:p>
        </w:tc>
        <w:tc>
          <w:tcPr>
            <w:tcW w:w="1701" w:type="dxa"/>
            <w:vAlign w:val="center"/>
          </w:tcPr>
          <w:p w:rsidR="00D53968" w:rsidP="00891E84">
            <w:pPr>
              <w:jc w:val="center"/>
              <w:rPr>
                <w:color w:val="000000" w:themeColor="text1"/>
              </w:rPr>
            </w:pPr>
            <w:r>
              <w:rPr>
                <w:color w:val="000000" w:themeColor="text1"/>
              </w:rPr>
              <w:t>100</w:t>
            </w:r>
          </w:p>
        </w:tc>
        <w:tc>
          <w:tcPr>
            <w:tcW w:w="1701" w:type="dxa"/>
            <w:vAlign w:val="center"/>
          </w:tcPr>
          <w:p w:rsidR="00D53968" w:rsidP="00891E84">
            <w:pPr>
              <w:jc w:val="center"/>
              <w:rPr>
                <w:color w:val="000000" w:themeColor="text1"/>
              </w:rPr>
            </w:pPr>
            <w:r>
              <w:rPr>
                <w:color w:val="000000" w:themeColor="text1"/>
              </w:rPr>
              <w:t>67</w:t>
            </w:r>
          </w:p>
        </w:tc>
        <w:tc>
          <w:tcPr>
            <w:tcW w:w="1791" w:type="dxa"/>
            <w:vAlign w:val="center"/>
          </w:tcPr>
          <w:p w:rsidR="00D53968" w:rsidP="00891E84">
            <w:pPr>
              <w:jc w:val="center"/>
              <w:rPr>
                <w:color w:val="000000" w:themeColor="text1"/>
              </w:rPr>
            </w:pPr>
            <w:r>
              <w:rPr>
                <w:color w:val="000000" w:themeColor="text1"/>
              </w:rPr>
              <w:t>86</w:t>
            </w:r>
          </w:p>
        </w:tc>
      </w:tr>
      <w:tr w:rsidTr="00A16353">
        <w:tblPrEx>
          <w:tblW w:w="0" w:type="auto"/>
          <w:tblLook w:val="04A0"/>
        </w:tblPrEx>
        <w:tc>
          <w:tcPr>
            <w:tcW w:w="1268" w:type="dxa"/>
            <w:vMerge/>
          </w:tcPr>
          <w:p w:rsidR="00D53968" w:rsidP="00891E84">
            <w:pPr>
              <w:jc w:val="both"/>
              <w:rPr>
                <w:color w:val="000000" w:themeColor="text1"/>
              </w:rPr>
            </w:pPr>
          </w:p>
        </w:tc>
        <w:tc>
          <w:tcPr>
            <w:tcW w:w="2555" w:type="dxa"/>
          </w:tcPr>
          <w:p w:rsidR="00D53968" w:rsidP="00891E84">
            <w:pPr>
              <w:jc w:val="both"/>
              <w:rPr>
                <w:color w:val="000000" w:themeColor="text1"/>
              </w:rPr>
            </w:pPr>
            <w:r>
              <w:rPr>
                <w:color w:val="000000" w:themeColor="text1"/>
              </w:rPr>
              <w:t>Reading</w:t>
            </w:r>
          </w:p>
        </w:tc>
        <w:tc>
          <w:tcPr>
            <w:tcW w:w="1701" w:type="dxa"/>
            <w:vAlign w:val="center"/>
          </w:tcPr>
          <w:p w:rsidR="00D53968" w:rsidP="00891E84">
            <w:pPr>
              <w:jc w:val="center"/>
              <w:rPr>
                <w:color w:val="000000" w:themeColor="text1"/>
              </w:rPr>
            </w:pPr>
            <w:r>
              <w:rPr>
                <w:color w:val="000000" w:themeColor="text1"/>
              </w:rPr>
              <w:t>57</w:t>
            </w:r>
          </w:p>
        </w:tc>
        <w:tc>
          <w:tcPr>
            <w:tcW w:w="1701" w:type="dxa"/>
            <w:vAlign w:val="center"/>
          </w:tcPr>
          <w:p w:rsidR="00D53968" w:rsidP="00891E84">
            <w:pPr>
              <w:jc w:val="center"/>
              <w:rPr>
                <w:color w:val="000000" w:themeColor="text1"/>
              </w:rPr>
            </w:pPr>
            <w:r>
              <w:rPr>
                <w:color w:val="000000" w:themeColor="text1"/>
              </w:rPr>
              <w:t>38</w:t>
            </w:r>
          </w:p>
        </w:tc>
        <w:tc>
          <w:tcPr>
            <w:tcW w:w="1791" w:type="dxa"/>
            <w:vAlign w:val="center"/>
          </w:tcPr>
          <w:p w:rsidR="00D53968" w:rsidP="00891E84">
            <w:pPr>
              <w:jc w:val="center"/>
              <w:rPr>
                <w:color w:val="000000" w:themeColor="text1"/>
              </w:rPr>
            </w:pPr>
            <w:r>
              <w:rPr>
                <w:color w:val="000000" w:themeColor="text1"/>
              </w:rPr>
              <w:t>43</w:t>
            </w:r>
          </w:p>
        </w:tc>
      </w:tr>
      <w:tr w:rsidTr="00A16353">
        <w:tblPrEx>
          <w:tblW w:w="0" w:type="auto"/>
          <w:tblLook w:val="04A0"/>
        </w:tblPrEx>
        <w:tc>
          <w:tcPr>
            <w:tcW w:w="1268" w:type="dxa"/>
            <w:vMerge/>
          </w:tcPr>
          <w:p w:rsidR="00D53968" w:rsidP="00891E84">
            <w:pPr>
              <w:jc w:val="both"/>
              <w:rPr>
                <w:color w:val="000000" w:themeColor="text1"/>
              </w:rPr>
            </w:pPr>
          </w:p>
        </w:tc>
        <w:tc>
          <w:tcPr>
            <w:tcW w:w="2555" w:type="dxa"/>
          </w:tcPr>
          <w:p w:rsidR="00D53968" w:rsidP="00891E84">
            <w:pPr>
              <w:jc w:val="both"/>
              <w:rPr>
                <w:color w:val="000000" w:themeColor="text1"/>
              </w:rPr>
            </w:pPr>
            <w:r>
              <w:rPr>
                <w:color w:val="000000" w:themeColor="text1"/>
              </w:rPr>
              <w:t>Numeracy</w:t>
            </w:r>
          </w:p>
        </w:tc>
        <w:tc>
          <w:tcPr>
            <w:tcW w:w="1701" w:type="dxa"/>
            <w:vAlign w:val="center"/>
          </w:tcPr>
          <w:p w:rsidR="00D53968" w:rsidP="00891E84">
            <w:pPr>
              <w:jc w:val="center"/>
              <w:rPr>
                <w:color w:val="000000" w:themeColor="text1"/>
              </w:rPr>
            </w:pPr>
            <w:r>
              <w:rPr>
                <w:color w:val="000000" w:themeColor="text1"/>
              </w:rPr>
              <w:t>25</w:t>
            </w:r>
          </w:p>
        </w:tc>
        <w:tc>
          <w:tcPr>
            <w:tcW w:w="1701" w:type="dxa"/>
            <w:vAlign w:val="center"/>
          </w:tcPr>
          <w:p w:rsidR="00D53968" w:rsidP="00891E84">
            <w:pPr>
              <w:jc w:val="center"/>
              <w:rPr>
                <w:color w:val="000000" w:themeColor="text1"/>
              </w:rPr>
            </w:pPr>
            <w:r>
              <w:rPr>
                <w:color w:val="000000" w:themeColor="text1"/>
              </w:rPr>
              <w:t>0</w:t>
            </w:r>
          </w:p>
        </w:tc>
        <w:tc>
          <w:tcPr>
            <w:tcW w:w="1791" w:type="dxa"/>
            <w:vAlign w:val="center"/>
          </w:tcPr>
          <w:p w:rsidR="00D53968" w:rsidP="00891E84">
            <w:pPr>
              <w:jc w:val="center"/>
              <w:rPr>
                <w:color w:val="000000" w:themeColor="text1"/>
              </w:rPr>
            </w:pPr>
            <w:r>
              <w:rPr>
                <w:color w:val="000000" w:themeColor="text1"/>
              </w:rPr>
              <w:t>17</w:t>
            </w:r>
          </w:p>
        </w:tc>
      </w:tr>
      <w:tr w:rsidTr="00A16353">
        <w:tblPrEx>
          <w:tblW w:w="0" w:type="auto"/>
          <w:tblLook w:val="04A0"/>
        </w:tblPrEx>
        <w:tc>
          <w:tcPr>
            <w:tcW w:w="1268" w:type="dxa"/>
            <w:vMerge/>
          </w:tcPr>
          <w:p w:rsidR="00D53968" w:rsidP="00891E84">
            <w:pPr>
              <w:jc w:val="both"/>
              <w:rPr>
                <w:color w:val="000000" w:themeColor="text1"/>
              </w:rPr>
            </w:pPr>
          </w:p>
        </w:tc>
        <w:tc>
          <w:tcPr>
            <w:tcW w:w="2555" w:type="dxa"/>
          </w:tcPr>
          <w:p w:rsidR="00D53968" w:rsidP="00891E84">
            <w:pPr>
              <w:jc w:val="both"/>
              <w:rPr>
                <w:color w:val="000000" w:themeColor="text1"/>
              </w:rPr>
            </w:pPr>
            <w:r>
              <w:rPr>
                <w:color w:val="000000" w:themeColor="text1"/>
              </w:rPr>
              <w:t>Writing</w:t>
            </w:r>
          </w:p>
        </w:tc>
        <w:tc>
          <w:tcPr>
            <w:tcW w:w="1701" w:type="dxa"/>
            <w:vAlign w:val="center"/>
          </w:tcPr>
          <w:p w:rsidR="00D53968" w:rsidP="00891E84">
            <w:pPr>
              <w:jc w:val="center"/>
              <w:rPr>
                <w:color w:val="000000" w:themeColor="text1"/>
              </w:rPr>
            </w:pPr>
            <w:r>
              <w:rPr>
                <w:color w:val="000000" w:themeColor="text1"/>
              </w:rPr>
              <w:t>0</w:t>
            </w:r>
          </w:p>
        </w:tc>
        <w:tc>
          <w:tcPr>
            <w:tcW w:w="1701" w:type="dxa"/>
            <w:vAlign w:val="center"/>
          </w:tcPr>
          <w:p w:rsidR="00D53968" w:rsidP="00891E84">
            <w:pPr>
              <w:jc w:val="center"/>
              <w:rPr>
                <w:color w:val="000000" w:themeColor="text1"/>
              </w:rPr>
            </w:pPr>
            <w:r>
              <w:rPr>
                <w:color w:val="000000" w:themeColor="text1"/>
              </w:rPr>
              <w:t>0</w:t>
            </w:r>
          </w:p>
        </w:tc>
        <w:tc>
          <w:tcPr>
            <w:tcW w:w="1791" w:type="dxa"/>
            <w:vAlign w:val="center"/>
          </w:tcPr>
          <w:p w:rsidR="00D53968" w:rsidP="00891E84">
            <w:pPr>
              <w:jc w:val="center"/>
              <w:rPr>
                <w:color w:val="000000" w:themeColor="text1"/>
              </w:rPr>
            </w:pPr>
            <w:r>
              <w:rPr>
                <w:color w:val="000000" w:themeColor="text1"/>
              </w:rPr>
              <w:t>0</w:t>
            </w:r>
          </w:p>
        </w:tc>
      </w:tr>
      <w:tr w:rsidTr="00A16353">
        <w:tblPrEx>
          <w:tblW w:w="0" w:type="auto"/>
          <w:tblLook w:val="04A0"/>
        </w:tblPrEx>
        <w:tc>
          <w:tcPr>
            <w:tcW w:w="1268" w:type="dxa"/>
            <w:vMerge/>
          </w:tcPr>
          <w:p w:rsidR="00D53968" w:rsidP="00891E84">
            <w:pPr>
              <w:jc w:val="both"/>
              <w:rPr>
                <w:color w:val="000000" w:themeColor="text1"/>
              </w:rPr>
            </w:pPr>
          </w:p>
        </w:tc>
        <w:tc>
          <w:tcPr>
            <w:tcW w:w="2555" w:type="dxa"/>
          </w:tcPr>
          <w:p w:rsidR="00D53968" w:rsidP="00891E84">
            <w:pPr>
              <w:jc w:val="both"/>
              <w:rPr>
                <w:color w:val="000000" w:themeColor="text1"/>
              </w:rPr>
            </w:pPr>
            <w:r>
              <w:rPr>
                <w:color w:val="000000" w:themeColor="text1"/>
              </w:rPr>
              <w:t xml:space="preserve">Other </w:t>
            </w:r>
          </w:p>
        </w:tc>
        <w:tc>
          <w:tcPr>
            <w:tcW w:w="1701" w:type="dxa"/>
            <w:vAlign w:val="center"/>
          </w:tcPr>
          <w:p w:rsidR="00D53968" w:rsidP="00891E84">
            <w:pPr>
              <w:jc w:val="center"/>
              <w:rPr>
                <w:color w:val="000000" w:themeColor="text1"/>
              </w:rPr>
            </w:pPr>
            <w:r>
              <w:rPr>
                <w:color w:val="000000" w:themeColor="text1"/>
              </w:rPr>
              <w:t>0</w:t>
            </w:r>
          </w:p>
        </w:tc>
        <w:tc>
          <w:tcPr>
            <w:tcW w:w="1701" w:type="dxa"/>
            <w:vAlign w:val="center"/>
          </w:tcPr>
          <w:p w:rsidR="00D53968" w:rsidP="00891E84">
            <w:pPr>
              <w:jc w:val="center"/>
              <w:rPr>
                <w:color w:val="000000" w:themeColor="text1"/>
              </w:rPr>
            </w:pPr>
            <w:r>
              <w:rPr>
                <w:color w:val="000000" w:themeColor="text1"/>
              </w:rPr>
              <w:t>57</w:t>
            </w:r>
          </w:p>
        </w:tc>
        <w:tc>
          <w:tcPr>
            <w:tcW w:w="1791" w:type="dxa"/>
            <w:vAlign w:val="center"/>
          </w:tcPr>
          <w:p w:rsidR="00D53968" w:rsidP="00891E84">
            <w:pPr>
              <w:jc w:val="center"/>
              <w:rPr>
                <w:color w:val="000000" w:themeColor="text1"/>
              </w:rPr>
            </w:pPr>
            <w:r>
              <w:rPr>
                <w:color w:val="000000" w:themeColor="text1"/>
              </w:rPr>
              <w:t>44</w:t>
            </w:r>
          </w:p>
        </w:tc>
      </w:tr>
      <w:tr w:rsidTr="00A16353">
        <w:tblPrEx>
          <w:tblW w:w="0" w:type="auto"/>
          <w:tblLook w:val="04A0"/>
        </w:tblPrEx>
        <w:tc>
          <w:tcPr>
            <w:tcW w:w="1268" w:type="dxa"/>
            <w:vMerge/>
          </w:tcPr>
          <w:p w:rsidR="00D53968" w:rsidP="00891E84">
            <w:pPr>
              <w:jc w:val="both"/>
              <w:rPr>
                <w:color w:val="000000" w:themeColor="text1"/>
              </w:rPr>
            </w:pPr>
          </w:p>
        </w:tc>
        <w:tc>
          <w:tcPr>
            <w:tcW w:w="2555" w:type="dxa"/>
          </w:tcPr>
          <w:p w:rsidR="00D53968" w:rsidP="00891E84">
            <w:pPr>
              <w:jc w:val="both"/>
              <w:rPr>
                <w:color w:val="000000" w:themeColor="text1"/>
              </w:rPr>
            </w:pPr>
            <w:r>
              <w:rPr>
                <w:color w:val="000000" w:themeColor="text1"/>
              </w:rPr>
              <w:t>All learning outcomes</w:t>
            </w:r>
          </w:p>
        </w:tc>
        <w:tc>
          <w:tcPr>
            <w:tcW w:w="1701" w:type="dxa"/>
            <w:vAlign w:val="center"/>
          </w:tcPr>
          <w:p w:rsidR="00D53968" w:rsidP="00891E84">
            <w:pPr>
              <w:jc w:val="center"/>
              <w:rPr>
                <w:color w:val="000000" w:themeColor="text1"/>
              </w:rPr>
            </w:pPr>
            <w:r>
              <w:rPr>
                <w:color w:val="000000" w:themeColor="text1"/>
              </w:rPr>
              <w:t>54</w:t>
            </w:r>
          </w:p>
        </w:tc>
        <w:tc>
          <w:tcPr>
            <w:tcW w:w="1701" w:type="dxa"/>
            <w:vAlign w:val="center"/>
          </w:tcPr>
          <w:p w:rsidR="00D53968" w:rsidP="00891E84">
            <w:pPr>
              <w:jc w:val="center"/>
              <w:rPr>
                <w:color w:val="000000" w:themeColor="text1"/>
              </w:rPr>
            </w:pPr>
            <w:r>
              <w:rPr>
                <w:color w:val="000000" w:themeColor="text1"/>
              </w:rPr>
              <w:t>42</w:t>
            </w:r>
          </w:p>
        </w:tc>
        <w:tc>
          <w:tcPr>
            <w:tcW w:w="1791" w:type="dxa"/>
            <w:vAlign w:val="center"/>
          </w:tcPr>
          <w:p w:rsidR="00D53968" w:rsidP="00891E84">
            <w:pPr>
              <w:jc w:val="center"/>
              <w:rPr>
                <w:color w:val="000000" w:themeColor="text1"/>
              </w:rPr>
            </w:pPr>
            <w:r>
              <w:rPr>
                <w:color w:val="000000" w:themeColor="text1"/>
              </w:rPr>
              <w:t>47</w:t>
            </w:r>
          </w:p>
        </w:tc>
      </w:tr>
    </w:tbl>
    <w:p w:rsidR="00D53968" w:rsidRPr="00251DEF" w:rsidP="00705B78">
      <w:pPr>
        <w:pStyle w:val="NormalWeb"/>
        <w:spacing w:before="0" w:beforeAutospacing="0" w:after="0" w:afterAutospacing="0" w:line="240" w:lineRule="auto"/>
        <w:rPr>
          <w:rFonts w:ascii="Arial" w:hAnsi="Arial" w:cs="Arial"/>
          <w:color w:val="C00000"/>
        </w:rPr>
      </w:pPr>
    </w:p>
    <w:p w:rsidR="00D53968" w:rsidRPr="005F0C51" w:rsidP="00640C70">
      <w:pPr>
        <w:pStyle w:val="ListParagraph"/>
        <w:numPr>
          <w:ilvl w:val="0"/>
          <w:numId w:val="14"/>
        </w:numPr>
        <w:ind w:left="360"/>
        <w:jc w:val="both"/>
        <w:rPr>
          <w:color w:val="000000" w:themeColor="text1"/>
        </w:rPr>
      </w:pPr>
      <w:r>
        <w:rPr>
          <w:color w:val="000000" w:themeColor="text1"/>
        </w:rPr>
        <w:t xml:space="preserve">Among the outcomes examined, oral language demonstrated the strongest and most consistent negative associations with both mild bilateral and unilateral hearing loss. All oral language measures for unilateral hearing loss and 67% of those for mild </w:t>
      </w:r>
      <w:r w:rsidRPr="005F0C51">
        <w:rPr>
          <w:color w:val="000000" w:themeColor="text1"/>
        </w:rPr>
        <w:t xml:space="preserve">bilateral hearing loss were of educational significance. </w:t>
      </w:r>
    </w:p>
    <w:p w:rsidR="00D53968" w:rsidRPr="005F0C51" w:rsidP="00640C70">
      <w:pPr>
        <w:pStyle w:val="ListParagraph"/>
        <w:numPr>
          <w:ilvl w:val="0"/>
          <w:numId w:val="14"/>
        </w:numPr>
        <w:ind w:left="360"/>
        <w:jc w:val="both"/>
        <w:rPr>
          <w:color w:val="000000" w:themeColor="text1"/>
        </w:rPr>
      </w:pPr>
      <w:r w:rsidRPr="005F0C51">
        <w:rPr>
          <w:color w:val="000000" w:themeColor="text1"/>
        </w:rPr>
        <w:t xml:space="preserve">Despite this evidence, children with mild and unilateral hearing loss remain comparatively under-researched and may not be consistently recognised within educational systems. Improving early identification, awareness and access to appropriate support aligns with the Government’s commitment to strengthening inclusion, early identification and outcomes for children with special educational needs and disabilities </w:t>
      </w:r>
      <w:r w:rsidRPr="005F0C51">
        <w:rPr>
          <w:color w:val="000000" w:themeColor="text1"/>
        </w:rPr>
        <w:fldChar w:fldCharType="begin"/>
      </w:r>
      <w:r w:rsidRPr="005F0C51">
        <w:rPr>
          <w:color w:val="000000" w:themeColor="text1"/>
        </w:rPr>
        <w:instrText xml:space="preserve"> ADDIN EN.CITE &lt;EndNote&gt;&lt;Cite&gt;&lt;Author&gt;Department for Education&lt;/Author&gt;&lt;Year&gt;2026&lt;/Year&gt;&lt;RecNum&gt;9928&lt;/RecNum&gt;&lt;DisplayText&gt;(Department for Education, 2026)&lt;/DisplayText&gt;&lt;record&gt;&lt;rec-number&gt;9928&lt;/rec-number&gt;&lt;foreign-keys&gt;&lt;key app="EN" db-id="ssex2padeddvp7edvf1v055wsraea9fxwtar" timestamp="1784816780"&gt;9928&lt;/key&gt;&lt;/foreign-keys&gt;&lt;ref-type name="Report"&gt;27&lt;/ref-type&gt;&lt;contributors&gt;&lt;authors&gt;&lt;author&gt;Department for Education,&lt;/author&gt;&lt;/authors&gt;&lt;/contributors&gt;&lt;titles&gt;&lt;title&gt;Every child achieving and thriving: Reforms </w:instrText>
      </w:r>
      <w:r w:rsidRPr="005F0C51">
        <w:rPr>
          <w:color w:val="000000" w:themeColor="text1"/>
        </w:rPr>
        <w:instrText>to the schools and SEND systems in England to ensure that every child can achieve and thrive.&lt;/title&gt;&lt;/titles&gt;&lt;dates&gt;&lt;year&gt;2026&lt;/year&gt;&lt;/dates&gt;&lt;pub-location&gt;London&lt;/pub-location&gt;&lt;publisher&gt;Department for Education&lt;/publisher&gt;&lt;urls&gt;&lt;/urls&gt;&lt;/record&gt;&lt;/Cite&gt;&lt;/EndNote&gt;</w:instrText>
      </w:r>
      <w:r w:rsidRPr="005F0C51">
        <w:rPr>
          <w:color w:val="000000" w:themeColor="text1"/>
        </w:rPr>
        <w:fldChar w:fldCharType="separate"/>
      </w:r>
      <w:r w:rsidRPr="005F0C51">
        <w:rPr>
          <w:noProof/>
          <w:color w:val="000000" w:themeColor="text1"/>
        </w:rPr>
        <w:t>(Department for Education, 2026)</w:t>
      </w:r>
      <w:r w:rsidRPr="005F0C51">
        <w:rPr>
          <w:color w:val="000000" w:themeColor="text1"/>
        </w:rPr>
        <w:fldChar w:fldCharType="end"/>
      </w:r>
      <w:r w:rsidRPr="005F0C51">
        <w:rPr>
          <w:color w:val="000000" w:themeColor="text1"/>
        </w:rPr>
        <w:t>.</w:t>
      </w:r>
    </w:p>
    <w:p w:rsidR="00D53968" w:rsidRPr="00FE5FCA" w:rsidP="00640C70">
      <w:pPr>
        <w:pStyle w:val="ListParagraph"/>
        <w:ind w:left="360"/>
        <w:jc w:val="both"/>
        <w:rPr>
          <w:color w:val="C00000"/>
        </w:rPr>
      </w:pPr>
    </w:p>
    <w:p w:rsidR="00D53968" w:rsidRPr="00A467EB" w:rsidP="00A467EB">
      <w:pPr>
        <w:rPr>
          <w:b/>
          <w:bCs/>
          <w:color w:val="000000" w:themeColor="text1"/>
        </w:rPr>
      </w:pPr>
      <w:r w:rsidRPr="007C248D">
        <w:rPr>
          <w:b/>
          <w:bCs/>
          <w:color w:val="000000" w:themeColor="text1"/>
        </w:rPr>
        <w:t>Conclusion</w:t>
      </w:r>
    </w:p>
    <w:p w:rsidR="00D53968" w:rsidRPr="00A4127F" w:rsidP="00640C70">
      <w:pPr>
        <w:pStyle w:val="ListParagraph"/>
        <w:numPr>
          <w:ilvl w:val="0"/>
          <w:numId w:val="14"/>
        </w:numPr>
        <w:ind w:left="360"/>
        <w:jc w:val="both"/>
        <w:rPr>
          <w:color w:val="000000" w:themeColor="text1"/>
        </w:rPr>
      </w:pPr>
      <w:r>
        <w:rPr>
          <w:color w:val="000000" w:themeColor="text1"/>
        </w:rPr>
        <w:t>Research into mild and unilateral hearing loss suggests associations with educational attainment</w:t>
      </w:r>
      <w:r w:rsidRPr="00A4127F">
        <w:rPr>
          <w:color w:val="000000" w:themeColor="text1"/>
        </w:rPr>
        <w:t xml:space="preserve"> despite often being perceived as having limited functional impact. Collier </w:t>
      </w:r>
      <w:r w:rsidRPr="00A4127F">
        <w:rPr>
          <w:color w:val="000000" w:themeColor="text1"/>
        </w:rPr>
        <w:fldChar w:fldCharType="begin"/>
      </w:r>
      <w:r w:rsidRPr="00A4127F">
        <w:rPr>
          <w:color w:val="000000" w:themeColor="text1"/>
        </w:rPr>
        <w:instrText xml:space="preserve"> ADDIN EN.CITE &lt;EndNote&gt;&lt;Cite ExcludeAuth="1"&gt;&lt;Author&gt;Collier&lt;/Author&gt;&lt;Year&gt;2025&lt;/Year&gt;&lt;RecNum&gt;9856&lt;/RecNum&gt;&lt;DisplayText&gt;(2025)&lt;/DisplayText&gt;&lt;record&gt;&lt;rec-number&gt;9856&lt;/rec-number&gt;&lt;foreign-keys&gt;&lt;key app="EN" db-id="ssex2padeddvp7edvf1v055wsraea9fxwtar" timestamp="1777022213"&gt;9856&lt;/key&gt;&lt;/foreign-keys&gt;&lt;ref-type name="Journal Article"&gt;17&lt;/ref-type&gt;&lt;contributors&gt;&lt;authors&gt;&lt;author&gt;Collier, Katherine&lt;/author&gt;&lt;/authors&gt;&lt;/contributors&gt;&lt;titles&gt;&lt;title&gt;Academic achievement of children with unilateral or mild bilateral he</w:instrText>
      </w:r>
      <w:r w:rsidRPr="00A4127F">
        <w:rPr>
          <w:color w:val="000000" w:themeColor="text1"/>
        </w:rPr>
        <w:instrText>aring loss: A systematic review&lt;/title&gt;&lt;secondary-title&gt;Review of Education&lt;/secondary-title&gt;&lt;/titles&gt;&lt;periodical&gt;&lt;full-title&gt;Review of Education&lt;/full-title&gt;&lt;/periodical&gt;&lt;pages&gt;e70072&lt;/pages&gt;&lt;volume&gt;13&lt;/volume&gt;&lt;number&gt;2&lt;/number&gt;&lt;dates&gt;&lt;year&gt;2025&lt;/year&gt;&lt;/dates&gt;&lt;urls&gt;&lt;/urls&gt;&lt;electronic-resource-num&gt;https://doi.org/10.1002/rev3.70072&lt;/electronic-resource-num&gt;&lt;/record&gt;&lt;/Cite&gt;&lt;/EndNote&gt;</w:instrText>
      </w:r>
      <w:r w:rsidRPr="00A4127F">
        <w:rPr>
          <w:color w:val="000000" w:themeColor="text1"/>
        </w:rPr>
        <w:fldChar w:fldCharType="separate"/>
      </w:r>
      <w:r w:rsidRPr="00A4127F">
        <w:rPr>
          <w:noProof/>
          <w:color w:val="000000" w:themeColor="text1"/>
        </w:rPr>
        <w:t>(2025)</w:t>
      </w:r>
      <w:r w:rsidRPr="00A4127F">
        <w:rPr>
          <w:color w:val="000000" w:themeColor="text1"/>
        </w:rPr>
        <w:fldChar w:fldCharType="end"/>
      </w:r>
      <w:r>
        <w:rPr>
          <w:color w:val="000000" w:themeColor="text1"/>
        </w:rPr>
        <w:t xml:space="preserve"> examined this relationship through a systematic review and found that children with mild and unilateral hearing loss generally achieved lower academic outcomes in primary school than their fully-hearing peers across a range of measures. These findings support</w:t>
      </w:r>
      <w:r w:rsidRPr="00A4127F">
        <w:rPr>
          <w:color w:val="000000" w:themeColor="text1"/>
        </w:rPr>
        <w:t xml:space="preserve"> greater </w:t>
      </w:r>
      <w:r>
        <w:rPr>
          <w:color w:val="000000" w:themeColor="text1"/>
        </w:rPr>
        <w:t>emphasis</w:t>
      </w:r>
      <w:r w:rsidRPr="00A4127F">
        <w:rPr>
          <w:color w:val="000000" w:themeColor="text1"/>
        </w:rPr>
        <w:t xml:space="preserve"> on early identification and </w:t>
      </w:r>
      <w:r>
        <w:rPr>
          <w:color w:val="000000" w:themeColor="text1"/>
        </w:rPr>
        <w:t>appropriate, evidence-informed</w:t>
      </w:r>
      <w:r w:rsidRPr="00A4127F">
        <w:rPr>
          <w:color w:val="000000" w:themeColor="text1"/>
        </w:rPr>
        <w:t xml:space="preserve"> adjustments to improve access to learning and educational outcomes. </w:t>
      </w:r>
    </w:p>
    <w:p w:rsidR="00D53968" w:rsidP="00640C70">
      <w:pPr>
        <w:pStyle w:val="ListParagraph"/>
        <w:ind w:left="360"/>
        <w:jc w:val="both"/>
        <w:rPr>
          <w:color w:val="C00000"/>
        </w:rPr>
      </w:pPr>
    </w:p>
    <w:p w:rsidR="00D53968" w:rsidP="00640C70">
      <w:pPr>
        <w:rPr>
          <w:b/>
          <w:bCs/>
          <w:color w:val="000000" w:themeColor="text1"/>
        </w:rPr>
      </w:pPr>
      <w:r w:rsidRPr="007C248D">
        <w:rPr>
          <w:b/>
          <w:bCs/>
          <w:color w:val="000000" w:themeColor="text1"/>
        </w:rPr>
        <w:t>Recommendations</w:t>
      </w:r>
    </w:p>
    <w:p w:rsidR="00D53968" w:rsidRPr="00A14E9A" w:rsidP="00640C70">
      <w:pPr>
        <w:pStyle w:val="ListParagraph"/>
        <w:numPr>
          <w:ilvl w:val="0"/>
          <w:numId w:val="14"/>
        </w:numPr>
        <w:ind w:left="360"/>
        <w:jc w:val="both"/>
        <w:rPr>
          <w:color w:val="000000" w:themeColor="text1"/>
        </w:rPr>
      </w:pPr>
      <w:r>
        <w:rPr>
          <w:color w:val="000000" w:themeColor="text1"/>
        </w:rPr>
        <w:t>N</w:t>
      </w:r>
      <w:r w:rsidRPr="00A14E9A">
        <w:rPr>
          <w:color w:val="000000" w:themeColor="text1"/>
        </w:rPr>
        <w:t>ational guidance</w:t>
      </w:r>
      <w:r>
        <w:rPr>
          <w:color w:val="000000" w:themeColor="text1"/>
        </w:rPr>
        <w:t xml:space="preserve"> should explicitly recognise the educational implications of</w:t>
      </w:r>
      <w:r w:rsidRPr="00A14E9A">
        <w:rPr>
          <w:color w:val="000000" w:themeColor="text1"/>
        </w:rPr>
        <w:t xml:space="preserve"> mild and unilateral hearing loss</w:t>
      </w:r>
    </w:p>
    <w:p w:rsidR="00D53968" w:rsidRPr="00A14E9A" w:rsidP="00640C70">
      <w:pPr>
        <w:pStyle w:val="ListParagraph"/>
        <w:numPr>
          <w:ilvl w:val="0"/>
          <w:numId w:val="14"/>
        </w:numPr>
        <w:ind w:left="360"/>
        <w:jc w:val="both"/>
        <w:rPr>
          <w:color w:val="000000" w:themeColor="text1"/>
        </w:rPr>
      </w:pPr>
      <w:r>
        <w:rPr>
          <w:color w:val="000000" w:themeColor="text1"/>
        </w:rPr>
        <w:t xml:space="preserve">Education professionals should have access to relevant information and training on the potential educational implications of mild and unilateral hearing loss. </w:t>
      </w:r>
    </w:p>
    <w:p w:rsidR="00D53968" w:rsidRPr="00243F3C" w:rsidP="006C5ABF">
      <w:pPr>
        <w:pStyle w:val="ListParagraph"/>
        <w:numPr>
          <w:ilvl w:val="0"/>
          <w:numId w:val="14"/>
        </w:numPr>
        <w:ind w:left="360"/>
        <w:jc w:val="both"/>
        <w:rPr>
          <w:color w:val="000000" w:themeColor="text1"/>
        </w:rPr>
      </w:pPr>
      <w:r>
        <w:rPr>
          <w:color w:val="000000" w:themeColor="text1"/>
        </w:rPr>
        <w:t>Schools should be supported to implement appropriate, evidence-informed classroom adjustments that improve access to learning for children with mild and unilateral hearing loss.</w:t>
      </w:r>
    </w:p>
    <w:p w:rsidR="00D53968" w:rsidRPr="000454CE" w:rsidP="00CB2896">
      <w:pPr>
        <w:jc w:val="both"/>
        <w:rPr>
          <w:color w:val="C00000"/>
        </w:rPr>
      </w:pPr>
    </w:p>
    <w:p w:rsidR="00D53968" w:rsidRPr="00B069DC" w:rsidP="00B069DC">
      <w:pPr>
        <w:rPr>
          <w:b/>
          <w:bCs/>
          <w:color w:val="000000" w:themeColor="text1"/>
        </w:rPr>
      </w:pPr>
      <w:r w:rsidRPr="00B069DC">
        <w:rPr>
          <w:b/>
          <w:bCs/>
          <w:color w:val="000000" w:themeColor="text1"/>
        </w:rPr>
        <w:t>References</w:t>
      </w:r>
    </w:p>
    <w:p w:rsidR="00D53968" w:rsidRPr="00113CDA" w:rsidP="00113CDA">
      <w:pPr>
        <w:pStyle w:val="EndNoteBibliography"/>
        <w:spacing w:after="0"/>
        <w:ind w:left="720" w:hanging="720"/>
        <w:rPr>
          <w:noProof/>
        </w:rPr>
      </w:pPr>
      <w:r>
        <w:fldChar w:fldCharType="begin"/>
      </w:r>
      <w:r>
        <w:instrText xml:space="preserve"> ADDIN EN.REFLIST </w:instrText>
      </w:r>
      <w:r>
        <w:fldChar w:fldCharType="separate"/>
      </w:r>
      <w:r w:rsidRPr="00113CDA">
        <w:rPr>
          <w:noProof/>
        </w:rPr>
        <w:t xml:space="preserve">Collier, K. (2025). Academic achievement of children with unilateral or mild bilateral hearing loss: A systematic review. </w:t>
      </w:r>
      <w:r w:rsidRPr="00113CDA">
        <w:rPr>
          <w:i/>
          <w:noProof/>
        </w:rPr>
        <w:t>Review of Education</w:t>
      </w:r>
      <w:r w:rsidRPr="00113CDA">
        <w:rPr>
          <w:noProof/>
        </w:rPr>
        <w:t>,</w:t>
      </w:r>
      <w:r w:rsidRPr="00113CDA">
        <w:rPr>
          <w:i/>
          <w:noProof/>
        </w:rPr>
        <w:t xml:space="preserve"> 13</w:t>
      </w:r>
      <w:r w:rsidRPr="00113CDA">
        <w:rPr>
          <w:noProof/>
        </w:rPr>
        <w:t xml:space="preserve">(2), e70072. </w:t>
      </w:r>
      <w:r>
        <w:fldChar w:fldCharType="begin"/>
      </w:r>
      <w:r>
        <w:instrText xml:space="preserve"> HYPERLINK "https://doi.org/https://doi.org/10.1002/rev3.70072" </w:instrText>
      </w:r>
      <w:r>
        <w:fldChar w:fldCharType="separate"/>
      </w:r>
      <w:r w:rsidRPr="00113CDA">
        <w:rPr>
          <w:rStyle w:val="Hyperlink"/>
          <w:noProof/>
        </w:rPr>
        <w:t>https://doi.org/https://doi.org/10.1002/rev3.70072</w:t>
      </w:r>
      <w:r>
        <w:fldChar w:fldCharType="end"/>
      </w:r>
      <w:r w:rsidRPr="00113CDA">
        <w:rPr>
          <w:noProof/>
        </w:rPr>
        <w:t xml:space="preserve"> </w:t>
      </w:r>
    </w:p>
    <w:p w:rsidR="00D53968" w:rsidRPr="00113CDA" w:rsidP="00113CDA">
      <w:pPr>
        <w:pStyle w:val="EndNoteBibliography"/>
        <w:spacing w:after="0"/>
        <w:ind w:left="720" w:hanging="720"/>
        <w:rPr>
          <w:noProof/>
        </w:rPr>
      </w:pPr>
      <w:r w:rsidRPr="00113CDA">
        <w:rPr>
          <w:noProof/>
        </w:rPr>
        <w:t xml:space="preserve">CRIDE. (2025). </w:t>
      </w:r>
      <w:r w:rsidRPr="00113CDA">
        <w:rPr>
          <w:i/>
          <w:noProof/>
        </w:rPr>
        <w:t>Education provision for deaf children in England in 2024/25</w:t>
      </w:r>
      <w:r w:rsidRPr="00113CDA">
        <w:rPr>
          <w:noProof/>
        </w:rPr>
        <w:t xml:space="preserve">. </w:t>
      </w:r>
      <w:r>
        <w:fldChar w:fldCharType="begin"/>
      </w:r>
      <w:r>
        <w:instrText xml:space="preserve"> HYPERLINK "https://cms.ndcs.org.uk/sites/default/files/2025-12/CRIDE%20England%20-%202025_0.pdf" </w:instrText>
      </w:r>
      <w:r>
        <w:fldChar w:fldCharType="separate"/>
      </w:r>
      <w:r w:rsidRPr="00113CDA">
        <w:rPr>
          <w:rStyle w:val="Hyperlink"/>
          <w:noProof/>
        </w:rPr>
        <w:t>https://cms.ndcs.org.uk/sites/default/files/2025-12/CRIDE%20England%20-%202025_0.pdf</w:t>
      </w:r>
      <w:r>
        <w:fldChar w:fldCharType="end"/>
      </w:r>
    </w:p>
    <w:p w:rsidR="00D53968" w:rsidRPr="00113CDA" w:rsidP="00113CDA">
      <w:pPr>
        <w:pStyle w:val="EndNoteBibliography"/>
        <w:spacing w:after="0"/>
        <w:ind w:left="720" w:hanging="720"/>
        <w:rPr>
          <w:noProof/>
        </w:rPr>
      </w:pPr>
      <w:r w:rsidRPr="00113CDA">
        <w:rPr>
          <w:noProof/>
        </w:rPr>
        <w:t xml:space="preserve">Department for Education. (2026). </w:t>
      </w:r>
      <w:r w:rsidRPr="00113CDA">
        <w:rPr>
          <w:i/>
          <w:noProof/>
        </w:rPr>
        <w:t>Every child achieving and thriving: Reforms to the schools and SEND systems in England to ensure that every child can achieve and thrive.</w:t>
      </w:r>
      <w:r w:rsidRPr="00113CDA">
        <w:rPr>
          <w:noProof/>
        </w:rPr>
        <w:t xml:space="preserve"> </w:t>
      </w:r>
    </w:p>
    <w:p w:rsidR="00D53968" w:rsidRPr="00113CDA" w:rsidP="00113CDA">
      <w:pPr>
        <w:pStyle w:val="EndNoteBibliography"/>
        <w:spacing w:after="0"/>
        <w:ind w:left="720" w:hanging="720"/>
        <w:rPr>
          <w:noProof/>
        </w:rPr>
      </w:pPr>
      <w:r w:rsidRPr="00113CDA">
        <w:rPr>
          <w:noProof/>
        </w:rPr>
        <w:t xml:space="preserve">Hutchinson, J. (2023). </w:t>
      </w:r>
      <w:r w:rsidRPr="00113CDA">
        <w:rPr>
          <w:i/>
          <w:noProof/>
        </w:rPr>
        <w:t>The educational outcomes of deaf children in England: Attainment at key stages 1, 2 and 4</w:t>
      </w:r>
      <w:r w:rsidRPr="00113CDA">
        <w:rPr>
          <w:noProof/>
        </w:rPr>
        <w:t xml:space="preserve">. </w:t>
      </w:r>
    </w:p>
    <w:p w:rsidR="00D53968" w:rsidRPr="00113CDA" w:rsidP="00113CDA">
      <w:pPr>
        <w:pStyle w:val="EndNoteBibliography"/>
        <w:spacing w:after="0"/>
        <w:ind w:left="720" w:hanging="720"/>
        <w:rPr>
          <w:noProof/>
        </w:rPr>
      </w:pPr>
      <w:r w:rsidRPr="00113CDA">
        <w:rPr>
          <w:noProof/>
        </w:rPr>
        <w:t xml:space="preserve">WHO. (2021). </w:t>
      </w:r>
      <w:r w:rsidRPr="00113CDA">
        <w:rPr>
          <w:i/>
          <w:noProof/>
        </w:rPr>
        <w:t>World Report on Hearing</w:t>
      </w:r>
      <w:r w:rsidRPr="00113CDA">
        <w:rPr>
          <w:noProof/>
        </w:rPr>
        <w:t xml:space="preserve">. </w:t>
      </w:r>
    </w:p>
    <w:p w:rsidR="00D53968" w:rsidRPr="00113CDA" w:rsidP="00113CDA">
      <w:pPr>
        <w:pStyle w:val="EndNoteBibliography"/>
        <w:ind w:left="720" w:hanging="720"/>
        <w:rPr>
          <w:noProof/>
        </w:rPr>
      </w:pPr>
      <w:r w:rsidRPr="00113CDA">
        <w:rPr>
          <w:noProof/>
        </w:rPr>
        <w:t xml:space="preserve">WWC. (2017). </w:t>
      </w:r>
      <w:r w:rsidRPr="00113CDA">
        <w:rPr>
          <w:i/>
          <w:noProof/>
        </w:rPr>
        <w:t>Standards Handbook Version 4.0</w:t>
      </w:r>
      <w:r w:rsidRPr="00113CDA">
        <w:rPr>
          <w:noProof/>
        </w:rPr>
        <w:t xml:space="preserve">. </w:t>
      </w:r>
    </w:p>
    <w:p w:rsidR="00D53968" w:rsidRPr="00C25274">
      <w:pPr>
        <w:rPr>
          <w:i/>
          <w:iCs/>
        </w:rPr>
      </w:pPr>
      <w:r>
        <w:fldChar w:fldCharType="end"/>
      </w:r>
      <w:r w:rsidRPr="00C25274">
        <w:rPr>
          <w:i/>
          <w:iCs/>
        </w:rPr>
        <w:t>September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F83629"/>
    <w:multiLevelType w:val="hybridMultilevel"/>
    <w:tmpl w:val="238AA73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4CF4999"/>
    <w:multiLevelType w:val="multilevel"/>
    <w:tmpl w:val="8030526A"/>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B1D4420"/>
    <w:multiLevelType w:val="hybridMultilevel"/>
    <w:tmpl w:val="32F6721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CA040DB"/>
    <w:multiLevelType w:val="hybridMultilevel"/>
    <w:tmpl w:val="9D6E17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00F7C15"/>
    <w:multiLevelType w:val="hybridMultilevel"/>
    <w:tmpl w:val="256E4B98"/>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10A78E4"/>
    <w:multiLevelType w:val="hybridMultilevel"/>
    <w:tmpl w:val="058291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nsid w:val="31AD7654"/>
    <w:multiLevelType w:val="hybridMultilevel"/>
    <w:tmpl w:val="80466B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90B2C57"/>
    <w:multiLevelType w:val="multilevel"/>
    <w:tmpl w:val="70F613F4"/>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407455A0"/>
    <w:multiLevelType w:val="hybridMultilevel"/>
    <w:tmpl w:val="32F6721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48B04FFE"/>
    <w:multiLevelType w:val="hybridMultilevel"/>
    <w:tmpl w:val="A3B606D6"/>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5C06E50"/>
    <w:multiLevelType w:val="hybridMultilevel"/>
    <w:tmpl w:val="70F613F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73B4348"/>
    <w:multiLevelType w:val="hybridMultilevel"/>
    <w:tmpl w:val="4650FEAC"/>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A3B470F"/>
    <w:multiLevelType w:val="hybridMultilevel"/>
    <w:tmpl w:val="08A4DD2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C160051"/>
    <w:multiLevelType w:val="hybridMultilevel"/>
    <w:tmpl w:val="9C6C5D9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E3F7FEE"/>
    <w:multiLevelType w:val="hybridMultilevel"/>
    <w:tmpl w:val="44E6A5B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3"/>
  </w:num>
  <w:num w:numId="2">
    <w:abstractNumId w:val="14"/>
  </w:num>
  <w:num w:numId="3">
    <w:abstractNumId w:val="3"/>
  </w:num>
  <w:num w:numId="4">
    <w:abstractNumId w:val="8"/>
  </w:num>
  <w:num w:numId="5">
    <w:abstractNumId w:val="2"/>
  </w:num>
  <w:num w:numId="6">
    <w:abstractNumId w:val="5"/>
  </w:num>
  <w:num w:numId="7">
    <w:abstractNumId w:val="6"/>
  </w:num>
  <w:num w:numId="8">
    <w:abstractNumId w:val="0"/>
  </w:num>
  <w:num w:numId="9">
    <w:abstractNumId w:val="11"/>
  </w:num>
  <w:num w:numId="10">
    <w:abstractNumId w:val="12"/>
  </w:num>
  <w:num w:numId="11">
    <w:abstractNumId w:val="1"/>
  </w:num>
  <w:num w:numId="12">
    <w:abstractNumId w:val="10"/>
  </w:num>
  <w:num w:numId="13">
    <w:abstractNumId w:val="7"/>
  </w:num>
  <w:num w:numId="14">
    <w:abstractNumId w:val="9"/>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sex2padeddvp7edvf1v055wsraea9fxwtar&quot;&gt;My EndNote Library&lt;record-ids&gt;&lt;item&gt;9713&lt;/item&gt;&lt;item&gt;9750&lt;/item&gt;&lt;item&gt;9856&lt;/item&gt;&lt;item&gt;9913&lt;/item&gt;&lt;item&gt;9928&lt;/item&gt;&lt;item&gt;9929&lt;/item&gt;&lt;/record-ids&gt;&lt;/item&gt;&lt;/Libraries&gt;"/>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DB62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B62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62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62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62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62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2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2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2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2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B62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62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62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62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62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2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2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244"/>
    <w:rPr>
      <w:rFonts w:eastAsiaTheme="majorEastAsia" w:cstheme="majorBidi"/>
      <w:color w:val="272727" w:themeColor="text1" w:themeTint="D8"/>
    </w:rPr>
  </w:style>
  <w:style w:type="paragraph" w:styleId="Title">
    <w:name w:val="Title"/>
    <w:basedOn w:val="Normal"/>
    <w:next w:val="Normal"/>
    <w:link w:val="TitleChar"/>
    <w:uiPriority w:val="10"/>
    <w:qFormat/>
    <w:rsid w:val="00DB62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2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2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2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244"/>
    <w:pPr>
      <w:spacing w:before="160"/>
      <w:jc w:val="center"/>
    </w:pPr>
    <w:rPr>
      <w:i/>
      <w:iCs/>
      <w:color w:val="404040" w:themeColor="text1" w:themeTint="BF"/>
    </w:rPr>
  </w:style>
  <w:style w:type="character" w:customStyle="1" w:styleId="QuoteChar">
    <w:name w:val="Quote Char"/>
    <w:basedOn w:val="DefaultParagraphFont"/>
    <w:link w:val="Quote"/>
    <w:uiPriority w:val="29"/>
    <w:rsid w:val="00DB6244"/>
    <w:rPr>
      <w:i/>
      <w:iCs/>
      <w:color w:val="404040" w:themeColor="text1" w:themeTint="BF"/>
    </w:rPr>
  </w:style>
  <w:style w:type="paragraph" w:styleId="ListParagraph">
    <w:name w:val="List Paragraph"/>
    <w:basedOn w:val="Normal"/>
    <w:uiPriority w:val="34"/>
    <w:qFormat/>
    <w:rsid w:val="00DB6244"/>
    <w:pPr>
      <w:ind w:left="720"/>
      <w:contextualSpacing/>
    </w:pPr>
  </w:style>
  <w:style w:type="character" w:styleId="IntenseEmphasis">
    <w:name w:val="Intense Emphasis"/>
    <w:basedOn w:val="DefaultParagraphFont"/>
    <w:uiPriority w:val="21"/>
    <w:qFormat/>
    <w:rsid w:val="00DB6244"/>
    <w:rPr>
      <w:i/>
      <w:iCs/>
      <w:color w:val="0F4761" w:themeColor="accent1" w:themeShade="BF"/>
    </w:rPr>
  </w:style>
  <w:style w:type="paragraph" w:styleId="IntenseQuote">
    <w:name w:val="Intense Quote"/>
    <w:basedOn w:val="Normal"/>
    <w:next w:val="Normal"/>
    <w:link w:val="IntenseQuoteChar"/>
    <w:uiPriority w:val="30"/>
    <w:qFormat/>
    <w:rsid w:val="00DB62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244"/>
    <w:rPr>
      <w:i/>
      <w:iCs/>
      <w:color w:val="0F4761" w:themeColor="accent1" w:themeShade="BF"/>
    </w:rPr>
  </w:style>
  <w:style w:type="character" w:styleId="IntenseReference">
    <w:name w:val="Intense Reference"/>
    <w:basedOn w:val="DefaultParagraphFont"/>
    <w:uiPriority w:val="32"/>
    <w:qFormat/>
    <w:rsid w:val="00DB6244"/>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CC74DC"/>
    <w:pPr>
      <w:spacing w:after="0"/>
      <w:jc w:val="center"/>
    </w:pPr>
    <w:rPr>
      <w:rFonts w:ascii="Aptos" w:hAnsi="Aptos"/>
      <w:lang w:val="en-US"/>
    </w:rPr>
  </w:style>
  <w:style w:type="character" w:customStyle="1" w:styleId="EndNoteBibliographyTitleChar">
    <w:name w:val="EndNote Bibliography Title Char"/>
    <w:basedOn w:val="DefaultParagraphFont"/>
    <w:link w:val="EndNoteBibliographyTitle"/>
    <w:rsid w:val="00CC74DC"/>
    <w:rPr>
      <w:rFonts w:ascii="Aptos" w:hAnsi="Aptos"/>
      <w:lang w:val="en-US"/>
    </w:rPr>
  </w:style>
  <w:style w:type="paragraph" w:customStyle="1" w:styleId="EndNoteBibliography">
    <w:name w:val="EndNote Bibliography"/>
    <w:basedOn w:val="Normal"/>
    <w:link w:val="EndNoteBibliographyChar"/>
    <w:rsid w:val="00CC74DC"/>
    <w:pPr>
      <w:spacing w:line="240" w:lineRule="auto"/>
    </w:pPr>
    <w:rPr>
      <w:rFonts w:ascii="Aptos" w:hAnsi="Aptos"/>
      <w:lang w:val="en-US"/>
    </w:rPr>
  </w:style>
  <w:style w:type="character" w:customStyle="1" w:styleId="EndNoteBibliographyChar">
    <w:name w:val="EndNote Bibliography Char"/>
    <w:basedOn w:val="DefaultParagraphFont"/>
    <w:link w:val="EndNoteBibliography"/>
    <w:rsid w:val="00CC74DC"/>
    <w:rPr>
      <w:rFonts w:ascii="Aptos" w:hAnsi="Aptos"/>
      <w:lang w:val="en-US"/>
    </w:rPr>
  </w:style>
  <w:style w:type="character" w:styleId="Hyperlink">
    <w:name w:val="Hyperlink"/>
    <w:basedOn w:val="DefaultParagraphFont"/>
    <w:uiPriority w:val="99"/>
    <w:unhideWhenUsed/>
    <w:rsid w:val="00CC74DC"/>
    <w:rPr>
      <w:color w:val="467886" w:themeColor="hyperlink"/>
      <w:u w:val="single"/>
    </w:rPr>
  </w:style>
  <w:style w:type="character" w:customStyle="1" w:styleId="UnresolvedMention1">
    <w:name w:val="Unresolved Mention1"/>
    <w:basedOn w:val="DefaultParagraphFont"/>
    <w:uiPriority w:val="99"/>
    <w:semiHidden/>
    <w:unhideWhenUsed/>
    <w:rsid w:val="00CC74DC"/>
    <w:rPr>
      <w:color w:val="605E5C"/>
      <w:shd w:val="clear" w:color="auto" w:fill="E1DFDD"/>
    </w:rPr>
  </w:style>
  <w:style w:type="numbering" w:customStyle="1" w:styleId="CurrentList1">
    <w:name w:val="Current List1"/>
    <w:uiPriority w:val="99"/>
    <w:rsid w:val="00344A87"/>
    <w:pPr>
      <w:numPr>
        <w:numId w:val="11"/>
      </w:numPr>
    </w:pPr>
  </w:style>
  <w:style w:type="numbering" w:customStyle="1" w:styleId="CurrentList2">
    <w:name w:val="Current List2"/>
    <w:uiPriority w:val="99"/>
    <w:rsid w:val="00B90F9A"/>
    <w:pPr>
      <w:numPr>
        <w:numId w:val="13"/>
      </w:numPr>
    </w:pPr>
  </w:style>
  <w:style w:type="paragraph" w:styleId="Header">
    <w:name w:val="header"/>
    <w:basedOn w:val="Normal"/>
    <w:link w:val="HeaderChar"/>
    <w:uiPriority w:val="99"/>
    <w:unhideWhenUsed/>
    <w:rsid w:val="00A51E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1E75"/>
  </w:style>
  <w:style w:type="paragraph" w:styleId="Footer">
    <w:name w:val="footer"/>
    <w:basedOn w:val="Normal"/>
    <w:link w:val="FooterChar"/>
    <w:uiPriority w:val="99"/>
    <w:unhideWhenUsed/>
    <w:rsid w:val="00A51E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1E75"/>
  </w:style>
  <w:style w:type="character" w:styleId="FollowedHyperlink">
    <w:name w:val="FollowedHyperlink"/>
    <w:basedOn w:val="DefaultParagraphFont"/>
    <w:uiPriority w:val="99"/>
    <w:semiHidden/>
    <w:unhideWhenUsed/>
    <w:rsid w:val="0027569C"/>
    <w:rPr>
      <w:color w:val="96607D" w:themeColor="followedHyperlink"/>
      <w:u w:val="single"/>
    </w:rPr>
  </w:style>
  <w:style w:type="paragraph" w:styleId="NormalWeb">
    <w:name w:val="Normal (Web)"/>
    <w:basedOn w:val="Normal"/>
    <w:uiPriority w:val="99"/>
    <w:unhideWhenUsed/>
    <w:rsid w:val="00251DEF"/>
    <w:pPr>
      <w:spacing w:before="100" w:beforeAutospacing="1" w:after="100" w:afterAutospacing="1" w:line="480" w:lineRule="auto"/>
    </w:pPr>
    <w:rPr>
      <w:rFonts w:ascii="Times New Roman" w:eastAsia="Times New Roman" w:hAnsi="Times New Roman" w:cs="Times New Roman"/>
      <w:kern w:val="0"/>
      <w:lang w:eastAsia="en-GB"/>
    </w:rPr>
  </w:style>
  <w:style w:type="paragraph" w:styleId="Caption">
    <w:name w:val="caption"/>
    <w:basedOn w:val="Normal"/>
    <w:next w:val="Normal"/>
    <w:uiPriority w:val="35"/>
    <w:unhideWhenUsed/>
    <w:qFormat/>
    <w:rsid w:val="00251DEF"/>
    <w:pPr>
      <w:spacing w:after="200" w:line="240" w:lineRule="auto"/>
    </w:pPr>
    <w:rPr>
      <w:i/>
      <w:iCs/>
      <w:color w:val="0E2841" w:themeColor="text2"/>
      <w:kern w:val="0"/>
      <w:sz w:val="18"/>
      <w:szCs w:val="18"/>
    </w:rPr>
  </w:style>
  <w:style w:type="table" w:customStyle="1" w:styleId="PlainTable21">
    <w:name w:val="Plain Table 21"/>
    <w:basedOn w:val="TableNormal"/>
    <w:uiPriority w:val="42"/>
    <w:rsid w:val="00251DEF"/>
    <w:pPr>
      <w:spacing w:after="0" w:line="240" w:lineRule="auto"/>
    </w:pPr>
    <w:rPr>
      <w:kern w:val="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891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8B71E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B71EC"/>
    <w:rPr>
      <w:sz w:val="20"/>
      <w:szCs w:val="20"/>
    </w:rPr>
  </w:style>
  <w:style w:type="character" w:styleId="EndnoteReference">
    <w:name w:val="endnote reference"/>
    <w:basedOn w:val="DefaultParagraphFont"/>
    <w:uiPriority w:val="99"/>
    <w:semiHidden/>
    <w:unhideWhenUsed/>
    <w:rsid w:val="008B71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D4847-ED68-B340-9725-7E0018E53807}">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ECA0069</dc:title>
  <cp:revision>0</cp:revision>
</cp:coreProperties>
</file>