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D7AAD" w:rsidP="00BD7AAD">
      <w:pPr>
        <w:ind w:left="-426"/>
        <w:jc w:val="center"/>
        <w:rPr>
          <w:b/>
          <w:sz w:val="28"/>
          <w:szCs w:val="28"/>
        </w:rPr>
      </w:pPr>
      <w:r>
        <w:rPr>
          <w:b/>
          <w:sz w:val="28"/>
          <w:szCs w:val="28"/>
        </w:rPr>
        <w:t xml:space="preserve">Written evidence by </w:t>
      </w:r>
      <w:r w:rsidRPr="00BD7AAD">
        <w:rPr>
          <w:b/>
          <w:bCs/>
          <w:sz w:val="28"/>
          <w:szCs w:val="28"/>
        </w:rPr>
        <w:t>Education Endowment Foundation (EEF)</w:t>
      </w:r>
      <w:r>
        <w:rPr>
          <w:b/>
          <w:bCs/>
          <w:sz w:val="28"/>
          <w:szCs w:val="28"/>
        </w:rPr>
        <w:t xml:space="preserve"> (ECA0060)</w:t>
      </w:r>
    </w:p>
    <w:p w:rsidR="00BD7AAD" w:rsidP="00AE59CD">
      <w:pPr>
        <w:ind w:left="-426"/>
        <w:rPr>
          <w:b/>
          <w:sz w:val="28"/>
          <w:szCs w:val="28"/>
        </w:rPr>
      </w:pPr>
    </w:p>
    <w:p w:rsidR="004B77D2" w:rsidRPr="00994CB1" w:rsidP="00AE59CD">
      <w:pPr>
        <w:ind w:left="-426"/>
        <w:rPr>
          <w:b/>
          <w:sz w:val="28"/>
          <w:szCs w:val="28"/>
        </w:rPr>
      </w:pPr>
      <w:r w:rsidRPr="00994CB1">
        <w:rPr>
          <w:b/>
          <w:sz w:val="28"/>
          <w:szCs w:val="28"/>
        </w:rPr>
        <w:t xml:space="preserve">Education Committee </w:t>
      </w:r>
      <w:r>
        <w:rPr>
          <w:b/>
          <w:sz w:val="28"/>
          <w:szCs w:val="28"/>
        </w:rPr>
        <w:t>C</w:t>
      </w:r>
      <w:r w:rsidRPr="00994CB1">
        <w:rPr>
          <w:b/>
          <w:sz w:val="28"/>
          <w:szCs w:val="28"/>
        </w:rPr>
        <w:t xml:space="preserve">all for </w:t>
      </w:r>
      <w:r>
        <w:rPr>
          <w:b/>
          <w:sz w:val="28"/>
          <w:szCs w:val="28"/>
        </w:rPr>
        <w:t>E</w:t>
      </w:r>
      <w:r w:rsidRPr="00994CB1">
        <w:rPr>
          <w:b/>
          <w:sz w:val="28"/>
          <w:szCs w:val="28"/>
        </w:rPr>
        <w:t xml:space="preserve">vidence on </w:t>
      </w:r>
      <w:r>
        <w:rPr>
          <w:b/>
          <w:sz w:val="28"/>
          <w:szCs w:val="28"/>
        </w:rPr>
        <w:t>t</w:t>
      </w:r>
      <w:r w:rsidRPr="00503C1D">
        <w:rPr>
          <w:b/>
          <w:sz w:val="28"/>
          <w:szCs w:val="28"/>
        </w:rPr>
        <w:t xml:space="preserve">he </w:t>
      </w:r>
      <w:r>
        <w:rPr>
          <w:b/>
          <w:sz w:val="28"/>
          <w:szCs w:val="28"/>
        </w:rPr>
        <w:t>‘Every Child Achieving and Thriving’ White Paper</w:t>
      </w:r>
      <w:r>
        <w:rPr>
          <w:b/>
          <w:bCs/>
          <w:sz w:val="28"/>
          <w:szCs w:val="28"/>
        </w:rPr>
        <w:t xml:space="preserve">: Submission from the Education Endowment Foundation </w:t>
      </w:r>
      <w:r>
        <w:rPr>
          <w:b/>
          <w:bCs/>
          <w:sz w:val="28"/>
          <w:szCs w:val="28"/>
        </w:rPr>
        <w:t>(EEF)</w:t>
      </w:r>
    </w:p>
    <w:p w:rsidR="004B77D2" w:rsidP="00AE59CD">
      <w:pPr>
        <w:ind w:left="-426"/>
        <w:rPr>
          <w:rFonts w:ascii="Aptos" w:hAnsi="Aptos"/>
          <w:i/>
          <w:iCs/>
        </w:rPr>
      </w:pPr>
      <w:r w:rsidRPr="00370154">
        <w:rPr>
          <w:rFonts w:ascii="Aptos" w:hAnsi="Aptos"/>
          <w:i/>
          <w:iCs/>
        </w:rPr>
        <w:t>28</w:t>
      </w:r>
      <w:r w:rsidRPr="00370154">
        <w:rPr>
          <w:rFonts w:ascii="Aptos" w:hAnsi="Aptos"/>
          <w:i/>
          <w:iCs/>
          <w:vertAlign w:val="superscript"/>
        </w:rPr>
        <w:t>th</w:t>
      </w:r>
      <w:r w:rsidRPr="00370154">
        <w:rPr>
          <w:rFonts w:ascii="Aptos" w:hAnsi="Aptos"/>
          <w:i/>
          <w:iCs/>
        </w:rPr>
        <w:t xml:space="preserve"> July</w:t>
      </w:r>
      <w:r w:rsidRPr="00370154">
        <w:rPr>
          <w:rFonts w:ascii="Aptos" w:hAnsi="Aptos"/>
          <w:i/>
          <w:iCs/>
        </w:rPr>
        <w:t xml:space="preserve"> 2026</w:t>
      </w:r>
    </w:p>
    <w:tbl>
      <w:tblPr>
        <w:tblStyle w:val="TableGrid"/>
        <w:tblW w:w="9493" w:type="dxa"/>
        <w:tblInd w:w="-426" w:type="dxa"/>
        <w:tblLook w:val="04A0"/>
      </w:tblPr>
      <w:tblGrid>
        <w:gridCol w:w="9493"/>
      </w:tblGrid>
      <w:tr w:rsidTr="00B450E7">
        <w:tblPrEx>
          <w:tblW w:w="9493" w:type="dxa"/>
          <w:tblInd w:w="-426" w:type="dxa"/>
          <w:tblLook w:val="04A0"/>
        </w:tblPrEx>
        <w:tc>
          <w:tcPr>
            <w:tcW w:w="9493" w:type="dxa"/>
          </w:tcPr>
          <w:p w:rsidR="004B77D2" w:rsidRPr="00DD075E" w:rsidP="003F3242">
            <w:pPr>
              <w:rPr>
                <w:b/>
              </w:rPr>
            </w:pPr>
            <w:r w:rsidRPr="007F3B41">
              <w:rPr>
                <w:rFonts w:ascii="Aptos" w:hAnsi="Aptos"/>
                <w:b/>
                <w:bCs/>
              </w:rPr>
              <w:t>Summary</w:t>
            </w:r>
            <w:r w:rsidRPr="007F3B41">
              <w:rPr>
                <w:rFonts w:ascii="Aptos" w:hAnsi="Aptos"/>
              </w:rPr>
              <w:br/>
            </w:r>
            <w:r w:rsidRPr="007F3B41">
              <w:rPr>
                <w:rFonts w:ascii="Aptos" w:hAnsi="Aptos"/>
              </w:rPr>
              <w:br/>
              <w:t xml:space="preserve">The call for </w:t>
            </w:r>
            <w:r w:rsidRPr="00261140">
              <w:rPr>
                <w:rFonts w:ascii="Aptos" w:hAnsi="Aptos"/>
              </w:rPr>
              <w:t xml:space="preserve">evidence covers wide-ranging areas of inquiry, some of which </w:t>
            </w:r>
            <w:r w:rsidRPr="00AB7009">
              <w:t xml:space="preserve">fall outside the EEF’s core </w:t>
            </w:r>
            <w:r w:rsidRPr="00261140">
              <w:rPr>
                <w:rFonts w:ascii="Aptos" w:hAnsi="Aptos"/>
              </w:rPr>
              <w:t xml:space="preserve">expertise. This response focuses on two areas </w:t>
            </w:r>
            <w:r w:rsidRPr="00AB7009">
              <w:t>where the EEF has significant evidence and experience to contribute</w:t>
            </w:r>
            <w:r w:rsidRPr="00261140">
              <w:rPr>
                <w:rFonts w:ascii="Aptos" w:hAnsi="Aptos"/>
              </w:rPr>
              <w:t xml:space="preserve">: raising attainment and reducing disadvantage gaps. </w:t>
            </w:r>
            <w:r w:rsidRPr="00261140">
              <w:t>Our key messages include:</w:t>
            </w:r>
          </w:p>
          <w:p w:rsidR="004B77D2" w:rsidRPr="00B177AC" w:rsidP="00B177AC">
            <w:pPr>
              <w:pStyle w:val="ListParagraph"/>
              <w:numPr>
                <w:ilvl w:val="0"/>
                <w:numId w:val="11"/>
              </w:numPr>
              <w:rPr>
                <w:b/>
              </w:rPr>
            </w:pPr>
            <w:r w:rsidRPr="00261140">
              <w:t>The White Paper’s focus on disadvantage is welcome. A clear, system-wide focus on closing the disadvantage attainment gap should be maintained</w:t>
            </w:r>
            <w:r>
              <w:t xml:space="preserve"> </w:t>
            </w:r>
            <w:r>
              <w:t>–</w:t>
            </w:r>
            <w:r>
              <w:t xml:space="preserve"> </w:t>
            </w:r>
            <w:r>
              <w:t>including</w:t>
            </w:r>
            <w:r>
              <w:t xml:space="preserve"> </w:t>
            </w:r>
            <w:r>
              <w:t xml:space="preserve">a concerted emphasis on targeting </w:t>
            </w:r>
            <w:r w:rsidRPr="00A47335">
              <w:t xml:space="preserve">support and incentives towards schools serving </w:t>
            </w:r>
            <w:r>
              <w:t>higher</w:t>
            </w:r>
            <w:r w:rsidRPr="00A47335">
              <w:t xml:space="preserve"> proportions of disadvantaged pupils</w:t>
            </w:r>
            <w:r>
              <w:t>.</w:t>
            </w:r>
          </w:p>
          <w:p w:rsidR="004B77D2" w:rsidRPr="00B177AC" w:rsidP="00B177AC">
            <w:pPr>
              <w:pStyle w:val="ListParagraph"/>
              <w:numPr>
                <w:ilvl w:val="0"/>
                <w:numId w:val="11"/>
              </w:numPr>
              <w:rPr>
                <w:b/>
              </w:rPr>
            </w:pPr>
            <w:r>
              <w:t xml:space="preserve">Policy interventions should be underpinned by the best available evidence and </w:t>
            </w:r>
            <w:r w:rsidRPr="00E55DCE">
              <w:t>support schools</w:t>
            </w:r>
            <w:r>
              <w:t xml:space="preserve"> to </w:t>
            </w:r>
            <w:r w:rsidRPr="00E55DCE">
              <w:t>use it</w:t>
            </w:r>
            <w:r>
              <w:t xml:space="preserve"> well.</w:t>
            </w:r>
          </w:p>
          <w:p w:rsidR="004B77D2" w:rsidRPr="00940893">
            <w:pPr>
              <w:pStyle w:val="ListParagraph"/>
              <w:numPr>
                <w:ilvl w:val="0"/>
                <w:numId w:val="11"/>
              </w:numPr>
              <w:spacing w:after="160" w:line="278" w:lineRule="auto"/>
              <w:rPr>
                <w:b/>
              </w:rPr>
            </w:pPr>
            <w:r w:rsidRPr="00940893">
              <w:t>The Pupil Premium remains an important lever</w:t>
            </w:r>
            <w:r w:rsidRPr="00940893">
              <w:t xml:space="preserve"> through which to provide</w:t>
            </w:r>
            <w:r w:rsidRPr="00940893">
              <w:t xml:space="preserve"> evidence-informed support for disadvantaged pupils. We support the proposed disadvantage funding eligibility review, but it is important that</w:t>
            </w:r>
            <w:r>
              <w:t xml:space="preserve"> risks </w:t>
            </w:r>
            <w:r w:rsidRPr="00940893">
              <w:t>and unintended consequences are considered</w:t>
            </w:r>
            <w:r>
              <w:t xml:space="preserve"> and </w:t>
            </w:r>
            <w:r>
              <w:t xml:space="preserve">appropriately </w:t>
            </w:r>
            <w:r>
              <w:t>mitigated</w:t>
            </w:r>
            <w:r w:rsidRPr="00940893">
              <w:t xml:space="preserve">.  </w:t>
            </w:r>
          </w:p>
          <w:p w:rsidR="004B77D2" w:rsidRPr="003F3242" w:rsidP="00261140">
            <w:pPr>
              <w:pStyle w:val="ListParagraph"/>
              <w:rPr>
                <w:rFonts w:ascii="Aptos" w:hAnsi="Aptos"/>
                <w:i/>
                <w:iCs/>
              </w:rPr>
            </w:pPr>
          </w:p>
        </w:tc>
      </w:tr>
    </w:tbl>
    <w:p w:rsidR="004B77D2" w:rsidRPr="00D8253A" w:rsidP="00B450E7">
      <w:pPr>
        <w:rPr>
          <w:rFonts w:ascii="Aptos" w:hAnsi="Aptos"/>
          <w:highlight w:val="yellow"/>
        </w:rPr>
      </w:pPr>
    </w:p>
    <w:p w:rsidR="004B77D2" w:rsidRPr="007F3B41" w:rsidP="008471AF">
      <w:pPr>
        <w:spacing w:line="276" w:lineRule="auto"/>
        <w:ind w:hanging="426"/>
        <w:rPr>
          <w:rFonts w:ascii="Aptos" w:hAnsi="Aptos"/>
          <w:b/>
        </w:rPr>
      </w:pPr>
      <w:r w:rsidRPr="007F3B41">
        <w:rPr>
          <w:rFonts w:ascii="Aptos" w:hAnsi="Aptos"/>
          <w:b/>
        </w:rPr>
        <w:t>About the E</w:t>
      </w:r>
      <w:r w:rsidRPr="007F3B41">
        <w:rPr>
          <w:rFonts w:ascii="Aptos" w:hAnsi="Aptos"/>
          <w:b/>
          <w:bCs/>
        </w:rPr>
        <w:t xml:space="preserve">ducation Endowment Foundation </w:t>
      </w:r>
      <w:r w:rsidRPr="007F3B41">
        <w:rPr>
          <w:rFonts w:ascii="Aptos" w:hAnsi="Aptos"/>
          <w:b/>
        </w:rPr>
        <w:t xml:space="preserve"> </w:t>
      </w:r>
    </w:p>
    <w:p w:rsidR="004B77D2" w:rsidRPr="007F3B41">
      <w:pPr>
        <w:pStyle w:val="ListParagraph"/>
        <w:numPr>
          <w:ilvl w:val="0"/>
          <w:numId w:val="1"/>
        </w:numPr>
        <w:spacing w:after="360" w:line="276" w:lineRule="auto"/>
        <w:ind w:left="0" w:hanging="425"/>
        <w:rPr>
          <w:rFonts w:ascii="Aptos" w:hAnsi="Aptos"/>
        </w:rPr>
      </w:pPr>
      <w:r w:rsidRPr="007F3B41">
        <w:rPr>
          <w:rFonts w:ascii="Aptos" w:hAnsi="Aptos"/>
        </w:rPr>
        <w:t>The Education Endowment Foundation (EEF) is an independent charity dedicated to breaking the link between family income and educational achievement. Our mission is to support the education sector to transform outcomes for socio-economically disadvantaged children and young people from age 2 to 19. We do so by enabling early years settings, schools, and colleges to focus on delivering high-quality education, based on evidence and what works best in practice. </w:t>
      </w:r>
    </w:p>
    <w:p w:rsidR="004B77D2" w:rsidRPr="007F3B41" w:rsidP="008471AF">
      <w:pPr>
        <w:pStyle w:val="ListParagraph"/>
        <w:spacing w:after="360" w:line="276" w:lineRule="auto"/>
        <w:ind w:left="0"/>
        <w:rPr>
          <w:rFonts w:ascii="Aptos" w:hAnsi="Aptos"/>
        </w:rPr>
      </w:pPr>
    </w:p>
    <w:p w:rsidR="004B77D2" w:rsidRPr="007F3B41">
      <w:pPr>
        <w:pStyle w:val="ListParagraph"/>
        <w:numPr>
          <w:ilvl w:val="0"/>
          <w:numId w:val="1"/>
        </w:numPr>
        <w:spacing w:after="360" w:line="276" w:lineRule="auto"/>
        <w:ind w:left="0" w:hanging="425"/>
        <w:rPr>
          <w:rFonts w:ascii="Aptos" w:hAnsi="Aptos"/>
        </w:rPr>
      </w:pPr>
      <w:r w:rsidRPr="007F3B41">
        <w:rPr>
          <w:rFonts w:ascii="Aptos" w:hAnsi="Aptos"/>
        </w:rPr>
        <w:t>We hold a unique position in the English education system, with three key roles:</w:t>
      </w:r>
    </w:p>
    <w:p w:rsidR="004B77D2" w:rsidRPr="004F440F">
      <w:pPr>
        <w:pStyle w:val="ListParagraph"/>
        <w:numPr>
          <w:ilvl w:val="0"/>
          <w:numId w:val="12"/>
        </w:numPr>
        <w:rPr>
          <w:b/>
        </w:rPr>
      </w:pPr>
      <w:r w:rsidRPr="007F3B41">
        <w:rPr>
          <w:rFonts w:ascii="Aptos" w:hAnsi="Aptos"/>
          <w:b/>
          <w:bCs/>
        </w:rPr>
        <w:t>We summarise evidence</w:t>
      </w:r>
      <w:r>
        <w:rPr>
          <w:rFonts w:ascii="Aptos" w:hAnsi="Aptos"/>
          <w:b/>
          <w:bCs/>
        </w:rPr>
        <w:t xml:space="preserve">. </w:t>
      </w:r>
      <w:r w:rsidRPr="007F3B41">
        <w:rPr>
          <w:rFonts w:ascii="Aptos" w:hAnsi="Aptos"/>
        </w:rPr>
        <w:t xml:space="preserve">We synthesise </w:t>
      </w:r>
      <w:r>
        <w:rPr>
          <w:rFonts w:ascii="Aptos" w:hAnsi="Aptos"/>
        </w:rPr>
        <w:t xml:space="preserve">the </w:t>
      </w:r>
      <w:r w:rsidRPr="007F3B41">
        <w:rPr>
          <w:rFonts w:ascii="Aptos" w:hAnsi="Aptos"/>
        </w:rPr>
        <w:t xml:space="preserve">global evidence base to find out what is already known about improving teaching and learning. </w:t>
      </w:r>
    </w:p>
    <w:p w:rsidR="004B77D2" w:rsidRPr="00926928" w:rsidP="00517ADD">
      <w:pPr>
        <w:pStyle w:val="ListParagraph"/>
        <w:numPr>
          <w:ilvl w:val="0"/>
          <w:numId w:val="12"/>
        </w:numPr>
      </w:pPr>
      <w:r w:rsidRPr="007F3B41">
        <w:rPr>
          <w:rFonts w:ascii="Aptos" w:hAnsi="Aptos"/>
          <w:b/>
          <w:bCs/>
        </w:rPr>
        <w:t>We build evidence</w:t>
      </w:r>
      <w:r>
        <w:rPr>
          <w:rFonts w:ascii="Aptos" w:hAnsi="Aptos"/>
        </w:rPr>
        <w:t xml:space="preserve">. </w:t>
      </w:r>
      <w:r w:rsidRPr="007F3B41">
        <w:rPr>
          <w:rFonts w:ascii="Aptos" w:hAnsi="Aptos"/>
        </w:rPr>
        <w:t xml:space="preserve">We develop, evaluate, and scale up programmes and </w:t>
      </w:r>
      <w:r w:rsidRPr="00926928">
        <w:t>approaches that aim to boost outcomes for children</w:t>
      </w:r>
      <w:r w:rsidRPr="00926928">
        <w:t xml:space="preserve"> and young people</w:t>
      </w:r>
      <w:r w:rsidRPr="00926928">
        <w:t xml:space="preserve"> from socio-economically disadvantaged backgrounds.</w:t>
      </w:r>
    </w:p>
    <w:p w:rsidR="004B77D2" w:rsidP="00517ADD">
      <w:pPr>
        <w:pStyle w:val="ListParagraph"/>
        <w:numPr>
          <w:ilvl w:val="0"/>
          <w:numId w:val="12"/>
        </w:numPr>
      </w:pPr>
      <w:r w:rsidRPr="00926928">
        <w:rPr>
          <w:b/>
          <w:bCs/>
        </w:rPr>
        <w:t>We put evidence to use</w:t>
      </w:r>
      <w:r w:rsidRPr="00926928">
        <w:t xml:space="preserve">. </w:t>
      </w:r>
      <w:r w:rsidRPr="00926928">
        <w:t xml:space="preserve">We help policy makers, leaders and educators to use evidence to deliver improved outcomes for children and young people from lower-income families. </w:t>
      </w:r>
    </w:p>
    <w:p w:rsidR="004B77D2" w:rsidP="00B8031E">
      <w:pPr>
        <w:ind w:left="-426"/>
      </w:pPr>
      <w:r w:rsidRPr="00926928">
        <w:rPr>
          <w:b/>
          <w:bCs/>
        </w:rPr>
        <w:t xml:space="preserve">Importance of a system-wide focus on </w:t>
      </w:r>
      <w:r w:rsidRPr="00926928">
        <w:rPr>
          <w:b/>
          <w:bCs/>
        </w:rPr>
        <w:t xml:space="preserve">reducing disadvantage gaps </w:t>
      </w:r>
      <w:r w:rsidRPr="00926928">
        <w:rPr>
          <w:b/>
          <w:bCs/>
        </w:rPr>
        <w:t xml:space="preserve"> </w:t>
      </w:r>
    </w:p>
    <w:p w:rsidR="004B77D2" w:rsidRPr="00A47335">
      <w:pPr>
        <w:pStyle w:val="ListParagraph"/>
        <w:numPr>
          <w:ilvl w:val="0"/>
          <w:numId w:val="1"/>
        </w:numPr>
        <w:ind w:left="0"/>
      </w:pPr>
      <w:r w:rsidRPr="00E3388C">
        <w:t xml:space="preserve">We </w:t>
      </w:r>
      <w:r w:rsidRPr="00A47335">
        <w:t>welcome the</w:t>
      </w:r>
      <w:r w:rsidRPr="00A47335">
        <w:t xml:space="preserve"> Department for Education’s (DfE)</w:t>
      </w:r>
      <w:r w:rsidRPr="00A47335">
        <w:t xml:space="preserve"> White Paper’s focus on disadvantage, given the continued</w:t>
      </w:r>
      <w:r w:rsidRPr="00A47335">
        <w:t xml:space="preserve"> </w:t>
      </w:r>
      <w:r w:rsidRPr="00A47335">
        <w:t xml:space="preserve">attainment gap between disadvantaged pupils and their peers (EPI, </w:t>
      </w:r>
      <w:r>
        <w:fldChar w:fldCharType="begin"/>
      </w:r>
      <w:r>
        <w:instrText xml:space="preserve"> HYPERLINK "https://epi.org.uk/annual-report-2026/annual-report-disadvantage-2026/" </w:instrText>
      </w:r>
      <w:r>
        <w:fldChar w:fldCharType="separate"/>
      </w:r>
      <w:r w:rsidRPr="00A47335">
        <w:rPr>
          <w:rStyle w:val="Hyperlink"/>
        </w:rPr>
        <w:t>2026</w:t>
      </w:r>
      <w:r>
        <w:fldChar w:fldCharType="end"/>
      </w:r>
      <w:r w:rsidRPr="00A47335">
        <w:t>).</w:t>
      </w:r>
      <w:r w:rsidRPr="00A47335">
        <w:t xml:space="preserve"> </w:t>
      </w:r>
      <w:r w:rsidRPr="00A47335">
        <w:t xml:space="preserve">Whilst the gap </w:t>
      </w:r>
      <w:r w:rsidRPr="00A47335">
        <w:t xml:space="preserve">was showing signs of closure before the Covid 19 pandemic, </w:t>
      </w:r>
      <w:r w:rsidRPr="00A47335">
        <w:t xml:space="preserve">school-age gaps have since </w:t>
      </w:r>
      <w:r w:rsidRPr="00A47335">
        <w:t>widened</w:t>
      </w:r>
      <w:r w:rsidRPr="00A47335">
        <w:t xml:space="preserve">. </w:t>
      </w:r>
      <w:r w:rsidRPr="00A47335">
        <w:t>R</w:t>
      </w:r>
      <w:r w:rsidRPr="00A47335">
        <w:t xml:space="preserve">etaining a policy focus on </w:t>
      </w:r>
      <w:r w:rsidRPr="00A47335">
        <w:t>ra</w:t>
      </w:r>
      <w:r w:rsidRPr="00A47335">
        <w:t>ising</w:t>
      </w:r>
      <w:r w:rsidRPr="00A47335">
        <w:t xml:space="preserve"> </w:t>
      </w:r>
      <w:r w:rsidRPr="00A47335">
        <w:t>the attainment of socio-</w:t>
      </w:r>
      <w:r w:rsidRPr="00A47335">
        <w:t>economically</w:t>
      </w:r>
      <w:r w:rsidRPr="00A47335">
        <w:t xml:space="preserve"> disadvantaged pupils therefore remains </w:t>
      </w:r>
      <w:r w:rsidRPr="00A47335">
        <w:t xml:space="preserve">crucial. </w:t>
      </w:r>
    </w:p>
    <w:p w:rsidR="004B77D2" w:rsidRPr="00A47335" w:rsidP="00517ADD">
      <w:pPr>
        <w:pStyle w:val="ListParagraph"/>
        <w:ind w:left="0"/>
      </w:pPr>
    </w:p>
    <w:p w:rsidR="004B77D2" w:rsidRPr="00A47335" w:rsidP="00C8356F">
      <w:pPr>
        <w:pStyle w:val="ListParagraph"/>
        <w:numPr>
          <w:ilvl w:val="0"/>
          <w:numId w:val="1"/>
        </w:numPr>
        <w:ind w:left="0"/>
      </w:pPr>
      <w:r w:rsidRPr="00A47335">
        <w:t>Currently, the most disadvantaged school</w:t>
      </w:r>
      <w:r>
        <w:t xml:space="preserve">s are more likely to </w:t>
      </w:r>
      <w:r w:rsidRPr="00A47335">
        <w:t>have less experienced teachers, experience a higher rate of teacher turnover (</w:t>
      </w:r>
      <w:r w:rsidRPr="00A47335">
        <w:t>Cardim Dias</w:t>
      </w:r>
      <w:r w:rsidRPr="00A47335">
        <w:t xml:space="preserve"> et al</w:t>
      </w:r>
      <w:r w:rsidRPr="00A47335">
        <w:t xml:space="preserve">, </w:t>
      </w:r>
      <w:r>
        <w:fldChar w:fldCharType="begin"/>
      </w:r>
      <w:r>
        <w:instrText xml:space="preserve"> HYPERLINK "https://epi.org.uk/publications-and-research/closing-the-workforce-quality-gap/" </w:instrText>
      </w:r>
      <w:r>
        <w:fldChar w:fldCharType="separate"/>
      </w:r>
      <w:r w:rsidRPr="00A47335">
        <w:rPr>
          <w:rStyle w:val="Hyperlink"/>
        </w:rPr>
        <w:t>2025</w:t>
      </w:r>
      <w:r>
        <w:fldChar w:fldCharType="end"/>
      </w:r>
      <w:r w:rsidRPr="00A47335">
        <w:t>)</w:t>
      </w:r>
      <w:r>
        <w:t>, and</w:t>
      </w:r>
      <w:r w:rsidRPr="00A47335">
        <w:t xml:space="preserve"> </w:t>
      </w:r>
      <w:r w:rsidRPr="00A47335">
        <w:t>be disproportionately affected by falling pupil rol</w:t>
      </w:r>
      <w:r>
        <w:t>l</w:t>
      </w:r>
      <w:r w:rsidRPr="00A47335">
        <w:t xml:space="preserve">s and the subsequent loss of funding (Scott et al, </w:t>
      </w:r>
      <w:r>
        <w:fldChar w:fldCharType="begin"/>
      </w:r>
      <w:r>
        <w:instrText xml:space="preserve"> HYPERLINK "https://www.nfer.ac.uk/blogs/the-widening-disadvantage-divide-disadvantaged-primary-schools-appear-to-be-most-affected-by-falling-pupil-numbers/" </w:instrText>
      </w:r>
      <w:r>
        <w:fldChar w:fldCharType="separate"/>
      </w:r>
      <w:r w:rsidRPr="00A47335">
        <w:rPr>
          <w:rStyle w:val="Hyperlink"/>
        </w:rPr>
        <w:t>2026</w:t>
      </w:r>
      <w:r>
        <w:fldChar w:fldCharType="end"/>
      </w:r>
      <w:r w:rsidRPr="00A47335">
        <w:t>)</w:t>
      </w:r>
      <w:r>
        <w:t xml:space="preserve">. </w:t>
      </w:r>
      <w:r w:rsidRPr="00A47335">
        <w:t xml:space="preserve">To address </w:t>
      </w:r>
      <w:r>
        <w:t>such</w:t>
      </w:r>
      <w:r w:rsidRPr="00A47335">
        <w:t xml:space="preserve"> </w:t>
      </w:r>
      <w:r w:rsidRPr="00A47335">
        <w:t xml:space="preserve">challenges that </w:t>
      </w:r>
      <w:r w:rsidRPr="00A47335">
        <w:t xml:space="preserve">these </w:t>
      </w:r>
      <w:r w:rsidRPr="00A47335">
        <w:t xml:space="preserve">schools face, it is important that </w:t>
      </w:r>
      <w:r w:rsidRPr="00A47335">
        <w:t xml:space="preserve">all system levers should be aligned towards closing attainment gaps. </w:t>
      </w:r>
      <w:r>
        <w:t>In particular, t</w:t>
      </w:r>
      <w:r w:rsidRPr="00A47335">
        <w:t>his</w:t>
      </w:r>
      <w:r w:rsidRPr="00A47335">
        <w:t xml:space="preserve"> includes ensuring that support and incentives are targeted towards schools serving </w:t>
      </w:r>
      <w:r>
        <w:t>h</w:t>
      </w:r>
      <w:r w:rsidRPr="00A47335">
        <w:t>ighe</w:t>
      </w:r>
      <w:r>
        <w:t xml:space="preserve">r </w:t>
      </w:r>
      <w:r w:rsidRPr="00A47335">
        <w:t>proportions of disadvantaged pupils, and that accountability measures, including performance data and RISE activity, reflect the challenges these schools face</w:t>
      </w:r>
      <w:r w:rsidRPr="00A47335">
        <w:t>.</w:t>
      </w:r>
    </w:p>
    <w:p w:rsidR="004B77D2" w:rsidRPr="00A47335" w:rsidP="00E97C72">
      <w:pPr>
        <w:pStyle w:val="ListParagraph"/>
        <w:ind w:left="0"/>
      </w:pPr>
    </w:p>
    <w:p w:rsidR="004B77D2" w:rsidRPr="00A47335" w:rsidP="00F32788">
      <w:pPr>
        <w:pStyle w:val="ListParagraph"/>
        <w:numPr>
          <w:ilvl w:val="0"/>
          <w:numId w:val="1"/>
        </w:numPr>
        <w:ind w:left="0"/>
        <w:rPr>
          <w:b/>
        </w:rPr>
      </w:pPr>
      <w:r w:rsidRPr="00A47335">
        <w:t xml:space="preserve">Closing the disadvantage gap also requires sustained attention across all phases of education. </w:t>
      </w:r>
      <w:r w:rsidRPr="00A47335">
        <w:t>Evidence highlights the importance of early intervention. Recent analysis found that the disadvantage gap is compounded over time, and that prior attainment is a major driver –</w:t>
      </w:r>
      <w:r>
        <w:t xml:space="preserve"> </w:t>
      </w:r>
      <w:r w:rsidRPr="00A47335">
        <w:t>attainment at age five accounts for 44% of the key stage 4 gap (</w:t>
      </w:r>
      <w:r w:rsidRPr="00A47335">
        <w:t>Hunt et al</w:t>
      </w:r>
      <w:r w:rsidRPr="00A47335">
        <w:t xml:space="preserve">, </w:t>
      </w:r>
      <w:r>
        <w:fldChar w:fldCharType="begin"/>
      </w:r>
      <w:r>
        <w:instrText xml:space="preserve"> HYPERLINK "https://educationendowmentfoundation.org.uk/projects-and-evaluation/projects/growing-apart-evolution-of-disadvantage-gap" </w:instrText>
      </w:r>
      <w:r>
        <w:fldChar w:fldCharType="separate"/>
      </w:r>
      <w:r w:rsidRPr="00A47335">
        <w:rPr>
          <w:rStyle w:val="Hyperlink"/>
        </w:rPr>
        <w:t>2026</w:t>
      </w:r>
      <w:r>
        <w:fldChar w:fldCharType="end"/>
      </w:r>
      <w:r w:rsidRPr="00A47335">
        <w:t>). It is therefore crucial that the Early Years system has a strong focus on</w:t>
      </w:r>
      <w:r>
        <w:t xml:space="preserve"> quality and, specifically,</w:t>
      </w:r>
      <w:r w:rsidRPr="00A47335">
        <w:t xml:space="preserve"> supporting disadvantaged children.</w:t>
      </w:r>
      <w:r w:rsidRPr="00A47335">
        <w:t xml:space="preserve"> </w:t>
      </w:r>
      <w:r w:rsidRPr="00A47335">
        <w:t xml:space="preserve">The transition from primary to secondary school </w:t>
      </w:r>
      <w:r w:rsidRPr="00A47335">
        <w:t xml:space="preserve">also </w:t>
      </w:r>
      <w:r w:rsidRPr="00A47335">
        <w:t>presents a</w:t>
      </w:r>
      <w:r w:rsidRPr="00A47335">
        <w:t xml:space="preserve"> crucial juncture in pupils’ trajectories</w:t>
      </w:r>
      <w:r w:rsidRPr="00A47335">
        <w:t xml:space="preserve"> (</w:t>
      </w:r>
      <w:r w:rsidRPr="00A47335">
        <w:t>Rutgers et al</w:t>
      </w:r>
      <w:r w:rsidRPr="00A47335">
        <w:t xml:space="preserve">, </w:t>
      </w:r>
      <w:r>
        <w:fldChar w:fldCharType="begin"/>
      </w:r>
      <w:r>
        <w:instrText xml:space="preserve"> HYPERLINK "https://educationendowmentfoundation.org.uk/education-evidence/evidence-reviews/transitions-between-educational-phases" </w:instrText>
      </w:r>
      <w:r>
        <w:fldChar w:fldCharType="separate"/>
      </w:r>
      <w:r w:rsidRPr="00A47335">
        <w:rPr>
          <w:rStyle w:val="Hyperlink"/>
        </w:rPr>
        <w:t>2026</w:t>
      </w:r>
      <w:r>
        <w:fldChar w:fldCharType="end"/>
      </w:r>
      <w:r w:rsidRPr="00A47335">
        <w:t>)</w:t>
      </w:r>
      <w:r w:rsidRPr="00A47335">
        <w:t xml:space="preserve">. </w:t>
      </w:r>
      <w:r w:rsidRPr="00A47335">
        <w:t>W</w:t>
      </w:r>
      <w:r w:rsidRPr="00A47335">
        <w:t xml:space="preserve">e </w:t>
      </w:r>
      <w:r w:rsidRPr="00A47335">
        <w:t xml:space="preserve">therefore </w:t>
      </w:r>
      <w:r w:rsidRPr="00A47335">
        <w:t xml:space="preserve">welcome the White Paper’s focus on </w:t>
      </w:r>
      <w:r w:rsidRPr="00A47335">
        <w:t>KS</w:t>
      </w:r>
      <w:r w:rsidRPr="00A47335">
        <w:t>3</w:t>
      </w:r>
      <w:r w:rsidRPr="00A47335">
        <w:t xml:space="preserve">, while noting that approaches to raising attainment at Key Stage 3 should be </w:t>
      </w:r>
      <w:r w:rsidRPr="00A47335">
        <w:t>led</w:t>
      </w:r>
      <w:r w:rsidRPr="00A47335">
        <w:t xml:space="preserve"> by robust evidence and high-quality data</w:t>
      </w:r>
      <w:r w:rsidRPr="00A47335">
        <w:t>.</w:t>
      </w:r>
    </w:p>
    <w:p w:rsidR="004B77D2" w:rsidRPr="00A47335" w:rsidP="0081104B">
      <w:pPr>
        <w:pStyle w:val="ListParagraph"/>
      </w:pPr>
    </w:p>
    <w:p w:rsidR="004B77D2" w:rsidP="00781F95">
      <w:pPr>
        <w:pStyle w:val="ListParagraph"/>
        <w:numPr>
          <w:ilvl w:val="0"/>
          <w:numId w:val="1"/>
        </w:numPr>
        <w:ind w:left="0"/>
      </w:pPr>
      <w:r w:rsidRPr="00A47335">
        <w:t xml:space="preserve">Given the role of absence in driving the disadvantage gap (Hunt et al, </w:t>
      </w:r>
      <w:r>
        <w:fldChar w:fldCharType="begin"/>
      </w:r>
      <w:r>
        <w:instrText xml:space="preserve"> HYPERLINK "https://educationendowmentfoundation.org.uk/projects-and-evaluation/projects/growing-apart-evolution-of-disadvantage-gap" </w:instrText>
      </w:r>
      <w:r>
        <w:fldChar w:fldCharType="separate"/>
      </w:r>
      <w:r w:rsidRPr="00A47335">
        <w:rPr>
          <w:rStyle w:val="Hyperlink"/>
        </w:rPr>
        <w:t>2026</w:t>
      </w:r>
      <w:r>
        <w:fldChar w:fldCharType="end"/>
      </w:r>
      <w:r w:rsidRPr="00A47335">
        <w:t xml:space="preserve">), it is also crucial to ensure that disadvantaged pupils are in school and able to benefit from effective support. We therefore welcome the White Paper’s commitment to increasing attendance and its focus on supporting schools to improve it. </w:t>
      </w:r>
    </w:p>
    <w:p w:rsidR="004B77D2" w:rsidRPr="00A47335" w:rsidP="001E371F">
      <w:pPr>
        <w:pStyle w:val="ListParagraph"/>
        <w:ind w:left="0"/>
      </w:pPr>
    </w:p>
    <w:p w:rsidR="004B77D2" w:rsidRPr="00A47335" w:rsidP="0081104B">
      <w:pPr>
        <w:pStyle w:val="ListParagraph"/>
        <w:numPr>
          <w:ilvl w:val="0"/>
          <w:numId w:val="1"/>
        </w:numPr>
        <w:ind w:left="0"/>
      </w:pPr>
      <w:r w:rsidRPr="00A47335">
        <w:t xml:space="preserve">As the White Paper’s wider reforms are taken forward, a clear, system-wide focus on closing the disadvantage attainment gap should be maintained alongside these. </w:t>
      </w:r>
      <w:r w:rsidRPr="00A47335">
        <w:t>T</w:t>
      </w:r>
      <w:r w:rsidRPr="00A47335">
        <w:t xml:space="preserve">he proposed </w:t>
      </w:r>
      <w:r w:rsidRPr="00A47335">
        <w:t xml:space="preserve">SEND reforms are likely to be capacity intensive for schools to deliver. </w:t>
      </w:r>
      <w:r w:rsidRPr="00A47335">
        <w:t>Whilst w</w:t>
      </w:r>
      <w:r w:rsidRPr="00A47335">
        <w:t xml:space="preserve">e welcome reform to the SEND system, which has the potential to improve outcomes for disadvantaged pupils with SEND, a significant proportion of disadvantaged pupils do </w:t>
      </w:r>
      <w:r w:rsidRPr="00A47335">
        <w:t xml:space="preserve">not have identified SEND: in AY25/26, 68% of FSM-eligible pupils had no identified SEN </w:t>
      </w:r>
      <w:r w:rsidRPr="00A47335">
        <w:t xml:space="preserve">(Gov.uk, </w:t>
      </w:r>
      <w:r>
        <w:fldChar w:fldCharType="begin"/>
      </w:r>
      <w:r>
        <w:instrText xml:space="preserve"> HYPERLINK "https://explore-education-statistics.service.gov.uk/data-tables/permalink/e90a1d79-367a-4086-ac23-08decde5861b" </w:instrText>
      </w:r>
      <w:r>
        <w:fldChar w:fldCharType="separate"/>
      </w:r>
      <w:r w:rsidRPr="00A47335">
        <w:rPr>
          <w:rStyle w:val="Hyperlink"/>
        </w:rPr>
        <w:t>2026</w:t>
      </w:r>
      <w:r>
        <w:fldChar w:fldCharType="end"/>
      </w:r>
      <w:r w:rsidRPr="00A47335">
        <w:t>)</w:t>
      </w:r>
      <w:r>
        <w:rPr>
          <w:rStyle w:val="FootnoteReference"/>
        </w:rPr>
        <w:footnoteReference w:id="2"/>
      </w:r>
      <w:r w:rsidRPr="00A47335">
        <w:t>. In this context, it is crucial that the system does not lose sight of closing disadvantage attainment gaps alongside improving outcomes for pupils with SEND.</w:t>
      </w:r>
    </w:p>
    <w:p w:rsidR="004B77D2" w:rsidRPr="00A47335" w:rsidP="00F045CD">
      <w:pPr>
        <w:pStyle w:val="ListParagraph"/>
        <w:ind w:left="0"/>
      </w:pPr>
    </w:p>
    <w:p w:rsidR="004B77D2" w:rsidRPr="00A47335" w:rsidP="00B8031E">
      <w:pPr>
        <w:ind w:left="-426"/>
        <w:rPr>
          <w:b/>
          <w:bCs/>
        </w:rPr>
      </w:pPr>
      <w:r w:rsidRPr="00A47335">
        <w:rPr>
          <w:b/>
          <w:bCs/>
        </w:rPr>
        <w:t xml:space="preserve">The role of </w:t>
      </w:r>
      <w:r w:rsidRPr="00A47335">
        <w:rPr>
          <w:b/>
          <w:bCs/>
        </w:rPr>
        <w:t>high-quality</w:t>
      </w:r>
      <w:r w:rsidRPr="00A47335">
        <w:rPr>
          <w:b/>
          <w:bCs/>
        </w:rPr>
        <w:t xml:space="preserve"> research</w:t>
      </w:r>
      <w:r w:rsidRPr="00A47335">
        <w:rPr>
          <w:b/>
          <w:bCs/>
        </w:rPr>
        <w:t xml:space="preserve"> e</w:t>
      </w:r>
      <w:r w:rsidRPr="00A47335">
        <w:rPr>
          <w:b/>
          <w:bCs/>
        </w:rPr>
        <w:t xml:space="preserve">vidence </w:t>
      </w:r>
    </w:p>
    <w:p w:rsidR="004B77D2" w:rsidRPr="00A47335">
      <w:pPr>
        <w:pStyle w:val="ListParagraph"/>
        <w:numPr>
          <w:ilvl w:val="0"/>
          <w:numId w:val="1"/>
        </w:numPr>
        <w:ind w:left="0" w:hanging="284"/>
        <w:rPr>
          <w:lang w:eastAsia="en-GB"/>
        </w:rPr>
      </w:pPr>
      <w:r w:rsidRPr="00A47335">
        <w:t>The consequences of the attainment gap are significant and long-lasting.</w:t>
      </w:r>
      <w:r w:rsidRPr="00A47335">
        <w:t xml:space="preserve"> Educational attainment is associated with a range of longer-term outcomes, including employment, and lifetime earnings </w:t>
      </w:r>
      <w:r w:rsidRPr="00A47335">
        <w:t>(</w:t>
      </w:r>
      <w:r w:rsidRPr="00A47335">
        <w:t>Hodge et al</w:t>
      </w:r>
      <w:r w:rsidRPr="00A47335">
        <w:t xml:space="preserve">, </w:t>
      </w:r>
      <w:r>
        <w:fldChar w:fldCharType="begin"/>
      </w:r>
      <w:r>
        <w:instrText xml:space="preserve"> HYPERLINK "https://assets.publishing.service.gov.uk/media/60c36f0cd3bf7f4bd11a2326/GCSE_Attainment_and_Lifetime_Earnings_PDF3A.pdf" </w:instrText>
      </w:r>
      <w:r>
        <w:fldChar w:fldCharType="separate"/>
      </w:r>
      <w:r w:rsidRPr="00A47335">
        <w:rPr>
          <w:rStyle w:val="Hyperlink"/>
        </w:rPr>
        <w:t>2021</w:t>
      </w:r>
      <w:r>
        <w:fldChar w:fldCharType="end"/>
      </w:r>
      <w:r w:rsidRPr="00A47335">
        <w:t xml:space="preserve">; OECD, </w:t>
      </w:r>
      <w:r>
        <w:fldChar w:fldCharType="begin"/>
      </w:r>
      <w:r>
        <w:instrText xml:space="preserve"> HYPERLINK "https://www.oecd.org/en/publications/education-at-a-glance-2025_1c0d9c79-en/full-report/how-does-educational-attainment-affect-participation-in-the-labour-market_ae451464.html" </w:instrText>
      </w:r>
      <w:r>
        <w:fldChar w:fldCharType="separate"/>
      </w:r>
      <w:r w:rsidRPr="00A47335">
        <w:rPr>
          <w:rStyle w:val="Hyperlink"/>
        </w:rPr>
        <w:t>2025</w:t>
      </w:r>
      <w:r>
        <w:fldChar w:fldCharType="end"/>
      </w:r>
      <w:r w:rsidRPr="00A47335">
        <w:t>)</w:t>
      </w:r>
      <w:r w:rsidRPr="00A47335">
        <w:t xml:space="preserve">. It is therefore important that the policy interventions outlined in the White Paper are underpinned by </w:t>
      </w:r>
      <w:r w:rsidRPr="00A47335">
        <w:t>high</w:t>
      </w:r>
      <w:r w:rsidRPr="00A47335">
        <w:t>-</w:t>
      </w:r>
      <w:r w:rsidRPr="00A47335">
        <w:t>quality research</w:t>
      </w:r>
      <w:r w:rsidRPr="00A47335">
        <w:t xml:space="preserve"> evidence in order to drive </w:t>
      </w:r>
      <w:r>
        <w:t xml:space="preserve">the most </w:t>
      </w:r>
      <w:r w:rsidRPr="00A47335">
        <w:t>positive impacts.</w:t>
      </w:r>
    </w:p>
    <w:p w:rsidR="004B77D2" w:rsidRPr="00A47335" w:rsidP="000D19FC">
      <w:pPr>
        <w:pStyle w:val="ListParagraph"/>
        <w:ind w:left="0"/>
        <w:rPr>
          <w:lang w:eastAsia="en-GB"/>
        </w:rPr>
      </w:pPr>
    </w:p>
    <w:p w:rsidR="004B77D2" w:rsidRPr="00A47335" w:rsidP="00C90DE5">
      <w:pPr>
        <w:pStyle w:val="ListParagraph"/>
        <w:numPr>
          <w:ilvl w:val="0"/>
          <w:numId w:val="1"/>
        </w:numPr>
        <w:ind w:left="0" w:hanging="284"/>
        <w:rPr>
          <w:lang w:eastAsia="en-GB"/>
        </w:rPr>
      </w:pPr>
      <w:r w:rsidRPr="00A47335">
        <w:t>Acro</w:t>
      </w:r>
      <w:r w:rsidRPr="00A47335">
        <w:t>s</w:t>
      </w:r>
      <w:r w:rsidRPr="00A47335">
        <w:t xml:space="preserve">s all policies, high-quality research evidence </w:t>
      </w:r>
      <w:r w:rsidRPr="00A47335">
        <w:t xml:space="preserve">should </w:t>
      </w:r>
      <w:r w:rsidRPr="00A47335">
        <w:t xml:space="preserve">inform the </w:t>
      </w:r>
      <w:r w:rsidRPr="00A47335">
        <w:t xml:space="preserve">design and </w:t>
      </w:r>
      <w:r w:rsidRPr="00A47335">
        <w:t xml:space="preserve">development of the </w:t>
      </w:r>
      <w:r w:rsidRPr="00A47335">
        <w:t xml:space="preserve">support that schools receive. For example, </w:t>
      </w:r>
      <w:r w:rsidRPr="00A47335">
        <w:t xml:space="preserve">where </w:t>
      </w:r>
      <w:r w:rsidRPr="00A47335">
        <w:t xml:space="preserve">RISE </w:t>
      </w:r>
      <w:r w:rsidRPr="00A47335">
        <w:t xml:space="preserve">teams </w:t>
      </w:r>
      <w:r w:rsidRPr="00A47335">
        <w:t>are signposting</w:t>
      </w:r>
      <w:r w:rsidRPr="00A47335">
        <w:t xml:space="preserve"> support to schools, this is most likely to be effective where is i</w:t>
      </w:r>
      <w:r w:rsidRPr="00A47335">
        <w:t xml:space="preserve">t is </w:t>
      </w:r>
      <w:r w:rsidRPr="00A47335">
        <w:t>well supported by evidence</w:t>
      </w:r>
      <w:r w:rsidRPr="00A47335">
        <w:t xml:space="preserve"> and draws on the principles of </w:t>
      </w:r>
      <w:r w:rsidRPr="00A47335">
        <w:t>high-quality</w:t>
      </w:r>
      <w:r w:rsidRPr="00A47335">
        <w:t xml:space="preserve"> professional development an</w:t>
      </w:r>
      <w:r w:rsidRPr="00A47335">
        <w:t>d implementation. Similarly, working with the EEF, DfE has developed strong processe</w:t>
      </w:r>
      <w:r>
        <w:t>s</w:t>
      </w:r>
      <w:r w:rsidRPr="00A47335">
        <w:t xml:space="preserve"> for ensuring that teacher training</w:t>
      </w:r>
      <w:r>
        <w:t xml:space="preserve"> and development</w:t>
      </w:r>
      <w:r w:rsidRPr="00A47335">
        <w:t xml:space="preserve"> is underpinned by robust research evidence</w:t>
      </w:r>
      <w:r>
        <w:t xml:space="preserve"> – this should be maintained and </w:t>
      </w:r>
      <w:r>
        <w:t>developed</w:t>
      </w:r>
      <w:r w:rsidRPr="00A47335">
        <w:t xml:space="preserve">. DfE should </w:t>
      </w:r>
      <w:r w:rsidRPr="00A47335">
        <w:t xml:space="preserve">also consider where there is scope to </w:t>
      </w:r>
      <w:r>
        <w:t xml:space="preserve">actively </w:t>
      </w:r>
      <w:r w:rsidRPr="00A47335">
        <w:t>support the scale-up of well-evidenced approaches</w:t>
      </w:r>
      <w:r>
        <w:t xml:space="preserve">, </w:t>
      </w:r>
      <w:r>
        <w:t xml:space="preserve">particularly in </w:t>
      </w:r>
      <w:r>
        <w:t>more challenging areas</w:t>
      </w:r>
      <w:r>
        <w:t xml:space="preserve">, </w:t>
      </w:r>
      <w:r w:rsidRPr="00A47335">
        <w:t xml:space="preserve">as it has done </w:t>
      </w:r>
      <w:r w:rsidRPr="00A47335">
        <w:t xml:space="preserve">previously </w:t>
      </w:r>
      <w:r w:rsidRPr="00A47335">
        <w:t>with NELI and Maths Champions</w:t>
      </w:r>
      <w:r w:rsidRPr="00A47335">
        <w:t>.</w:t>
      </w:r>
    </w:p>
    <w:p w:rsidR="004B77D2" w:rsidRPr="00A47335" w:rsidP="00C90DE5">
      <w:pPr>
        <w:pStyle w:val="ListParagraph"/>
        <w:rPr>
          <w:lang w:eastAsia="en-GB"/>
        </w:rPr>
      </w:pPr>
    </w:p>
    <w:p w:rsidR="004B77D2" w:rsidRPr="00A47335" w:rsidP="00C90DE5">
      <w:pPr>
        <w:pStyle w:val="ListParagraph"/>
        <w:numPr>
          <w:ilvl w:val="0"/>
          <w:numId w:val="1"/>
        </w:numPr>
        <w:ind w:left="0"/>
        <w:rPr>
          <w:lang w:eastAsia="en-GB"/>
        </w:rPr>
      </w:pPr>
      <w:r w:rsidRPr="00A47335">
        <w:rPr>
          <w:lang w:eastAsia="en-GB"/>
        </w:rPr>
        <w:t xml:space="preserve">DfE </w:t>
      </w:r>
      <w:r w:rsidRPr="00A47335">
        <w:t xml:space="preserve">should </w:t>
      </w:r>
      <w:r w:rsidRPr="00A47335">
        <w:t xml:space="preserve">continue to </w:t>
      </w:r>
      <w:r w:rsidRPr="00A47335">
        <w:t xml:space="preserve">encourage </w:t>
      </w:r>
      <w:r w:rsidRPr="00A47335">
        <w:t xml:space="preserve">teachers and leaders </w:t>
      </w:r>
      <w:r w:rsidRPr="00A47335">
        <w:t xml:space="preserve">to </w:t>
      </w:r>
      <w:r w:rsidRPr="00A47335">
        <w:t xml:space="preserve">draw </w:t>
      </w:r>
      <w:r w:rsidRPr="00A47335">
        <w:t>on</w:t>
      </w:r>
      <w:r w:rsidRPr="00A47335">
        <w:t xml:space="preserve"> </w:t>
      </w:r>
      <w:r w:rsidRPr="00A47335">
        <w:t>evidence directly</w:t>
      </w:r>
      <w:r w:rsidRPr="00A47335">
        <w:t xml:space="preserve"> in their practice</w:t>
      </w:r>
      <w:r w:rsidRPr="00A47335">
        <w:t>. We therefore welcome the White Paper’s ambition to ‘double down on evidence-based pedagogy on what works for all children and their learning’ and to support schools, teachers and leaders to understand and apply this evidence, including through the Teacher Training Entitlement. The Pupil Premium</w:t>
      </w:r>
      <w:r w:rsidRPr="00A47335">
        <w:t xml:space="preserve">, given </w:t>
      </w:r>
      <w:r w:rsidRPr="00A47335">
        <w:t xml:space="preserve">the </w:t>
      </w:r>
      <w:r w:rsidRPr="00A47335">
        <w:t>expectation</w:t>
      </w:r>
      <w:r w:rsidRPr="00A47335">
        <w:t xml:space="preserve"> for schools to </w:t>
      </w:r>
      <w:r w:rsidRPr="00A47335">
        <w:t>report</w:t>
      </w:r>
      <w:r w:rsidRPr="00A47335">
        <w:t xml:space="preserve"> the evidence support</w:t>
      </w:r>
      <w:r w:rsidRPr="00A47335">
        <w:t>ing</w:t>
      </w:r>
      <w:r w:rsidRPr="00A47335">
        <w:t xml:space="preserve"> their approach to spend</w:t>
      </w:r>
      <w:r w:rsidRPr="00A47335">
        <w:t xml:space="preserve"> in their strategy statement</w:t>
      </w:r>
      <w:r w:rsidRPr="00A47335">
        <w:t xml:space="preserve">, </w:t>
      </w:r>
      <w:r w:rsidRPr="00A47335">
        <w:t xml:space="preserve">remains a </w:t>
      </w:r>
      <w:r>
        <w:t xml:space="preserve">central, </w:t>
      </w:r>
      <w:r w:rsidRPr="00A47335">
        <w:t xml:space="preserve">powerful lever for </w:t>
      </w:r>
      <w:r w:rsidRPr="00A47335">
        <w:t>driv</w:t>
      </w:r>
      <w:r w:rsidRPr="00A47335">
        <w:t>ing</w:t>
      </w:r>
      <w:r w:rsidRPr="00A47335">
        <w:t xml:space="preserve"> </w:t>
      </w:r>
      <w:r w:rsidRPr="00A47335">
        <w:t>evidence</w:t>
      </w:r>
      <w:r w:rsidRPr="00A47335">
        <w:t xml:space="preserve"> use</w:t>
      </w:r>
      <w:r w:rsidRPr="00A47335">
        <w:t>. I</w:t>
      </w:r>
      <w:r w:rsidRPr="00A47335">
        <w:t>n AY24/25, 97</w:t>
      </w:r>
      <w:r w:rsidRPr="00A47335">
        <w:t>% of sampled schools cited evidence in their Pupil Premium strategy statement</w:t>
      </w:r>
      <w:r w:rsidRPr="00A47335">
        <w:t xml:space="preserve"> (</w:t>
      </w:r>
      <w:r w:rsidRPr="00A47335">
        <w:t>Bowen et al</w:t>
      </w:r>
      <w:r w:rsidRPr="00A47335">
        <w:t xml:space="preserve">, </w:t>
      </w:r>
      <w:r>
        <w:fldChar w:fldCharType="begin"/>
      </w:r>
      <w:r>
        <w:instrText xml:space="preserve"> HYPERLINK "https://educationendowmentfoundation.org.uk/projects-and-evaluation/projects/pupil-premium-statement-research-project" </w:instrText>
      </w:r>
      <w:r>
        <w:fldChar w:fldCharType="separate"/>
      </w:r>
      <w:r w:rsidRPr="00A47335">
        <w:rPr>
          <w:rStyle w:val="Hyperlink"/>
        </w:rPr>
        <w:t>202</w:t>
      </w:r>
      <w:r w:rsidRPr="00A47335">
        <w:rPr>
          <w:rStyle w:val="Hyperlink"/>
        </w:rPr>
        <w:t>5</w:t>
      </w:r>
      <w:r>
        <w:fldChar w:fldCharType="end"/>
      </w:r>
      <w:r w:rsidRPr="00A47335">
        <w:t>)</w:t>
      </w:r>
      <w:r w:rsidRPr="00A47335">
        <w:t>.</w:t>
      </w:r>
      <w:r>
        <w:t xml:space="preserve"> It is important that this clear</w:t>
      </w:r>
      <w:r>
        <w:t xml:space="preserve"> connection </w:t>
      </w:r>
      <w:r>
        <w:t>between the Pupil Premium and driving evidence</w:t>
      </w:r>
      <w:r>
        <w:t>-</w:t>
      </w:r>
      <w:r>
        <w:t xml:space="preserve">informed practice </w:t>
      </w:r>
      <w:r>
        <w:t xml:space="preserve">is maintained in any </w:t>
      </w:r>
      <w:r>
        <w:t>wider reforms to disadvantage funding, as discussed below.</w:t>
      </w:r>
    </w:p>
    <w:p w:rsidR="004B77D2" w:rsidRPr="00A47335" w:rsidP="008E7D68">
      <w:pPr>
        <w:pStyle w:val="ListParagraph"/>
        <w:ind w:left="0"/>
        <w:rPr>
          <w:rFonts w:ascii="Aptos" w:hAnsi="Aptos"/>
          <w:b/>
        </w:rPr>
      </w:pPr>
    </w:p>
    <w:p w:rsidR="004B77D2" w:rsidRPr="00A47335" w:rsidP="00B8031E">
      <w:pPr>
        <w:pStyle w:val="ListParagraph"/>
        <w:ind w:left="-426"/>
        <w:rPr>
          <w:rFonts w:ascii="Aptos" w:hAnsi="Aptos"/>
          <w:b/>
        </w:rPr>
      </w:pPr>
      <w:r w:rsidRPr="00A47335">
        <w:rPr>
          <w:rFonts w:ascii="Aptos" w:hAnsi="Aptos"/>
          <w:b/>
        </w:rPr>
        <w:t>Disadvantage funding</w:t>
      </w:r>
    </w:p>
    <w:p w:rsidR="004B77D2" w:rsidRPr="00A47335" w:rsidP="00B8031E">
      <w:pPr>
        <w:pStyle w:val="ListParagraph"/>
        <w:ind w:left="-426"/>
        <w:rPr>
          <w:rFonts w:ascii="Aptos" w:hAnsi="Aptos"/>
          <w:b/>
        </w:rPr>
      </w:pPr>
    </w:p>
    <w:p w:rsidR="004B77D2" w:rsidRPr="00A47335" w:rsidP="00C90DE5">
      <w:pPr>
        <w:pStyle w:val="ListParagraph"/>
        <w:numPr>
          <w:ilvl w:val="0"/>
          <w:numId w:val="1"/>
        </w:numPr>
        <w:ind w:left="0"/>
        <w:rPr>
          <w:b/>
        </w:rPr>
      </w:pPr>
      <w:r>
        <w:t>The</w:t>
      </w:r>
      <w:r w:rsidRPr="00A47335">
        <w:t xml:space="preserve"> Pupil Premium is a </w:t>
      </w:r>
      <w:r>
        <w:t>crucial</w:t>
      </w:r>
      <w:r w:rsidRPr="00A47335">
        <w:t xml:space="preserve"> lever </w:t>
      </w:r>
      <w:r w:rsidRPr="00A47335">
        <w:t xml:space="preserve">to support schools </w:t>
      </w:r>
      <w:r w:rsidRPr="00A47335">
        <w:t>in</w:t>
      </w:r>
      <w:r w:rsidRPr="00A47335">
        <w:t xml:space="preserve"> prioritis</w:t>
      </w:r>
      <w:r w:rsidRPr="00A47335">
        <w:t>ing</w:t>
      </w:r>
      <w:r w:rsidRPr="00A47335">
        <w:t xml:space="preserve"> raising </w:t>
      </w:r>
      <w:r w:rsidRPr="00A47335">
        <w:t>attainment for disadvantaged pupils. We therefore welcome</w:t>
      </w:r>
      <w:r w:rsidRPr="00A47335">
        <w:rPr>
          <w:bCs/>
        </w:rPr>
        <w:t xml:space="preserve"> DfE’s ambition to </w:t>
      </w:r>
      <w:r w:rsidRPr="00A47335">
        <w:t>secur</w:t>
      </w:r>
      <w:r w:rsidRPr="00A47335">
        <w:t>e</w:t>
      </w:r>
      <w:r w:rsidRPr="00A47335">
        <w:t xml:space="preserve"> better</w:t>
      </w:r>
      <w:r w:rsidRPr="00A47335">
        <w:rPr>
          <w:bCs/>
        </w:rPr>
        <w:t xml:space="preserve"> value for money from </w:t>
      </w:r>
      <w:r w:rsidRPr="00A47335">
        <w:t>the Pupil Premium by providing support</w:t>
      </w:r>
      <w:r w:rsidRPr="00A47335">
        <w:rPr>
          <w:bCs/>
        </w:rPr>
        <w:t xml:space="preserve"> to schools on how to </w:t>
      </w:r>
      <w:r w:rsidRPr="00A47335">
        <w:t>spend it effectively, including the delivery of government-funded Pupil Premium strategy reviews. It will be important to</w:t>
      </w:r>
      <w:r w:rsidRPr="00A47335">
        <w:rPr>
          <w:bCs/>
        </w:rPr>
        <w:t xml:space="preserve"> consider opportunities for sustained support, </w:t>
      </w:r>
      <w:r w:rsidRPr="00A47335">
        <w:t>alongside</w:t>
      </w:r>
      <w:r w:rsidRPr="00A47335">
        <w:rPr>
          <w:bCs/>
        </w:rPr>
        <w:t xml:space="preserve"> lighter</w:t>
      </w:r>
      <w:r w:rsidRPr="00A47335">
        <w:t>-</w:t>
      </w:r>
      <w:r w:rsidRPr="00A47335">
        <w:rPr>
          <w:bCs/>
        </w:rPr>
        <w:t>touch approaches</w:t>
      </w:r>
      <w:r w:rsidRPr="00A47335">
        <w:rPr>
          <w:bCs/>
        </w:rPr>
        <w:t xml:space="preserve">, as evidence suggests that </w:t>
      </w:r>
      <w:r w:rsidRPr="00A47335">
        <w:rPr>
          <w:bCs/>
        </w:rPr>
        <w:t xml:space="preserve">professional </w:t>
      </w:r>
      <w:r w:rsidRPr="00A47335">
        <w:rPr>
          <w:bCs/>
        </w:rPr>
        <w:t xml:space="preserve">development that </w:t>
      </w:r>
      <w:r w:rsidRPr="00A47335">
        <w:rPr>
          <w:bCs/>
        </w:rPr>
        <w:t xml:space="preserve">effectively </w:t>
      </w:r>
      <w:r w:rsidRPr="00A47335">
        <w:rPr>
          <w:bCs/>
        </w:rPr>
        <w:t xml:space="preserve">shifts practice is </w:t>
      </w:r>
      <w:r w:rsidRPr="00A47335">
        <w:rPr>
          <w:bCs/>
        </w:rPr>
        <w:t>sustained</w:t>
      </w:r>
      <w:r w:rsidRPr="00A47335">
        <w:rPr>
          <w:bCs/>
        </w:rPr>
        <w:t xml:space="preserve"> over time</w:t>
      </w:r>
      <w:r w:rsidRPr="00A47335">
        <w:rPr>
          <w:bCs/>
        </w:rPr>
        <w:t xml:space="preserve"> (EEF, </w:t>
      </w:r>
      <w:r>
        <w:fldChar w:fldCharType="begin"/>
      </w:r>
      <w:r>
        <w:instrText xml:space="preserve"> HYPERLINK "https://educationendowmentfoundation.org.uk/education-evidence/guidance-reports/effective-professional-development?gad_source=1&amp;gad_campaignid=23196683264&amp;gclid=EAIaIQobChMIk_GG-KThlQMVNI9QBh39DSUVEAAYASAAEgIMn_D_BwE" </w:instrText>
      </w:r>
      <w:r>
        <w:fldChar w:fldCharType="separate"/>
      </w:r>
      <w:r w:rsidRPr="00A47335">
        <w:rPr>
          <w:rStyle w:val="Hyperlink"/>
          <w:bCs/>
        </w:rPr>
        <w:t>2021</w:t>
      </w:r>
      <w:r>
        <w:fldChar w:fldCharType="end"/>
      </w:r>
      <w:r w:rsidRPr="00A47335">
        <w:rPr>
          <w:bCs/>
        </w:rPr>
        <w:t>)</w:t>
      </w:r>
      <w:r w:rsidRPr="00A47335">
        <w:t>.</w:t>
      </w:r>
    </w:p>
    <w:p w:rsidR="004B77D2" w:rsidRPr="00A47335" w:rsidP="007F230B">
      <w:pPr>
        <w:pStyle w:val="ListParagraph"/>
        <w:ind w:left="0"/>
        <w:rPr>
          <w:b/>
        </w:rPr>
      </w:pPr>
    </w:p>
    <w:p w:rsidR="004B77D2" w:rsidRPr="00A47335" w:rsidP="0092229E">
      <w:pPr>
        <w:pStyle w:val="ListParagraph"/>
        <w:numPr>
          <w:ilvl w:val="0"/>
          <w:numId w:val="1"/>
        </w:numPr>
        <w:ind w:left="0"/>
        <w:rPr>
          <w:b/>
        </w:rPr>
      </w:pPr>
      <w:r w:rsidRPr="00A47335">
        <w:rPr>
          <w:bCs/>
        </w:rPr>
        <w:t xml:space="preserve">There are </w:t>
      </w:r>
      <w:r w:rsidRPr="00A47335">
        <w:rPr>
          <w:bCs/>
        </w:rPr>
        <w:t xml:space="preserve">strong </w:t>
      </w:r>
      <w:r w:rsidRPr="00A47335">
        <w:rPr>
          <w:bCs/>
        </w:rPr>
        <w:t>grounds</w:t>
      </w:r>
      <w:r w:rsidRPr="00A47335">
        <w:rPr>
          <w:bCs/>
        </w:rPr>
        <w:t xml:space="preserve"> for </w:t>
      </w:r>
      <w:r w:rsidRPr="00A47335">
        <w:rPr>
          <w:rFonts w:ascii="Aptos" w:hAnsi="Aptos"/>
          <w:bCs/>
        </w:rPr>
        <w:t>review</w:t>
      </w:r>
      <w:r w:rsidRPr="00A47335">
        <w:rPr>
          <w:rFonts w:ascii="Aptos" w:hAnsi="Aptos"/>
          <w:bCs/>
        </w:rPr>
        <w:t>ing</w:t>
      </w:r>
      <w:r w:rsidRPr="00A47335">
        <w:rPr>
          <w:rFonts w:ascii="Aptos" w:hAnsi="Aptos"/>
          <w:bCs/>
        </w:rPr>
        <w:t xml:space="preserve"> </w:t>
      </w:r>
      <w:r w:rsidRPr="00A47335">
        <w:t>the eligibility criteria for disadvantage funding, including the P</w:t>
      </w:r>
      <w:r w:rsidRPr="00A47335">
        <w:rPr>
          <w:bCs/>
        </w:rPr>
        <w:t xml:space="preserve">upil </w:t>
      </w:r>
      <w:r w:rsidRPr="00A47335">
        <w:t xml:space="preserve">Premium, so that </w:t>
      </w:r>
      <w:r w:rsidRPr="00A47335">
        <w:rPr>
          <w:bCs/>
        </w:rPr>
        <w:t xml:space="preserve">pupils </w:t>
      </w:r>
      <w:r w:rsidRPr="00A47335">
        <w:t>who</w:t>
      </w:r>
      <w:r w:rsidRPr="00A47335">
        <w:rPr>
          <w:bCs/>
        </w:rPr>
        <w:t xml:space="preserve"> need additional support</w:t>
      </w:r>
      <w:r w:rsidRPr="00A47335">
        <w:t xml:space="preserve"> can be identified more accurately. Under the current criteria, </w:t>
      </w:r>
      <w:r w:rsidRPr="00A47335">
        <w:t xml:space="preserve">it is likely that </w:t>
      </w:r>
      <w:r w:rsidRPr="00A47335">
        <w:t xml:space="preserve">some pupils who would benefit from additional support </w:t>
      </w:r>
      <w:r w:rsidRPr="00A47335">
        <w:t xml:space="preserve">do </w:t>
      </w:r>
      <w:r w:rsidRPr="00A47335">
        <w:t>not attract</w:t>
      </w:r>
      <w:r w:rsidRPr="00A47335">
        <w:t xml:space="preserve"> </w:t>
      </w:r>
      <w:r>
        <w:t xml:space="preserve">additional </w:t>
      </w:r>
      <w:r w:rsidRPr="00A47335">
        <w:t>funding for</w:t>
      </w:r>
      <w:r w:rsidRPr="00A47335">
        <w:t xml:space="preserve"> it. </w:t>
      </w:r>
      <w:r>
        <w:t>For example, i</w:t>
      </w:r>
      <w:r w:rsidRPr="00A47335">
        <w:t>n 2024, t</w:t>
      </w:r>
      <w:r w:rsidRPr="00A47335">
        <w:t>he Child Poverty Action Group estimate</w:t>
      </w:r>
      <w:r w:rsidRPr="00A47335">
        <w:t>d</w:t>
      </w:r>
      <w:r w:rsidRPr="00A47335">
        <w:t xml:space="preserve"> that </w:t>
      </w:r>
      <w:r w:rsidRPr="00A47335">
        <w:rPr>
          <w:bCs/>
        </w:rPr>
        <w:t>900,000</w:t>
      </w:r>
      <w:r w:rsidRPr="00A47335">
        <w:t xml:space="preserve"> pupils </w:t>
      </w:r>
      <w:r w:rsidRPr="00A47335">
        <w:rPr>
          <w:bCs/>
        </w:rPr>
        <w:t>were living</w:t>
      </w:r>
      <w:r w:rsidRPr="00A47335">
        <w:rPr>
          <w:bCs/>
        </w:rPr>
        <w:t xml:space="preserve"> in relative poverty in England, but </w:t>
      </w:r>
      <w:r w:rsidRPr="00A47335">
        <w:rPr>
          <w:bCs/>
        </w:rPr>
        <w:t xml:space="preserve">were </w:t>
      </w:r>
      <w:r w:rsidRPr="00A47335">
        <w:rPr>
          <w:bCs/>
        </w:rPr>
        <w:t xml:space="preserve">ineligible for disadvantage funding </w:t>
      </w:r>
      <w:r w:rsidRPr="00A47335">
        <w:rPr>
          <w:bCs/>
        </w:rPr>
        <w:t xml:space="preserve">(CPAG, </w:t>
      </w:r>
      <w:r>
        <w:fldChar w:fldCharType="begin"/>
      </w:r>
      <w:r>
        <w:instrText xml:space="preserve"> HYPERLINK "https://www.google.com/url?sa=t&amp;rct=j&amp;q=&amp;esrc=s&amp;source=web&amp;cd=&amp;ved=2ahUKEwjSorLjs-GVAxXkXEEAHfZICKEQFnoECBkQAQ&amp;url=https%3A%2F%2Fcpag.org.uk%2Fsites%2Fdefault%2Ffiles%2F2024-09%2FFree_school_meals_nation_region.pdf&amp;usg=AOvVaw2-BEmGkmAl_Pf2wNG7Wyki&amp;opi=89978449" </w:instrText>
      </w:r>
      <w:r>
        <w:fldChar w:fldCharType="separate"/>
      </w:r>
      <w:r w:rsidRPr="00A47335">
        <w:rPr>
          <w:rStyle w:val="Hyperlink"/>
          <w:bCs/>
        </w:rPr>
        <w:t>2024</w:t>
      </w:r>
      <w:r>
        <w:fldChar w:fldCharType="end"/>
      </w:r>
      <w:r w:rsidRPr="00A47335">
        <w:rPr>
          <w:bCs/>
        </w:rPr>
        <w:t>)</w:t>
      </w:r>
      <w:r w:rsidRPr="00A47335">
        <w:rPr>
          <w:bCs/>
        </w:rPr>
        <w:t xml:space="preserve">. </w:t>
      </w:r>
      <w:r w:rsidRPr="00A47335">
        <w:t xml:space="preserve">We are </w:t>
      </w:r>
      <w:r w:rsidRPr="00A47335">
        <w:t>therefore</w:t>
      </w:r>
      <w:r w:rsidRPr="00A47335">
        <w:t xml:space="preserve"> supportive of the DfE’s proposal to use an income-based measure of disadvantage and auto-enrolling eligible pupils.</w:t>
      </w:r>
    </w:p>
    <w:p w:rsidR="004B77D2" w:rsidRPr="00A47335" w:rsidP="00A92DAC">
      <w:pPr>
        <w:pStyle w:val="ListParagraph"/>
        <w:ind w:left="0"/>
        <w:rPr>
          <w:b/>
        </w:rPr>
      </w:pPr>
    </w:p>
    <w:p w:rsidR="004B77D2" w:rsidRPr="00A47335" w:rsidP="00E57C2C">
      <w:pPr>
        <w:pStyle w:val="ListParagraph"/>
        <w:numPr>
          <w:ilvl w:val="0"/>
          <w:numId w:val="1"/>
        </w:numPr>
        <w:ind w:left="0"/>
        <w:rPr>
          <w:rStyle w:val="cf01"/>
          <w:rFonts w:asciiTheme="minorHAnsi" w:hAnsiTheme="minorHAnsi" w:cstheme="minorBidi"/>
          <w:b/>
          <w:sz w:val="24"/>
          <w:szCs w:val="24"/>
        </w:rPr>
      </w:pPr>
      <w:r w:rsidRPr="00A47335">
        <w:t>E</w:t>
      </w:r>
      <w:r w:rsidRPr="00A47335">
        <w:t>vidence</w:t>
      </w:r>
      <w:r w:rsidRPr="00A47335">
        <w:rPr>
          <w:rFonts w:eastAsia="Times New Roman" w:cs="Times New Roman"/>
          <w:kern w:val="0"/>
          <w:lang w:eastAsia="en-GB"/>
        </w:rPr>
        <w:t xml:space="preserve"> is clear that attainment outcomes are worse </w:t>
      </w:r>
      <w:r w:rsidRPr="00A47335">
        <w:t xml:space="preserve">for pupils who have experienced disadvantage for </w:t>
      </w:r>
      <w:r w:rsidRPr="00A47335">
        <w:rPr>
          <w:rFonts w:eastAsia="Times New Roman" w:cs="Times New Roman"/>
          <w:kern w:val="0"/>
          <w:lang w:eastAsia="en-GB"/>
        </w:rPr>
        <w:t xml:space="preserve">longer </w:t>
      </w:r>
      <w:r w:rsidRPr="00A47335">
        <w:t>periods</w:t>
      </w:r>
      <w:r w:rsidRPr="00A47335">
        <w:t xml:space="preserve"> (</w:t>
      </w:r>
      <w:r w:rsidRPr="00A47335">
        <w:t>Andrews &amp; Cruikshanks</w:t>
      </w:r>
      <w:r w:rsidRPr="00A47335">
        <w:t xml:space="preserve">, </w:t>
      </w:r>
      <w:r>
        <w:fldChar w:fldCharType="begin"/>
      </w:r>
      <w:r>
        <w:instrText xml:space="preserve"> HYPERLINK "https://epi.org.uk/publications-and-research/tackling-the-persistent-disadvantage-gap-a-new-approach-to-deprivation-funding/" </w:instrText>
      </w:r>
      <w:r>
        <w:fldChar w:fldCharType="separate"/>
      </w:r>
      <w:r w:rsidRPr="00A47335">
        <w:rPr>
          <w:rStyle w:val="Hyperlink"/>
        </w:rPr>
        <w:t>2024</w:t>
      </w:r>
      <w:r>
        <w:fldChar w:fldCharType="end"/>
      </w:r>
      <w:r w:rsidRPr="00A47335">
        <w:t>)</w:t>
      </w:r>
      <w:r w:rsidRPr="00A47335">
        <w:t xml:space="preserve">. We </w:t>
      </w:r>
      <w:r w:rsidRPr="00A47335">
        <w:rPr>
          <w:rFonts w:eastAsia="Times New Roman" w:cs="Times New Roman"/>
          <w:kern w:val="0"/>
          <w:lang w:eastAsia="en-GB"/>
        </w:rPr>
        <w:t xml:space="preserve">therefore understand </w:t>
      </w:r>
      <w:r w:rsidRPr="00A47335">
        <w:t>the rationale for providing greater resource to schools with</w:t>
      </w:r>
      <w:r w:rsidRPr="00A47335">
        <w:rPr>
          <w:rFonts w:eastAsia="Times New Roman" w:cs="Times New Roman"/>
          <w:kern w:val="0"/>
          <w:lang w:eastAsia="en-GB"/>
        </w:rPr>
        <w:t xml:space="preserve"> cohorts </w:t>
      </w:r>
      <w:r w:rsidRPr="00A47335">
        <w:t xml:space="preserve">that </w:t>
      </w:r>
      <w:r w:rsidRPr="00A47335">
        <w:rPr>
          <w:rFonts w:eastAsia="Times New Roman" w:cs="Times New Roman"/>
          <w:kern w:val="0"/>
          <w:lang w:eastAsia="en-GB"/>
        </w:rPr>
        <w:t xml:space="preserve">have higher rates of </w:t>
      </w:r>
      <w:r w:rsidRPr="00A47335">
        <w:t>persistent disadvantage, reflecting</w:t>
      </w:r>
      <w:r w:rsidRPr="00A47335">
        <w:rPr>
          <w:rFonts w:eastAsia="Times New Roman" w:cs="Times New Roman"/>
          <w:kern w:val="0"/>
          <w:lang w:eastAsia="en-GB"/>
        </w:rPr>
        <w:t xml:space="preserve"> the greater challenges these pupils </w:t>
      </w:r>
      <w:r w:rsidRPr="00A47335">
        <w:t xml:space="preserve">are likely to </w:t>
      </w:r>
      <w:r w:rsidRPr="00A47335">
        <w:rPr>
          <w:rFonts w:eastAsia="Times New Roman" w:cs="Times New Roman"/>
          <w:kern w:val="0"/>
          <w:lang w:eastAsia="en-GB"/>
        </w:rPr>
        <w:t xml:space="preserve">face. </w:t>
      </w:r>
      <w:r w:rsidRPr="00A47335">
        <w:t xml:space="preserve">However, </w:t>
      </w:r>
      <w:r w:rsidRPr="00A47335">
        <w:t>DfE</w:t>
      </w:r>
      <w:r w:rsidRPr="00A47335">
        <w:rPr>
          <w:rFonts w:eastAsia="Times New Roman" w:cs="Times New Roman"/>
          <w:kern w:val="0"/>
          <w:lang w:eastAsia="en-GB"/>
        </w:rPr>
        <w:t xml:space="preserve"> </w:t>
      </w:r>
      <w:r w:rsidRPr="00A47335">
        <w:t>should</w:t>
      </w:r>
      <w:r w:rsidRPr="00A47335">
        <w:rPr>
          <w:rFonts w:eastAsia="Times New Roman" w:cs="Times New Roman"/>
          <w:kern w:val="0"/>
          <w:lang w:eastAsia="en-GB"/>
        </w:rPr>
        <w:t xml:space="preserve"> carefully consider how to achieve this, as </w:t>
      </w:r>
      <w:r w:rsidRPr="00A47335">
        <w:t>changes to funding allocations could pose</w:t>
      </w:r>
      <w:r w:rsidRPr="00A47335">
        <w:rPr>
          <w:rFonts w:eastAsia="Times New Roman" w:cs="Times New Roman"/>
          <w:kern w:val="0"/>
          <w:lang w:eastAsia="en-GB"/>
        </w:rPr>
        <w:t xml:space="preserve"> risks and unintended consequences</w:t>
      </w:r>
      <w:r w:rsidRPr="00A47335">
        <w:rPr>
          <w:rFonts w:eastAsia="Times New Roman" w:cs="Times New Roman"/>
          <w:kern w:val="0"/>
          <w:lang w:eastAsia="en-GB"/>
        </w:rPr>
        <w:t xml:space="preserve">. </w:t>
      </w:r>
      <w:r w:rsidRPr="00A47335">
        <w:rPr>
          <w:bCs/>
        </w:rPr>
        <w:t xml:space="preserve">For example, </w:t>
      </w:r>
      <w:r w:rsidRPr="00A47335">
        <w:rPr>
          <w:rFonts w:eastAsia="Times New Roman" w:cs="Times New Roman"/>
          <w:bCs/>
          <w:kern w:val="0"/>
          <w:lang w:eastAsia="en-GB"/>
        </w:rPr>
        <w:t>i</w:t>
      </w:r>
      <w:r w:rsidRPr="00A47335">
        <w:rPr>
          <w:rFonts w:eastAsia="Times New Roman" w:cs="Times New Roman"/>
          <w:kern w:val="0"/>
          <w:lang w:eastAsia="en-GB"/>
        </w:rPr>
        <w:t>t will be important to ensure that:</w:t>
      </w:r>
    </w:p>
    <w:p w:rsidR="004B77D2" w:rsidRPr="00A47335">
      <w:pPr>
        <w:pStyle w:val="ListParagraph"/>
        <w:numPr>
          <w:ilvl w:val="1"/>
          <w:numId w:val="10"/>
        </w:numPr>
        <w:ind w:left="567"/>
        <w:rPr>
          <w:b/>
        </w:rPr>
      </w:pPr>
      <w:r w:rsidRPr="00A47335">
        <w:t xml:space="preserve">Any changes to </w:t>
      </w:r>
      <w:r w:rsidRPr="00A47335">
        <w:rPr>
          <w:rStyle w:val="cf01"/>
          <w:rFonts w:asciiTheme="minorHAnsi" w:hAnsiTheme="minorHAnsi"/>
          <w:sz w:val="24"/>
          <w:szCs w:val="24"/>
        </w:rPr>
        <w:t xml:space="preserve">eligibility criteria </w:t>
      </w:r>
      <w:r w:rsidRPr="00A47335">
        <w:t xml:space="preserve">do not introduce undue complexity around how schools understand and spend </w:t>
      </w:r>
      <w:r w:rsidRPr="00A47335">
        <w:t>P</w:t>
      </w:r>
      <w:r w:rsidRPr="00A47335">
        <w:t>upil</w:t>
      </w:r>
      <w:r w:rsidRPr="00A47335">
        <w:t xml:space="preserve"> P</w:t>
      </w:r>
      <w:r w:rsidRPr="00A47335">
        <w:t>remium funding. The simpl</w:t>
      </w:r>
      <w:r w:rsidRPr="00A47335">
        <w:rPr>
          <w:rStyle w:val="cf01"/>
          <w:rFonts w:asciiTheme="minorHAnsi" w:hAnsiTheme="minorHAnsi"/>
          <w:sz w:val="24"/>
          <w:szCs w:val="24"/>
        </w:rPr>
        <w:t xml:space="preserve">icity of </w:t>
      </w:r>
      <w:r w:rsidRPr="00A47335">
        <w:t>the Pupil Premium is one of its greatest strengths: it is a clearly defined funding stream with a clear scope</w:t>
      </w:r>
      <w:r>
        <w:t xml:space="preserve"> and connection to evidence</w:t>
      </w:r>
      <w:r w:rsidRPr="00A47335">
        <w:t>, intended to support improved outcomes for disadvantaged pupils. Given that Pupil Premium can currently be used to support high</w:t>
      </w:r>
      <w:r>
        <w:t>-</w:t>
      </w:r>
      <w:r w:rsidRPr="00A47335">
        <w:t xml:space="preserve">quality teaching </w:t>
      </w:r>
      <w:r w:rsidRPr="00A47335">
        <w:t xml:space="preserve">at </w:t>
      </w:r>
      <w:r w:rsidRPr="00A47335">
        <w:t>a whole-</w:t>
      </w:r>
      <w:r w:rsidRPr="00A47335">
        <w:t xml:space="preserve">school level, </w:t>
      </w:r>
      <w:r w:rsidRPr="00A47335">
        <w:t xml:space="preserve">which is particularly impactful for disadvantaged learners, any changes to funding must </w:t>
      </w:r>
      <w:r w:rsidRPr="00A47335">
        <w:t xml:space="preserve">also </w:t>
      </w:r>
      <w:r w:rsidRPr="00A47335">
        <w:t xml:space="preserve">avoid implying that </w:t>
      </w:r>
      <w:r w:rsidRPr="00A47335">
        <w:t>P</w:t>
      </w:r>
      <w:r w:rsidRPr="00A47335">
        <w:t xml:space="preserve">upil </w:t>
      </w:r>
      <w:r w:rsidRPr="00A47335">
        <w:t>P</w:t>
      </w:r>
      <w:r w:rsidRPr="00A47335">
        <w:t xml:space="preserve">remium </w:t>
      </w:r>
      <w:r w:rsidRPr="00A47335">
        <w:t>should be treated</w:t>
      </w:r>
      <w:r>
        <w:t xml:space="preserve"> solely</w:t>
      </w:r>
      <w:r w:rsidRPr="00A47335">
        <w:t xml:space="preserve"> as a</w:t>
      </w:r>
      <w:r w:rsidRPr="00A47335">
        <w:t xml:space="preserve"> budget for individual </w:t>
      </w:r>
      <w:r w:rsidRPr="00A47335">
        <w:t>children.</w:t>
      </w:r>
    </w:p>
    <w:p w:rsidR="004B77D2" w:rsidRPr="00A47335" w:rsidP="00A92DAC">
      <w:pPr>
        <w:pStyle w:val="ListParagraph"/>
        <w:numPr>
          <w:ilvl w:val="1"/>
          <w:numId w:val="10"/>
        </w:numPr>
        <w:ind w:left="567"/>
        <w:rPr>
          <w:b/>
        </w:rPr>
      </w:pPr>
      <w:r w:rsidRPr="00A47335">
        <w:rPr>
          <w:rStyle w:val="cf01"/>
          <w:rFonts w:asciiTheme="minorHAnsi" w:hAnsiTheme="minorHAnsi"/>
          <w:sz w:val="24"/>
          <w:szCs w:val="24"/>
        </w:rPr>
        <w:t xml:space="preserve">At a school level, changes to funding allocations </w:t>
      </w:r>
      <w:r w:rsidRPr="00A47335">
        <w:rPr>
          <w:rStyle w:val="cf01"/>
          <w:rFonts w:asciiTheme="minorHAnsi" w:hAnsiTheme="minorHAnsi"/>
          <w:sz w:val="24"/>
          <w:szCs w:val="24"/>
        </w:rPr>
        <w:t xml:space="preserve">do not result in schools receiving less funding for their disadvantaged pupils, </w:t>
      </w:r>
      <w:r w:rsidRPr="00A47335">
        <w:rPr>
          <w:rStyle w:val="cf01"/>
          <w:rFonts w:asciiTheme="minorHAnsi" w:hAnsiTheme="minorHAnsi"/>
          <w:sz w:val="24"/>
          <w:szCs w:val="24"/>
        </w:rPr>
        <w:t xml:space="preserve">particularly in </w:t>
      </w:r>
      <w:r w:rsidRPr="00A47335">
        <w:rPr>
          <w:rStyle w:val="cf01"/>
          <w:rFonts w:asciiTheme="minorHAnsi" w:hAnsiTheme="minorHAnsi"/>
          <w:sz w:val="24"/>
          <w:szCs w:val="24"/>
        </w:rPr>
        <w:t xml:space="preserve">the </w:t>
      </w:r>
      <w:r w:rsidRPr="00A47335">
        <w:rPr>
          <w:rStyle w:val="cf01"/>
          <w:rFonts w:asciiTheme="minorHAnsi" w:hAnsiTheme="minorHAnsi"/>
          <w:sz w:val="24"/>
          <w:szCs w:val="24"/>
        </w:rPr>
        <w:t>context of schools already reporting funding constraints</w:t>
      </w:r>
      <w:r w:rsidRPr="00A47335">
        <w:rPr>
          <w:rStyle w:val="cf01"/>
          <w:rFonts w:asciiTheme="minorHAnsi" w:hAnsiTheme="minorHAnsi"/>
          <w:sz w:val="24"/>
          <w:szCs w:val="24"/>
        </w:rPr>
        <w:t xml:space="preserve"> (Sutton Trust, </w:t>
      </w:r>
      <w:r>
        <w:fldChar w:fldCharType="begin"/>
      </w:r>
      <w:r>
        <w:instrText xml:space="preserve"> HYPERLINK "https://www.suttontrust.com/our-research/school-funding-and-pupil-premium-2026/" </w:instrText>
      </w:r>
      <w:r>
        <w:fldChar w:fldCharType="separate"/>
      </w:r>
      <w:r w:rsidRPr="00A47335">
        <w:rPr>
          <w:rStyle w:val="Hyperlink"/>
          <w:rFonts w:cs="Segoe UI"/>
        </w:rPr>
        <w:t>2026</w:t>
      </w:r>
      <w:r>
        <w:fldChar w:fldCharType="end"/>
      </w:r>
      <w:r w:rsidRPr="00A47335">
        <w:rPr>
          <w:rStyle w:val="cf01"/>
          <w:rFonts w:asciiTheme="minorHAnsi" w:hAnsiTheme="minorHAnsi"/>
          <w:sz w:val="24"/>
          <w:szCs w:val="24"/>
        </w:rPr>
        <w:t>)</w:t>
      </w:r>
      <w:r>
        <w:rPr>
          <w:rStyle w:val="cf01"/>
          <w:rFonts w:asciiTheme="minorHAnsi" w:hAnsiTheme="minorHAnsi"/>
          <w:sz w:val="24"/>
          <w:szCs w:val="24"/>
        </w:rPr>
        <w:t>.</w:t>
      </w:r>
      <w:r w:rsidRPr="00A47335">
        <w:rPr>
          <w:rStyle w:val="cf01"/>
          <w:rFonts w:asciiTheme="minorHAnsi" w:hAnsiTheme="minorHAnsi"/>
          <w:sz w:val="24"/>
          <w:szCs w:val="24"/>
        </w:rPr>
        <w:t xml:space="preserve"> </w:t>
      </w:r>
      <w:r w:rsidRPr="00A47335">
        <w:rPr>
          <w:rStyle w:val="cf01"/>
          <w:rFonts w:asciiTheme="minorHAnsi" w:hAnsiTheme="minorHAnsi"/>
          <w:sz w:val="24"/>
          <w:szCs w:val="24"/>
        </w:rPr>
        <w:t>DfE</w:t>
      </w:r>
      <w:r w:rsidRPr="00A47335">
        <w:rPr>
          <w:rStyle w:val="cf01"/>
          <w:rFonts w:asciiTheme="minorHAnsi" w:hAnsiTheme="minorHAnsi"/>
          <w:sz w:val="24"/>
          <w:szCs w:val="24"/>
        </w:rPr>
        <w:t xml:space="preserve"> should consider </w:t>
      </w:r>
      <w:r w:rsidRPr="00A47335">
        <w:rPr>
          <w:rStyle w:val="cf01"/>
          <w:rFonts w:asciiTheme="minorHAnsi" w:hAnsiTheme="minorHAnsi"/>
          <w:sz w:val="24"/>
          <w:szCs w:val="24"/>
        </w:rPr>
        <w:t xml:space="preserve">how to avoid </w:t>
      </w:r>
      <w:r w:rsidRPr="00A47335">
        <w:rPr>
          <w:rStyle w:val="cf01"/>
          <w:rFonts w:asciiTheme="minorHAnsi" w:hAnsiTheme="minorHAnsi"/>
          <w:sz w:val="24"/>
          <w:szCs w:val="24"/>
        </w:rPr>
        <w:t>schools see</w:t>
      </w:r>
      <w:r w:rsidRPr="00A47335">
        <w:rPr>
          <w:rStyle w:val="cf01"/>
          <w:rFonts w:asciiTheme="minorHAnsi" w:hAnsiTheme="minorHAnsi"/>
          <w:sz w:val="24"/>
          <w:szCs w:val="24"/>
        </w:rPr>
        <w:t>ing</w:t>
      </w:r>
      <w:r w:rsidRPr="00A47335">
        <w:rPr>
          <w:rStyle w:val="cf01"/>
          <w:rFonts w:asciiTheme="minorHAnsi" w:hAnsiTheme="minorHAnsi"/>
          <w:sz w:val="24"/>
          <w:szCs w:val="24"/>
        </w:rPr>
        <w:t xml:space="preserve"> a </w:t>
      </w:r>
      <w:r w:rsidRPr="00A47335">
        <w:rPr>
          <w:rStyle w:val="cf11"/>
          <w:rFonts w:asciiTheme="minorHAnsi" w:hAnsiTheme="minorHAnsi"/>
          <w:i w:val="0"/>
          <w:iCs w:val="0"/>
          <w:sz w:val="24"/>
          <w:szCs w:val="24"/>
        </w:rPr>
        <w:t>reduction</w:t>
      </w:r>
      <w:r w:rsidRPr="00A47335">
        <w:rPr>
          <w:rStyle w:val="cf11"/>
          <w:rFonts w:asciiTheme="minorHAnsi" w:hAnsiTheme="minorHAnsi"/>
          <w:sz w:val="24"/>
          <w:szCs w:val="24"/>
        </w:rPr>
        <w:t xml:space="preserve"> </w:t>
      </w:r>
      <w:r w:rsidRPr="00A47335">
        <w:rPr>
          <w:rStyle w:val="cf01"/>
          <w:rFonts w:asciiTheme="minorHAnsi" w:hAnsiTheme="minorHAnsi"/>
          <w:sz w:val="24"/>
          <w:szCs w:val="24"/>
        </w:rPr>
        <w:t xml:space="preserve">in their </w:t>
      </w:r>
      <w:r w:rsidRPr="00A47335">
        <w:rPr>
          <w:rStyle w:val="cf01"/>
          <w:rFonts w:asciiTheme="minorHAnsi" w:hAnsiTheme="minorHAnsi"/>
          <w:sz w:val="24"/>
          <w:szCs w:val="24"/>
        </w:rPr>
        <w:t xml:space="preserve">disadvantage </w:t>
      </w:r>
      <w:r w:rsidRPr="00A47335">
        <w:rPr>
          <w:rStyle w:val="cf01"/>
          <w:rFonts w:asciiTheme="minorHAnsi" w:hAnsiTheme="minorHAnsi"/>
          <w:sz w:val="24"/>
          <w:szCs w:val="24"/>
        </w:rPr>
        <w:t>funding as a result of any policy changes</w:t>
      </w:r>
      <w:r w:rsidRPr="00A47335">
        <w:rPr>
          <w:rStyle w:val="cf01"/>
          <w:rFonts w:asciiTheme="minorHAnsi" w:hAnsiTheme="minorHAnsi"/>
          <w:sz w:val="24"/>
          <w:szCs w:val="24"/>
        </w:rPr>
        <w:t>.</w:t>
      </w:r>
      <w:r w:rsidRPr="00A47335">
        <w:rPr>
          <w:rFonts w:eastAsia="Times New Roman" w:cs="Segoe UI"/>
          <w:kern w:val="0"/>
          <w:lang w:eastAsia="en-GB"/>
        </w:rPr>
        <w:t xml:space="preserve"> </w:t>
      </w:r>
    </w:p>
    <w:p w:rsidR="004B77D2" w:rsidRPr="00261140">
      <w:pPr>
        <w:pStyle w:val="ListParagraph"/>
        <w:numPr>
          <w:ilvl w:val="1"/>
          <w:numId w:val="10"/>
        </w:numPr>
        <w:ind w:left="567"/>
        <w:rPr>
          <w:rStyle w:val="cf01"/>
          <w:rFonts w:asciiTheme="minorHAnsi" w:hAnsiTheme="minorHAnsi" w:cstheme="minorBidi"/>
          <w:b/>
          <w:sz w:val="24"/>
          <w:szCs w:val="24"/>
        </w:rPr>
      </w:pPr>
      <w:r>
        <w:rPr>
          <w:rStyle w:val="cf01"/>
          <w:rFonts w:asciiTheme="minorHAnsi" w:hAnsiTheme="minorHAnsi"/>
          <w:sz w:val="24"/>
          <w:szCs w:val="24"/>
        </w:rPr>
        <w:t xml:space="preserve">DfE </w:t>
      </w:r>
      <w:r>
        <w:rPr>
          <w:rStyle w:val="cf01"/>
          <w:rFonts w:asciiTheme="minorHAnsi" w:hAnsiTheme="minorHAnsi"/>
          <w:sz w:val="24"/>
          <w:szCs w:val="24"/>
        </w:rPr>
        <w:t xml:space="preserve">also </w:t>
      </w:r>
      <w:r>
        <w:rPr>
          <w:rStyle w:val="cf01"/>
          <w:rFonts w:asciiTheme="minorHAnsi" w:hAnsiTheme="minorHAnsi"/>
          <w:sz w:val="24"/>
          <w:szCs w:val="24"/>
        </w:rPr>
        <w:t xml:space="preserve">considers </w:t>
      </w:r>
      <w:r>
        <w:rPr>
          <w:rStyle w:val="cf01"/>
          <w:rFonts w:asciiTheme="minorHAnsi" w:hAnsiTheme="minorHAnsi"/>
          <w:sz w:val="24"/>
          <w:szCs w:val="24"/>
        </w:rPr>
        <w:t>the other policy levers</w:t>
      </w:r>
      <w:r>
        <w:rPr>
          <w:rStyle w:val="cf01"/>
          <w:rFonts w:asciiTheme="minorHAnsi" w:hAnsiTheme="minorHAnsi"/>
          <w:sz w:val="24"/>
          <w:szCs w:val="24"/>
        </w:rPr>
        <w:t>, including those beyond the education system,</w:t>
      </w:r>
      <w:r>
        <w:rPr>
          <w:rStyle w:val="cf01"/>
          <w:rFonts w:asciiTheme="minorHAnsi" w:hAnsiTheme="minorHAnsi"/>
          <w:sz w:val="24"/>
          <w:szCs w:val="24"/>
        </w:rPr>
        <w:t xml:space="preserve"> that are likely to be needed to meet the </w:t>
      </w:r>
      <w:r>
        <w:rPr>
          <w:rStyle w:val="cf01"/>
          <w:rFonts w:asciiTheme="minorHAnsi" w:hAnsiTheme="minorHAnsi"/>
          <w:sz w:val="24"/>
          <w:szCs w:val="24"/>
        </w:rPr>
        <w:t xml:space="preserve">needs of </w:t>
      </w:r>
      <w:r>
        <w:rPr>
          <w:rStyle w:val="cf01"/>
          <w:rFonts w:asciiTheme="minorHAnsi" w:hAnsiTheme="minorHAnsi"/>
          <w:sz w:val="24"/>
          <w:szCs w:val="24"/>
        </w:rPr>
        <w:t xml:space="preserve">the persistently disadvantaged </w:t>
      </w:r>
      <w:r>
        <w:rPr>
          <w:rStyle w:val="cf01"/>
          <w:rFonts w:asciiTheme="minorHAnsi" w:hAnsiTheme="minorHAnsi"/>
          <w:sz w:val="24"/>
          <w:szCs w:val="24"/>
        </w:rPr>
        <w:t>cohort</w:t>
      </w:r>
      <w:r>
        <w:rPr>
          <w:rStyle w:val="cf01"/>
          <w:rFonts w:asciiTheme="minorHAnsi" w:hAnsiTheme="minorHAnsi"/>
          <w:sz w:val="24"/>
          <w:szCs w:val="24"/>
        </w:rPr>
        <w:t>.</w:t>
      </w:r>
    </w:p>
    <w:p w:rsidR="004B77D2" w:rsidRPr="00261140" w:rsidP="00261140">
      <w:pPr>
        <w:rPr>
          <w:rStyle w:val="cf01"/>
          <w:rFonts w:asciiTheme="minorHAnsi" w:hAnsiTheme="minorHAnsi" w:cstheme="minorBidi"/>
          <w:bCs/>
          <w:sz w:val="24"/>
          <w:szCs w:val="24"/>
        </w:rPr>
      </w:pPr>
      <w:r>
        <w:rPr>
          <w:rStyle w:val="cf01"/>
          <w:rFonts w:asciiTheme="minorHAnsi" w:hAnsiTheme="minorHAnsi" w:cstheme="minorBidi"/>
          <w:bCs/>
          <w:sz w:val="24"/>
          <w:szCs w:val="24"/>
        </w:rPr>
        <w:t>We w</w:t>
      </w:r>
      <w:r w:rsidRPr="00261140">
        <w:rPr>
          <w:rStyle w:val="cf01"/>
          <w:rFonts w:asciiTheme="minorHAnsi" w:hAnsiTheme="minorHAnsi" w:cstheme="minorBidi"/>
          <w:bCs/>
          <w:sz w:val="24"/>
          <w:szCs w:val="24"/>
        </w:rPr>
        <w:t xml:space="preserve">elcome </w:t>
      </w:r>
      <w:r>
        <w:rPr>
          <w:rStyle w:val="cf01"/>
          <w:rFonts w:asciiTheme="minorHAnsi" w:hAnsiTheme="minorHAnsi" w:cstheme="minorBidi"/>
          <w:bCs/>
          <w:sz w:val="24"/>
          <w:szCs w:val="24"/>
        </w:rPr>
        <w:t>DfE’s</w:t>
      </w:r>
      <w:r w:rsidRPr="00261140">
        <w:rPr>
          <w:rStyle w:val="cf01"/>
          <w:rFonts w:asciiTheme="minorHAnsi" w:hAnsiTheme="minorHAnsi" w:cstheme="minorBidi"/>
          <w:bCs/>
          <w:sz w:val="24"/>
          <w:szCs w:val="24"/>
        </w:rPr>
        <w:t xml:space="preserve"> </w:t>
      </w:r>
      <w:r>
        <w:rPr>
          <w:rStyle w:val="cf01"/>
          <w:rFonts w:asciiTheme="minorHAnsi" w:hAnsiTheme="minorHAnsi" w:cstheme="minorBidi"/>
          <w:bCs/>
          <w:sz w:val="24"/>
          <w:szCs w:val="24"/>
        </w:rPr>
        <w:t xml:space="preserve">commitment to consulting on this </w:t>
      </w:r>
      <w:r w:rsidRPr="00261140">
        <w:rPr>
          <w:rStyle w:val="cf01"/>
          <w:rFonts w:asciiTheme="minorHAnsi" w:hAnsiTheme="minorHAnsi" w:cstheme="minorBidi"/>
          <w:bCs/>
          <w:sz w:val="24"/>
          <w:szCs w:val="24"/>
        </w:rPr>
        <w:t xml:space="preserve">later this year. </w:t>
      </w:r>
    </w:p>
    <w:p w:rsidR="004B77D2" w:rsidP="00EE00FE">
      <w:pPr>
        <w:ind w:left="-426"/>
        <w:rPr>
          <w:b/>
        </w:rPr>
      </w:pPr>
      <w:r w:rsidRPr="00F32D12">
        <w:rPr>
          <w:b/>
        </w:rPr>
        <w:t>References</w:t>
      </w:r>
    </w:p>
    <w:p w:rsidR="004B77D2" w:rsidP="00EE00FE">
      <w:pPr>
        <w:ind w:left="-426"/>
        <w:rPr>
          <w:bCs/>
        </w:rPr>
      </w:pPr>
      <w:r>
        <w:rPr>
          <w:bCs/>
        </w:rPr>
        <w:t xml:space="preserve">Andrews, J., Cruikshanks, R. (2024) Tackling the persistent disadvantage gap: a new approach to deprivation funding. Education Policy Institute. </w:t>
      </w:r>
      <w:r>
        <w:fldChar w:fldCharType="begin"/>
      </w:r>
      <w:r>
        <w:instrText xml:space="preserve"> HYPERLINK "https://epi.org.uk/publications-and-research/tackling-the-persistent-disadvantage-gap-a-new-approach-to-deprivation-funding/" </w:instrText>
      </w:r>
      <w:r>
        <w:fldChar w:fldCharType="separate"/>
      </w:r>
      <w:r>
        <w:rPr>
          <w:rStyle w:val="Hyperlink"/>
          <w:bCs/>
        </w:rPr>
        <w:t>https://epi.org.uk/publications-and-research/tackling-the-persistent-disadvantage-gap-a-new-approach-to-deprivation-funding/</w:t>
      </w:r>
      <w:r>
        <w:fldChar w:fldCharType="end"/>
      </w:r>
      <w:r>
        <w:rPr>
          <w:bCs/>
        </w:rPr>
        <w:t xml:space="preserve"> (</w:t>
      </w:r>
      <w:r>
        <w:rPr>
          <w:bCs/>
        </w:rPr>
        <w:t>A</w:t>
      </w:r>
      <w:r>
        <w:rPr>
          <w:bCs/>
        </w:rPr>
        <w:t>ccessed 20/07/26)</w:t>
      </w:r>
    </w:p>
    <w:p w:rsidR="004B77D2" w:rsidP="00EE00FE">
      <w:pPr>
        <w:ind w:left="-426"/>
        <w:rPr>
          <w:bCs/>
        </w:rPr>
      </w:pPr>
      <w:r>
        <w:rPr>
          <w:bCs/>
        </w:rPr>
        <w:t>Bowen, S., Ozer, A., Kuz, V., Gurd, J., Taylor, L., Thom, J., Thornton, A., Gold, N. (2025) Pupil Premium Statement Research: Academic Year 202</w:t>
      </w:r>
      <w:r>
        <w:rPr>
          <w:bCs/>
        </w:rPr>
        <w:t>4</w:t>
      </w:r>
      <w:r>
        <w:rPr>
          <w:bCs/>
        </w:rPr>
        <w:t xml:space="preserve">/2025. Education Endowment Foundation. </w:t>
      </w:r>
      <w:r>
        <w:fldChar w:fldCharType="begin"/>
      </w:r>
      <w:r>
        <w:instrText xml:space="preserve"> HYPERLINK "https://educationendowmentfoundation.org.uk/projects-and-evaluation/projects/pupil-premium-statement-research-project" </w:instrText>
      </w:r>
      <w:r>
        <w:fldChar w:fldCharType="separate"/>
      </w:r>
      <w:r>
        <w:rPr>
          <w:rStyle w:val="Hyperlink"/>
          <w:bCs/>
        </w:rPr>
        <w:t>https://educationendowmentfoundation.org.uk/projects-and-evaluation/projects/pupil-premium-statement-research-project</w:t>
      </w:r>
      <w:r>
        <w:fldChar w:fldCharType="end"/>
      </w:r>
      <w:r>
        <w:rPr>
          <w:bCs/>
        </w:rPr>
        <w:t xml:space="preserve"> (Accessed 20/07/26)</w:t>
      </w:r>
    </w:p>
    <w:p w:rsidR="004B77D2" w:rsidP="00EE00FE">
      <w:pPr>
        <w:ind w:left="-426"/>
        <w:rPr>
          <w:bCs/>
        </w:rPr>
      </w:pPr>
      <w:r>
        <w:rPr>
          <w:bCs/>
        </w:rPr>
        <w:t xml:space="preserve">Cardim Dias, J., Jiménez, E., Zuccollo, J. (2025) </w:t>
      </w:r>
      <w:r w:rsidRPr="00634E37">
        <w:rPr>
          <w:bCs/>
        </w:rPr>
        <w:t>Closing the Workforce Quality Gap Experience, expertise and stability in disadvantaged schools</w:t>
      </w:r>
      <w:r>
        <w:rPr>
          <w:bCs/>
        </w:rPr>
        <w:t xml:space="preserve">. </w:t>
      </w:r>
      <w:r w:rsidRPr="00AA05FF">
        <w:rPr>
          <w:bCs/>
        </w:rPr>
        <w:t xml:space="preserve">Education Policy Institute. </w:t>
      </w:r>
      <w:r>
        <w:fldChar w:fldCharType="begin"/>
      </w:r>
      <w:r>
        <w:instrText xml:space="preserve"> HYPERLINK "https://epi.org.uk/publications-and-research/closing-the-workforce-quality-gap/" </w:instrText>
      </w:r>
      <w:r>
        <w:fldChar w:fldCharType="separate"/>
      </w:r>
      <w:r>
        <w:rPr>
          <w:rStyle w:val="Hyperlink"/>
          <w:bCs/>
        </w:rPr>
        <w:t>https://epi.org.uk/publications-and-research/closing-the-workforce-quality-gap/</w:t>
      </w:r>
      <w:r>
        <w:fldChar w:fldCharType="end"/>
      </w:r>
      <w:r>
        <w:rPr>
          <w:bCs/>
        </w:rPr>
        <w:t xml:space="preserve"> (Accessed 20/07/26)</w:t>
      </w:r>
      <w:r>
        <w:rPr>
          <w:bCs/>
        </w:rPr>
        <w:t xml:space="preserve"> </w:t>
      </w:r>
    </w:p>
    <w:p w:rsidR="004B77D2" w:rsidP="00EE00FE">
      <w:pPr>
        <w:ind w:left="-426"/>
        <w:rPr>
          <w:bCs/>
        </w:rPr>
      </w:pPr>
      <w:r>
        <w:rPr>
          <w:bCs/>
        </w:rPr>
        <w:t xml:space="preserve">Child Poverty Action Group (2024) </w:t>
      </w:r>
      <w:r w:rsidRPr="001733F4">
        <w:rPr>
          <w:bCs/>
        </w:rPr>
        <w:t>The number of children in poverty not eligible for free school meals, by nation and region</w:t>
      </w:r>
      <w:r>
        <w:rPr>
          <w:bCs/>
        </w:rPr>
        <w:t xml:space="preserve">. Child Poverty Action Group. </w:t>
      </w:r>
      <w:r>
        <w:fldChar w:fldCharType="begin"/>
      </w:r>
      <w:r>
        <w:instrText xml:space="preserve"> HYPERLINK "https://cpag.org.uk/sites/default/files/2024-09/Free_school_meals_nation_region.pdf" </w:instrText>
      </w:r>
      <w:r>
        <w:fldChar w:fldCharType="separate"/>
      </w:r>
      <w:r>
        <w:rPr>
          <w:rStyle w:val="Hyperlink"/>
          <w:bCs/>
        </w:rPr>
        <w:t>https://cpag.org.uk/sites/default/files/2024-09/Free_school_meals_nation_region.pdf</w:t>
      </w:r>
      <w:r>
        <w:fldChar w:fldCharType="end"/>
      </w:r>
      <w:r>
        <w:rPr>
          <w:bCs/>
        </w:rPr>
        <w:t xml:space="preserve"> (Accessed 20/07/26)</w:t>
      </w:r>
    </w:p>
    <w:p w:rsidR="004B77D2" w:rsidP="004821BD">
      <w:pPr>
        <w:ind w:left="-426"/>
        <w:rPr>
          <w:bCs/>
        </w:rPr>
      </w:pPr>
      <w:r>
        <w:rPr>
          <w:bCs/>
        </w:rPr>
        <w:t>Education Endowment Foundation (2021</w:t>
      </w:r>
      <w:r>
        <w:rPr>
          <w:bCs/>
        </w:rPr>
        <w:t>)</w:t>
      </w:r>
      <w:r>
        <w:rPr>
          <w:bCs/>
        </w:rPr>
        <w:t xml:space="preserve"> Effective Professional Development: Guidance Report). Education Endowment Foundation. </w:t>
      </w:r>
      <w:r>
        <w:fldChar w:fldCharType="begin"/>
      </w:r>
      <w:r>
        <w:instrText xml:space="preserve"> HYPERLINK "https://educationendowmentfoundation.org.uk/education-evidence/guidance-reports/effective-professional-development?gad_source=1&amp;gad_campaignid=23196683264&amp;gclid=EAIaIQobChMIk_GG-KThlQMVNI9QBh39DSUVEAAYASAAEgIMn_D_BwE" </w:instrText>
      </w:r>
      <w:r>
        <w:fldChar w:fldCharType="separate"/>
      </w:r>
      <w:r>
        <w:rPr>
          <w:rStyle w:val="Hyperlink"/>
          <w:bCs/>
        </w:rPr>
        <w:t>https://educationendowmentfoundation.org.uk/education-evidence/guidance-reports/effective-professional-development?gad_source=1&amp;gad_campaignid=23196683264&amp;gclid=EAIaIQobChMIk_GG-KThlQMVNI9QBh39DSUVEAAYASAAEgIMn_D_BwE</w:t>
      </w:r>
      <w:r>
        <w:fldChar w:fldCharType="end"/>
      </w:r>
      <w:r>
        <w:rPr>
          <w:bCs/>
        </w:rPr>
        <w:t xml:space="preserve"> (Accessed 20/07/26)</w:t>
      </w:r>
    </w:p>
    <w:p w:rsidR="004B77D2" w:rsidP="004821BD">
      <w:pPr>
        <w:ind w:left="-426"/>
        <w:rPr>
          <w:bCs/>
        </w:rPr>
      </w:pPr>
      <w:r w:rsidRPr="00AA05FF">
        <w:rPr>
          <w:bCs/>
        </w:rPr>
        <w:t xml:space="preserve">Education Policy Institute (2026) Annual report 2026. Education Policy Institute. </w:t>
      </w:r>
      <w:r>
        <w:fldChar w:fldCharType="begin"/>
      </w:r>
      <w:r>
        <w:instrText xml:space="preserve"> HYPERLINK "https://epi.org.uk/annual-report-2026/annual-report-disadvantage-2026/" </w:instrText>
      </w:r>
      <w:r>
        <w:fldChar w:fldCharType="separate"/>
      </w:r>
      <w:r w:rsidRPr="00AA05FF">
        <w:rPr>
          <w:rStyle w:val="Hyperlink"/>
          <w:bCs/>
        </w:rPr>
        <w:t>https://epi.org.uk/annual-report-2026/annual-report-disadvantage-2026/</w:t>
      </w:r>
      <w:r>
        <w:fldChar w:fldCharType="end"/>
      </w:r>
      <w:r w:rsidRPr="00AA05FF">
        <w:rPr>
          <w:bCs/>
        </w:rPr>
        <w:t xml:space="preserve"> (Accessed 20/07/26)</w:t>
      </w:r>
    </w:p>
    <w:p w:rsidR="004B77D2" w:rsidRPr="004829DA" w:rsidP="004821BD">
      <w:pPr>
        <w:ind w:left="-426"/>
        <w:rPr>
          <w:bCs/>
        </w:rPr>
      </w:pPr>
      <w:r w:rsidRPr="004829DA">
        <w:rPr>
          <w:bCs/>
        </w:rPr>
        <w:t>G</w:t>
      </w:r>
      <w:r>
        <w:rPr>
          <w:bCs/>
        </w:rPr>
        <w:t>OV</w:t>
      </w:r>
      <w:r w:rsidRPr="004829DA">
        <w:rPr>
          <w:bCs/>
        </w:rPr>
        <w:t xml:space="preserve">.UK (2026) 'Free school meal eligibility by type of SEN provision and type of need - 2016 to 2026' from 'Special educational needs in England'. </w:t>
      </w:r>
      <w:r>
        <w:fldChar w:fldCharType="begin"/>
      </w:r>
      <w:r>
        <w:instrText xml:space="preserve"> HYPERLINK "https://explore-education-statistics.service.gov.uk/data-tables/permalink/e90a1d79-367a-4086-ac23-08decde5861b" </w:instrText>
      </w:r>
      <w:r>
        <w:fldChar w:fldCharType="separate"/>
      </w:r>
      <w:r>
        <w:rPr>
          <w:rStyle w:val="Hyperlink"/>
          <w:bCs/>
        </w:rPr>
        <w:t>https://explore-education-statistics.service.gov.uk/data-tables/permalink/e90a1d79-367a-4086-ac23-08decde5861b</w:t>
      </w:r>
      <w:r>
        <w:fldChar w:fldCharType="end"/>
      </w:r>
      <w:r w:rsidRPr="004829DA">
        <w:rPr>
          <w:bCs/>
        </w:rPr>
        <w:t xml:space="preserve"> (</w:t>
      </w:r>
      <w:r>
        <w:rPr>
          <w:bCs/>
        </w:rPr>
        <w:t>A</w:t>
      </w:r>
      <w:r w:rsidRPr="004829DA">
        <w:rPr>
          <w:bCs/>
        </w:rPr>
        <w:t>cce</w:t>
      </w:r>
      <w:r>
        <w:rPr>
          <w:bCs/>
        </w:rPr>
        <w:t>s</w:t>
      </w:r>
      <w:r w:rsidRPr="004829DA">
        <w:rPr>
          <w:bCs/>
        </w:rPr>
        <w:t>sed 23/06/26)</w:t>
      </w:r>
    </w:p>
    <w:p w:rsidR="004B77D2" w:rsidP="00EE00FE">
      <w:pPr>
        <w:ind w:left="-426"/>
        <w:rPr>
          <w:bCs/>
        </w:rPr>
      </w:pPr>
      <w:r>
        <w:rPr>
          <w:bCs/>
        </w:rPr>
        <w:t xml:space="preserve">Hodge, L., Little, A., Weldon, M. (2021) </w:t>
      </w:r>
      <w:r w:rsidRPr="00332508">
        <w:rPr>
          <w:bCs/>
        </w:rPr>
        <w:t>GCSE attainment and lifetime earnings</w:t>
      </w:r>
      <w:r>
        <w:rPr>
          <w:bCs/>
        </w:rPr>
        <w:t xml:space="preserve">. Department for Education. </w:t>
      </w:r>
      <w:r>
        <w:fldChar w:fldCharType="begin"/>
      </w:r>
      <w:r>
        <w:instrText xml:space="preserve"> HYPERLINK "https://assets.publishing.service.gov.uk/media/60c36f0cd3bf7f4bd11a2326/GCSE_Attainment_and_Lifetime_Earnings_PDF3A.pdf" </w:instrText>
      </w:r>
      <w:r>
        <w:fldChar w:fldCharType="separate"/>
      </w:r>
      <w:r>
        <w:rPr>
          <w:rStyle w:val="Hyperlink"/>
          <w:bCs/>
        </w:rPr>
        <w:t>https://assets.publishing.service.gov.uk/media/60c36f0cd3bf7f4bd11a2326/GCSE_Attainment_and_Lifetime_Earnings_PDF3A.pdf</w:t>
      </w:r>
      <w:r>
        <w:fldChar w:fldCharType="end"/>
      </w:r>
      <w:r>
        <w:rPr>
          <w:bCs/>
        </w:rPr>
        <w:t xml:space="preserve"> (Accessed 20/07/26) </w:t>
      </w:r>
      <w:r>
        <w:rPr>
          <w:bCs/>
        </w:rPr>
        <w:t xml:space="preserve"> </w:t>
      </w:r>
    </w:p>
    <w:p w:rsidR="004B77D2" w:rsidP="00EE00FE">
      <w:pPr>
        <w:ind w:left="-426"/>
        <w:rPr>
          <w:bCs/>
        </w:rPr>
      </w:pPr>
      <w:r>
        <w:rPr>
          <w:bCs/>
        </w:rPr>
        <w:t xml:space="preserve">Hunt, E., Perrot, M., Jiménez, E., Robinson, D.(2026) Growing Apart – The Evolution of the Attainment Gap. Education Endowment Foundation. </w:t>
      </w:r>
      <w:r>
        <w:fldChar w:fldCharType="begin"/>
      </w:r>
      <w:r>
        <w:instrText xml:space="preserve"> HYPERLINK "https://educationendowmentfoundation.org.uk/projects-and-evaluation/projects/growing-apart-evolution-of-disadvantage-gap" </w:instrText>
      </w:r>
      <w:r>
        <w:fldChar w:fldCharType="separate"/>
      </w:r>
      <w:r>
        <w:rPr>
          <w:rStyle w:val="Hyperlink"/>
          <w:bCs/>
        </w:rPr>
        <w:t>https://educationendowmentfoundation.org.uk/projects-and-evaluation/projects/growing-apart-evolution-of-disadvantage-gap</w:t>
      </w:r>
      <w:r>
        <w:fldChar w:fldCharType="end"/>
      </w:r>
      <w:r>
        <w:rPr>
          <w:bCs/>
        </w:rPr>
        <w:t xml:space="preserve"> (Accessed 20/07/26)</w:t>
      </w:r>
    </w:p>
    <w:p w:rsidR="004B77D2" w:rsidP="00EE00FE">
      <w:pPr>
        <w:ind w:left="-426"/>
        <w:rPr>
          <w:bCs/>
        </w:rPr>
      </w:pPr>
      <w:r>
        <w:rPr>
          <w:bCs/>
        </w:rPr>
        <w:t>OECD (2025) Education at a Glance 2025: OECD Indicators. OECD</w:t>
      </w:r>
      <w:r>
        <w:rPr>
          <w:bCs/>
        </w:rPr>
        <w:t xml:space="preserve">. </w:t>
      </w:r>
      <w:r>
        <w:fldChar w:fldCharType="begin"/>
      </w:r>
      <w:r>
        <w:instrText xml:space="preserve"> HYPERLINK "https://www.oecd.org/en/publications/education-at-a-glance-2025_1c0d9c79-en/full-report/how-does-educational-attainment-affect-participation-in-the-labour-market_ae451464.html" </w:instrText>
      </w:r>
      <w:r>
        <w:fldChar w:fldCharType="separate"/>
      </w:r>
      <w:r w:rsidRPr="00D14E4F">
        <w:rPr>
          <w:rStyle w:val="Hyperlink"/>
          <w:bCs/>
        </w:rPr>
        <w:t>https://www.oecd.org/en/publications/education-at-a-glance-2025_1c0d9c79-en/full-report/how-does-educational-attainment-affect-participation-in-the-labour-market_ae451464.html</w:t>
      </w:r>
      <w:r>
        <w:fldChar w:fldCharType="end"/>
      </w:r>
      <w:r>
        <w:rPr>
          <w:bCs/>
        </w:rPr>
        <w:t xml:space="preserve"> (Accessed 20/07/26)</w:t>
      </w:r>
    </w:p>
    <w:p w:rsidR="004B77D2" w:rsidP="00EE00FE">
      <w:pPr>
        <w:ind w:left="-426"/>
        <w:rPr>
          <w:bCs/>
        </w:rPr>
      </w:pPr>
      <w:r>
        <w:rPr>
          <w:bCs/>
        </w:rPr>
        <w:t>Rutgers, D., Booth, J., Byrne,</w:t>
      </w:r>
      <w:r>
        <w:rPr>
          <w:bCs/>
        </w:rPr>
        <w:t xml:space="preserve"> E., Boodt, S., Rempe-Gillen, E., Pearse, S. (</w:t>
      </w:r>
      <w:r>
        <w:rPr>
          <w:bCs/>
        </w:rPr>
        <w:t xml:space="preserve">2026) </w:t>
      </w:r>
      <w:r w:rsidRPr="00BA7D3A">
        <w:rPr>
          <w:bCs/>
        </w:rPr>
        <w:t>Supporting transitions between educational phases to improve learner outcomes</w:t>
      </w:r>
      <w:r>
        <w:rPr>
          <w:bCs/>
        </w:rPr>
        <w:t>:</w:t>
      </w:r>
      <w:r w:rsidRPr="00BA7D3A">
        <w:rPr>
          <w:bCs/>
        </w:rPr>
        <w:t xml:space="preserve"> Protocol for an integrative evidence review</w:t>
      </w:r>
      <w:r>
        <w:rPr>
          <w:bCs/>
        </w:rPr>
        <w:t xml:space="preserve">. Education Endowment Foundation. </w:t>
      </w:r>
      <w:r>
        <w:fldChar w:fldCharType="begin"/>
      </w:r>
      <w:r>
        <w:instrText xml:space="preserve"> HYPERLINK "https://educationendowmentfoundation.org.uk/education-evidence/evidence-reviews/transitions-between-educational-phases" </w:instrText>
      </w:r>
      <w:r>
        <w:fldChar w:fldCharType="separate"/>
      </w:r>
      <w:r>
        <w:rPr>
          <w:rStyle w:val="Hyperlink"/>
          <w:bCs/>
        </w:rPr>
        <w:t>https://educationendowmentfoundation.org.uk/education-evidence/evidence-reviews/transitions-between-educational-phases</w:t>
      </w:r>
      <w:r>
        <w:fldChar w:fldCharType="end"/>
      </w:r>
      <w:r>
        <w:rPr>
          <w:bCs/>
        </w:rPr>
        <w:t xml:space="preserve"> (Accessed 21/07/26)</w:t>
      </w:r>
    </w:p>
    <w:p w:rsidR="004B77D2" w:rsidRPr="00AA05FF" w:rsidP="00A6244C">
      <w:pPr>
        <w:ind w:left="-426"/>
        <w:rPr>
          <w:bCs/>
        </w:rPr>
      </w:pPr>
      <w:r>
        <w:rPr>
          <w:bCs/>
        </w:rPr>
        <w:t xml:space="preserve">The Sutton Trust (2026) Schools Funding and Pupil Premium. </w:t>
      </w:r>
      <w:r>
        <w:rPr>
          <w:bCs/>
        </w:rPr>
        <w:t xml:space="preserve">The Sutton Trust. </w:t>
      </w:r>
      <w:r>
        <w:fldChar w:fldCharType="begin"/>
      </w:r>
      <w:r>
        <w:instrText xml:space="preserve"> HYPERLINK "https://www.suttontrust.com/our-research/school-funding-and-pupil-premium-2026/" </w:instrText>
      </w:r>
      <w:r>
        <w:fldChar w:fldCharType="separate"/>
      </w:r>
      <w:r>
        <w:rPr>
          <w:rStyle w:val="Hyperlink"/>
          <w:bCs/>
        </w:rPr>
        <w:t>https://www.suttontrust.com/our-research/school-funding-and-pupil-premium-2026/</w:t>
      </w:r>
      <w:r>
        <w:fldChar w:fldCharType="end"/>
      </w:r>
      <w:r>
        <w:rPr>
          <w:bCs/>
        </w:rPr>
        <w:t xml:space="preserve"> (Accessed 20/07/26)</w:t>
      </w:r>
    </w:p>
    <w:p w:rsidR="004B77D2" w:rsidRPr="001E551D" w:rsidP="001E551D">
      <w:pPr>
        <w:ind w:left="-426"/>
        <w:rPr>
          <w:bCs/>
        </w:rPr>
      </w:pPr>
      <w:r>
        <w:rPr>
          <w:bCs/>
        </w:rPr>
        <w:t>Scott, M</w:t>
      </w:r>
      <w:r>
        <w:rPr>
          <w:bCs/>
        </w:rPr>
        <w:t>., Tang, S., Julius, J.</w:t>
      </w:r>
      <w:r>
        <w:rPr>
          <w:bCs/>
        </w:rPr>
        <w:t xml:space="preserve"> (2026)</w:t>
      </w:r>
      <w:r>
        <w:rPr>
          <w:bCs/>
        </w:rPr>
        <w:t xml:space="preserve"> </w:t>
      </w:r>
      <w:r w:rsidRPr="001E551D">
        <w:rPr>
          <w:bCs/>
        </w:rPr>
        <w:t>The widening disadvantage divide: Disadvantaged primary schools appear to be most affected by falling pupil numbers</w:t>
      </w:r>
      <w:r>
        <w:rPr>
          <w:bCs/>
        </w:rPr>
        <w:t xml:space="preserve">. </w:t>
      </w:r>
      <w:r>
        <w:fldChar w:fldCharType="begin"/>
      </w:r>
      <w:r>
        <w:instrText xml:space="preserve"> HYPERLINK "https://www.nfer.ac.uk/blogs/the-widening-disadvantage-divide-disadvantaged-primary-schools-appear-to-be-most-affected-by-falling-pupil-numbers/" </w:instrText>
      </w:r>
      <w:r>
        <w:fldChar w:fldCharType="separate"/>
      </w:r>
      <w:r>
        <w:rPr>
          <w:rStyle w:val="Hyperlink"/>
          <w:bCs/>
        </w:rPr>
        <w:t>https://www.nfer.ac.uk/blogs/the-widening-disadvantage-divide-disadvantaged-primary-schools-appear-to-be-most-affected-by-falling-pupil-numbers/</w:t>
      </w:r>
      <w:r>
        <w:fldChar w:fldCharType="end"/>
      </w:r>
      <w:r>
        <w:rPr>
          <w:bCs/>
        </w:rPr>
        <w:t xml:space="preserve"> (Accessed 20/07/26)</w:t>
      </w:r>
    </w:p>
    <w:p w:rsidR="004B77D2" w:rsidRPr="00F32D12" w:rsidP="00EE00FE">
      <w:pPr>
        <w:ind w:left="-426"/>
        <w:rPr>
          <w:bCs/>
          <w:i/>
          <w:iCs/>
        </w:rPr>
      </w:pPr>
      <w:r>
        <w:rPr>
          <w:bCs/>
          <w:i/>
          <w:iCs/>
        </w:rPr>
        <w:t>September 2026</w:t>
      </w:r>
    </w:p>
    <w:p w:rsidR="004B77D2" w:rsidRPr="00F32D12" w:rsidP="00A47335">
      <w:pPr>
        <w:rPr>
          <w:bCs/>
          <w:i/>
          <w:iCs/>
        </w:rPr>
      </w:pPr>
    </w:p>
    <w:sectPr>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7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9739620"/>
      <w:docPartObj>
        <w:docPartGallery w:val="Page Numbers (Bottom of Page)"/>
        <w:docPartUnique/>
      </w:docPartObj>
    </w:sdtPr>
    <w:sdtContent>
      <w:p w:rsidR="004B77D2">
        <w:pPr>
          <w:pStyle w:val="Footer"/>
          <w:jc w:val="center"/>
        </w:pPr>
        <w:r>
          <w:fldChar w:fldCharType="begin"/>
        </w:r>
        <w:r>
          <w:instrText>PAGE   \* MERGEFORMAT</w:instrText>
        </w:r>
        <w:r>
          <w:fldChar w:fldCharType="separate"/>
        </w:r>
        <w:r>
          <w:t>2</w:t>
        </w:r>
        <w:r>
          <w:fldChar w:fldCharType="end"/>
        </w:r>
      </w:p>
    </w:sdtContent>
  </w:sdt>
  <w:p w:rsidR="004B77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7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B77D2" w:rsidP="00350F3E">
      <w:pPr>
        <w:spacing w:after="0" w:line="240" w:lineRule="auto"/>
      </w:pPr>
      <w:r>
        <w:separator/>
      </w:r>
    </w:p>
  </w:footnote>
  <w:footnote w:type="continuationSeparator" w:id="1">
    <w:p w:rsidR="004B77D2" w:rsidP="00350F3E">
      <w:pPr>
        <w:spacing w:after="0" w:line="240" w:lineRule="auto"/>
      </w:pPr>
      <w:r>
        <w:continuationSeparator/>
      </w:r>
    </w:p>
  </w:footnote>
  <w:footnote w:id="2">
    <w:p w:rsidR="004B77D2" w:rsidP="007C7C5F">
      <w:pPr>
        <w:pStyle w:val="FootnoteText"/>
      </w:pPr>
      <w:r>
        <w:rPr>
          <w:rStyle w:val="FootnoteReference"/>
        </w:rPr>
        <w:footnoteRef/>
      </w:r>
      <w:r>
        <w:t xml:space="preserve"> In AY25/26, 10.09% of FSM eligible pupils had an Education, health and care plan, and 21.97% of FSM-eligible pupils had SEN support. 68.03% of FSM-eligible pupils had no identified SEN.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7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7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7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130370"/>
    <w:multiLevelType w:val="multilevel"/>
    <w:tmpl w:val="3A00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366BB4"/>
    <w:multiLevelType w:val="hybridMultilevel"/>
    <w:tmpl w:val="D1228036"/>
    <w:lvl w:ilvl="0">
      <w:start w:val="9"/>
      <w:numFmt w:val="decimal"/>
      <w:lvlText w:val="%1."/>
      <w:lvlJc w:val="left"/>
      <w:pPr>
        <w:ind w:left="720" w:hanging="360"/>
      </w:pPr>
      <w:rPr>
        <w:rFonts w:hint="default"/>
        <w:b w:val="0"/>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C304A6"/>
    <w:multiLevelType w:val="multilevel"/>
    <w:tmpl w:val="E63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AD148A"/>
    <w:multiLevelType w:val="multilevel"/>
    <w:tmpl w:val="0D7E1234"/>
    <w:lvl w:ilvl="0">
      <w:start w:val="1"/>
      <w:numFmt w:val="decimal"/>
      <w:lvlText w:val="%1."/>
      <w:lvlJc w:val="left"/>
      <w:pPr>
        <w:ind w:left="360" w:hanging="360"/>
      </w:pPr>
      <w:rPr>
        <w:b w:val="0"/>
        <w:bCs/>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06A2B64"/>
    <w:multiLevelType w:val="multilevel"/>
    <w:tmpl w:val="A68C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2F54AD"/>
    <w:multiLevelType w:val="multilevel"/>
    <w:tmpl w:val="5F80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C21190"/>
    <w:multiLevelType w:val="multilevel"/>
    <w:tmpl w:val="0028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2B29A4"/>
    <w:multiLevelType w:val="hybridMultilevel"/>
    <w:tmpl w:val="BE868E96"/>
    <w:lvl w:ilvl="0">
      <w:start w:val="3"/>
      <w:numFmt w:val="bullet"/>
      <w:lvlText w:val=""/>
      <w:lvlJc w:val="left"/>
      <w:pPr>
        <w:ind w:left="1004" w:hanging="360"/>
      </w:pPr>
      <w:rPr>
        <w:rFonts w:ascii="Symbol" w:hAnsi="Symbol" w:eastAsiaTheme="minorHAnsi" w:cstheme="minorBidi" w:hint="default"/>
      </w:rPr>
    </w:lvl>
    <w:lvl w:ilvl="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8">
    <w:nsid w:val="4F203999"/>
    <w:multiLevelType w:val="multilevel"/>
    <w:tmpl w:val="E424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546A79"/>
    <w:multiLevelType w:val="multilevel"/>
    <w:tmpl w:val="C2B2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4515A2"/>
    <w:multiLevelType w:val="multilevel"/>
    <w:tmpl w:val="4A1E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3B0890"/>
    <w:multiLevelType w:val="multilevel"/>
    <w:tmpl w:val="5672D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39779A"/>
    <w:multiLevelType w:val="multilevel"/>
    <w:tmpl w:val="5C7C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B6318F"/>
    <w:multiLevelType w:val="hybridMultilevel"/>
    <w:tmpl w:val="3334C464"/>
    <w:lvl w:ilvl="0">
      <w:start w:val="3"/>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9"/>
  </w:num>
  <w:num w:numId="5">
    <w:abstractNumId w:val="8"/>
  </w:num>
  <w:num w:numId="6">
    <w:abstractNumId w:val="2"/>
  </w:num>
  <w:num w:numId="7">
    <w:abstractNumId w:val="11"/>
  </w:num>
  <w:num w:numId="8">
    <w:abstractNumId w:val="10"/>
  </w:num>
  <w:num w:numId="9">
    <w:abstractNumId w:val="4"/>
  </w:num>
  <w:num w:numId="10">
    <w:abstractNumId w:val="1"/>
  </w:num>
  <w:num w:numId="11">
    <w:abstractNumId w:val="13"/>
  </w:num>
  <w:num w:numId="12">
    <w:abstractNumId w:val="7"/>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96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6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6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6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96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156"/>
    <w:rPr>
      <w:rFonts w:eastAsiaTheme="majorEastAsia" w:cstheme="majorBidi"/>
      <w:color w:val="272727" w:themeColor="text1" w:themeTint="D8"/>
    </w:rPr>
  </w:style>
  <w:style w:type="paragraph" w:styleId="Title">
    <w:name w:val="Title"/>
    <w:basedOn w:val="Normal"/>
    <w:next w:val="Normal"/>
    <w:link w:val="TitleChar"/>
    <w:uiPriority w:val="10"/>
    <w:qFormat/>
    <w:rsid w:val="00996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156"/>
    <w:pPr>
      <w:spacing w:before="160"/>
      <w:jc w:val="center"/>
    </w:pPr>
    <w:rPr>
      <w:i/>
      <w:iCs/>
      <w:color w:val="404040" w:themeColor="text1" w:themeTint="BF"/>
    </w:rPr>
  </w:style>
  <w:style w:type="character" w:customStyle="1" w:styleId="QuoteChar">
    <w:name w:val="Quote Char"/>
    <w:basedOn w:val="DefaultParagraphFont"/>
    <w:link w:val="Quote"/>
    <w:uiPriority w:val="29"/>
    <w:rsid w:val="00996156"/>
    <w:rPr>
      <w:i/>
      <w:iCs/>
      <w:color w:val="404040" w:themeColor="text1" w:themeTint="BF"/>
    </w:rPr>
  </w:style>
  <w:style w:type="paragraph" w:styleId="ListParagraph">
    <w:name w:val="List Paragraph"/>
    <w:basedOn w:val="Normal"/>
    <w:uiPriority w:val="34"/>
    <w:qFormat/>
    <w:rsid w:val="00996156"/>
    <w:pPr>
      <w:ind w:left="720"/>
      <w:contextualSpacing/>
    </w:pPr>
  </w:style>
  <w:style w:type="character" w:styleId="IntenseEmphasis">
    <w:name w:val="Intense Emphasis"/>
    <w:basedOn w:val="DefaultParagraphFont"/>
    <w:uiPriority w:val="21"/>
    <w:qFormat/>
    <w:rsid w:val="00996156"/>
    <w:rPr>
      <w:i/>
      <w:iCs/>
      <w:color w:val="0F4761" w:themeColor="accent1" w:themeShade="BF"/>
    </w:rPr>
  </w:style>
  <w:style w:type="paragraph" w:styleId="IntenseQuote">
    <w:name w:val="Intense Quote"/>
    <w:basedOn w:val="Normal"/>
    <w:next w:val="Normal"/>
    <w:link w:val="IntenseQuoteChar"/>
    <w:uiPriority w:val="30"/>
    <w:qFormat/>
    <w:rsid w:val="00996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156"/>
    <w:rPr>
      <w:i/>
      <w:iCs/>
      <w:color w:val="0F4761" w:themeColor="accent1" w:themeShade="BF"/>
    </w:rPr>
  </w:style>
  <w:style w:type="character" w:styleId="IntenseReference">
    <w:name w:val="Intense Reference"/>
    <w:basedOn w:val="DefaultParagraphFont"/>
    <w:uiPriority w:val="32"/>
    <w:qFormat/>
    <w:rsid w:val="00996156"/>
    <w:rPr>
      <w:b/>
      <w:bCs/>
      <w:smallCaps/>
      <w:color w:val="0F4761" w:themeColor="accent1" w:themeShade="BF"/>
      <w:spacing w:val="5"/>
    </w:rPr>
  </w:style>
  <w:style w:type="character" w:styleId="CommentReference">
    <w:name w:val="annotation reference"/>
    <w:basedOn w:val="DefaultParagraphFont"/>
    <w:uiPriority w:val="99"/>
    <w:semiHidden/>
    <w:unhideWhenUsed/>
    <w:rsid w:val="00781334"/>
    <w:rPr>
      <w:sz w:val="16"/>
      <w:szCs w:val="16"/>
    </w:rPr>
  </w:style>
  <w:style w:type="paragraph" w:styleId="CommentText">
    <w:name w:val="annotation text"/>
    <w:basedOn w:val="Normal"/>
    <w:link w:val="CommentTextChar"/>
    <w:uiPriority w:val="99"/>
    <w:unhideWhenUsed/>
    <w:rsid w:val="00781334"/>
    <w:pPr>
      <w:spacing w:line="240" w:lineRule="auto"/>
    </w:pPr>
    <w:rPr>
      <w:sz w:val="20"/>
      <w:szCs w:val="20"/>
    </w:rPr>
  </w:style>
  <w:style w:type="character" w:customStyle="1" w:styleId="CommentTextChar">
    <w:name w:val="Comment Text Char"/>
    <w:basedOn w:val="DefaultParagraphFont"/>
    <w:link w:val="CommentText"/>
    <w:uiPriority w:val="99"/>
    <w:rsid w:val="00781334"/>
    <w:rPr>
      <w:sz w:val="20"/>
      <w:szCs w:val="20"/>
    </w:rPr>
  </w:style>
  <w:style w:type="paragraph" w:styleId="CommentSubject">
    <w:name w:val="annotation subject"/>
    <w:basedOn w:val="CommentText"/>
    <w:next w:val="CommentText"/>
    <w:link w:val="CommentSubjectChar"/>
    <w:uiPriority w:val="99"/>
    <w:semiHidden/>
    <w:unhideWhenUsed/>
    <w:rsid w:val="00781334"/>
    <w:rPr>
      <w:b/>
      <w:bCs/>
    </w:rPr>
  </w:style>
  <w:style w:type="character" w:customStyle="1" w:styleId="CommentSubjectChar">
    <w:name w:val="Comment Subject Char"/>
    <w:basedOn w:val="CommentTextChar"/>
    <w:link w:val="CommentSubject"/>
    <w:uiPriority w:val="99"/>
    <w:semiHidden/>
    <w:rsid w:val="00781334"/>
    <w:rPr>
      <w:b/>
      <w:bCs/>
      <w:sz w:val="20"/>
      <w:szCs w:val="20"/>
    </w:rPr>
  </w:style>
  <w:style w:type="paragraph" w:styleId="Header">
    <w:name w:val="header"/>
    <w:basedOn w:val="Normal"/>
    <w:link w:val="HeaderChar"/>
    <w:uiPriority w:val="99"/>
    <w:unhideWhenUsed/>
    <w:rsid w:val="00350F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F3E"/>
  </w:style>
  <w:style w:type="paragraph" w:styleId="Footer">
    <w:name w:val="footer"/>
    <w:basedOn w:val="Normal"/>
    <w:link w:val="FooterChar"/>
    <w:uiPriority w:val="99"/>
    <w:unhideWhenUsed/>
    <w:rsid w:val="00350F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F3E"/>
  </w:style>
  <w:style w:type="character" w:styleId="Hyperlink">
    <w:name w:val="Hyperlink"/>
    <w:basedOn w:val="DefaultParagraphFont"/>
    <w:uiPriority w:val="99"/>
    <w:unhideWhenUsed/>
    <w:rsid w:val="000575C5"/>
    <w:rPr>
      <w:color w:val="467886" w:themeColor="hyperlink"/>
      <w:u w:val="single"/>
    </w:rPr>
  </w:style>
  <w:style w:type="character" w:customStyle="1" w:styleId="UnresolvedMention1">
    <w:name w:val="Unresolved Mention1"/>
    <w:basedOn w:val="DefaultParagraphFont"/>
    <w:uiPriority w:val="99"/>
    <w:semiHidden/>
    <w:unhideWhenUsed/>
    <w:rsid w:val="000575C5"/>
    <w:rPr>
      <w:color w:val="605E5C"/>
      <w:shd w:val="clear" w:color="auto" w:fill="E1DFDD"/>
    </w:rPr>
  </w:style>
  <w:style w:type="character" w:customStyle="1" w:styleId="Mention1">
    <w:name w:val="Mention1"/>
    <w:basedOn w:val="DefaultParagraphFont"/>
    <w:uiPriority w:val="99"/>
    <w:unhideWhenUsed/>
    <w:rsid w:val="00AF1B35"/>
    <w:rPr>
      <w:color w:val="2B579A"/>
      <w:shd w:val="clear" w:color="auto" w:fill="E1DFDD"/>
    </w:rPr>
  </w:style>
  <w:style w:type="character" w:styleId="FollowedHyperlink">
    <w:name w:val="FollowedHyperlink"/>
    <w:basedOn w:val="DefaultParagraphFont"/>
    <w:uiPriority w:val="99"/>
    <w:semiHidden/>
    <w:unhideWhenUsed/>
    <w:rsid w:val="0021432C"/>
    <w:rPr>
      <w:color w:val="96607D" w:themeColor="followedHyperlink"/>
      <w:u w:val="single"/>
    </w:rPr>
  </w:style>
  <w:style w:type="paragraph" w:styleId="Revision">
    <w:name w:val="Revision"/>
    <w:hidden/>
    <w:uiPriority w:val="99"/>
    <w:semiHidden/>
    <w:rsid w:val="00641531"/>
    <w:pPr>
      <w:spacing w:after="0" w:line="240" w:lineRule="auto"/>
    </w:pPr>
  </w:style>
  <w:style w:type="paragraph" w:styleId="FootnoteText">
    <w:name w:val="footnote text"/>
    <w:basedOn w:val="Normal"/>
    <w:link w:val="FootnoteTextChar"/>
    <w:uiPriority w:val="99"/>
    <w:semiHidden/>
    <w:unhideWhenUsed/>
    <w:rsid w:val="003A07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074E"/>
    <w:rPr>
      <w:sz w:val="20"/>
      <w:szCs w:val="20"/>
    </w:rPr>
  </w:style>
  <w:style w:type="character" w:styleId="FootnoteReference">
    <w:name w:val="footnote reference"/>
    <w:basedOn w:val="DefaultParagraphFont"/>
    <w:uiPriority w:val="99"/>
    <w:semiHidden/>
    <w:unhideWhenUsed/>
    <w:rsid w:val="003A074E"/>
    <w:rPr>
      <w:vertAlign w:val="superscript"/>
    </w:rPr>
  </w:style>
  <w:style w:type="character" w:customStyle="1" w:styleId="cf01">
    <w:name w:val="cf01"/>
    <w:basedOn w:val="DefaultParagraphFont"/>
    <w:rsid w:val="00D87FB5"/>
    <w:rPr>
      <w:rFonts w:ascii="Segoe UI" w:hAnsi="Segoe UI" w:cs="Segoe UI" w:hint="default"/>
      <w:sz w:val="18"/>
      <w:szCs w:val="18"/>
    </w:rPr>
  </w:style>
  <w:style w:type="paragraph" w:customStyle="1" w:styleId="pf0">
    <w:name w:val="pf0"/>
    <w:basedOn w:val="Normal"/>
    <w:rsid w:val="00574F81"/>
    <w:pPr>
      <w:spacing w:before="100" w:beforeAutospacing="1" w:after="100" w:afterAutospacing="1" w:line="240" w:lineRule="auto"/>
      <w:ind w:left="780"/>
    </w:pPr>
    <w:rPr>
      <w:rFonts w:ascii="Times New Roman" w:eastAsia="Times New Roman" w:hAnsi="Times New Roman" w:cs="Times New Roman"/>
      <w:kern w:val="0"/>
      <w:lang w:eastAsia="en-GB"/>
    </w:rPr>
  </w:style>
  <w:style w:type="character" w:customStyle="1" w:styleId="cf11">
    <w:name w:val="cf11"/>
    <w:basedOn w:val="DefaultParagraphFont"/>
    <w:rsid w:val="00574F81"/>
    <w:rPr>
      <w:rFonts w:ascii="Segoe UI" w:hAnsi="Segoe UI" w:cs="Segoe UI" w:hint="default"/>
      <w:i/>
      <w:iCs/>
      <w:sz w:val="18"/>
      <w:szCs w:val="18"/>
    </w:rPr>
  </w:style>
  <w:style w:type="paragraph" w:styleId="NormalWeb">
    <w:name w:val="Normal (Web)"/>
    <w:basedOn w:val="Normal"/>
    <w:uiPriority w:val="99"/>
    <w:semiHidden/>
    <w:unhideWhenUsed/>
    <w:rsid w:val="00574F81"/>
    <w:pPr>
      <w:spacing w:before="100" w:beforeAutospacing="1" w:after="100" w:afterAutospacing="1" w:line="240" w:lineRule="auto"/>
    </w:pPr>
    <w:rPr>
      <w:rFonts w:ascii="Times New Roman" w:eastAsia="Times New Roman" w:hAnsi="Times New Roman" w:cs="Times New Roman"/>
      <w:kern w:val="0"/>
      <w:lang w:eastAsia="en-GB"/>
    </w:rPr>
  </w:style>
  <w:style w:type="table" w:styleId="TableGrid">
    <w:name w:val="Table Grid"/>
    <w:basedOn w:val="TableNormal"/>
    <w:uiPriority w:val="39"/>
    <w:rsid w:val="00B45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517ADD"/>
    <w:rPr>
      <w:b/>
      <w:bCs/>
      <w:i/>
      <w:iCs/>
      <w:spacing w:val="5"/>
    </w:rPr>
  </w:style>
  <w:style w:type="paragraph" w:styleId="Caption">
    <w:name w:val="caption"/>
    <w:basedOn w:val="Normal"/>
    <w:next w:val="Normal"/>
    <w:uiPriority w:val="35"/>
    <w:semiHidden/>
    <w:unhideWhenUsed/>
    <w:qFormat/>
    <w:rsid w:val="00517ADD"/>
    <w:pPr>
      <w:spacing w:after="200" w:line="240" w:lineRule="auto"/>
    </w:pPr>
    <w:rPr>
      <w:i/>
      <w:iCs/>
      <w:color w:val="0E2841" w:themeColor="text2"/>
      <w:sz w:val="18"/>
      <w:szCs w:val="18"/>
    </w:rPr>
  </w:style>
  <w:style w:type="character" w:styleId="Emphasis">
    <w:name w:val="Emphasis"/>
    <w:basedOn w:val="DefaultParagraphFont"/>
    <w:uiPriority w:val="20"/>
    <w:qFormat/>
    <w:rsid w:val="00517ADD"/>
    <w:rPr>
      <w:i/>
      <w:iCs/>
    </w:rPr>
  </w:style>
  <w:style w:type="paragraph" w:styleId="NoSpacing">
    <w:name w:val="No Spacing"/>
    <w:uiPriority w:val="1"/>
    <w:qFormat/>
    <w:rsid w:val="00517ADD"/>
    <w:pPr>
      <w:spacing w:after="0" w:line="240" w:lineRule="auto"/>
    </w:pPr>
  </w:style>
  <w:style w:type="character" w:styleId="Strong">
    <w:name w:val="Strong"/>
    <w:basedOn w:val="DefaultParagraphFont"/>
    <w:uiPriority w:val="22"/>
    <w:qFormat/>
    <w:rsid w:val="00517ADD"/>
    <w:rPr>
      <w:b/>
      <w:bCs/>
    </w:rPr>
  </w:style>
  <w:style w:type="character" w:styleId="SubtleEmphasis">
    <w:name w:val="Subtle Emphasis"/>
    <w:basedOn w:val="DefaultParagraphFont"/>
    <w:uiPriority w:val="19"/>
    <w:qFormat/>
    <w:rsid w:val="00517ADD"/>
    <w:rPr>
      <w:i/>
      <w:iCs/>
      <w:color w:val="404040" w:themeColor="text1" w:themeTint="BF"/>
    </w:rPr>
  </w:style>
  <w:style w:type="character" w:styleId="SubtleReference">
    <w:name w:val="Subtle Reference"/>
    <w:basedOn w:val="DefaultParagraphFont"/>
    <w:uiPriority w:val="31"/>
    <w:qFormat/>
    <w:rsid w:val="00517ADD"/>
    <w:rPr>
      <w:smallCaps/>
      <w:color w:val="5A5A5A" w:themeColor="text1" w:themeTint="A5"/>
    </w:rPr>
  </w:style>
  <w:style w:type="paragraph" w:styleId="TOCHeading">
    <w:name w:val="TOC Heading"/>
    <w:basedOn w:val="Heading1"/>
    <w:next w:val="Normal"/>
    <w:uiPriority w:val="39"/>
    <w:semiHidden/>
    <w:unhideWhenUsed/>
    <w:qFormat/>
    <w:rsid w:val="00517AD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F7D9EDCD02345BE4809EF3C0EC503" ma:contentTypeVersion="14" ma:contentTypeDescription="Create a new document." ma:contentTypeScope="" ma:versionID="c5523d520499ddccc9a6c91ed823a30a">
  <xsd:schema xmlns:xsd="http://www.w3.org/2001/XMLSchema" xmlns:xs="http://www.w3.org/2001/XMLSchema" xmlns:p="http://schemas.microsoft.com/office/2006/metadata/properties" xmlns:ns2="29ba39ab-13ff-4237-b020-2467f729044d" xmlns:ns3="83a9b805-640a-4a04-965b-8d3a4b35be39" targetNamespace="http://schemas.microsoft.com/office/2006/metadata/properties" ma:root="true" ma:fieldsID="2b3a81e4f9b0c8507ef400b3eea9b470" ns2:_="" ns3:_="">
    <xsd:import namespace="29ba39ab-13ff-4237-b020-2467f729044d"/>
    <xsd:import namespace="83a9b805-640a-4a04-965b-8d3a4b35be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ba39ab-13ff-4237-b020-2467f7290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7" nillable="true" ma:displayName="Image Tags_0" ma:hidden="true" ma:internalName="lcf76f155ced4ddcb4097134ff3c332f">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9b805-640a-4a04-965b-8d3a4b35be3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9ea172a-8f1d-45a1-9745-fe8efb0ff5ee}" ma:internalName="TaxCatchAll" ma:showField="CatchAllData" ma:web="83a9b805-640a-4a04-965b-8d3a4b35be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a9b805-640a-4a04-965b-8d3a4b35be39" xsi:nil="true"/>
    <lcf76f155ced4ddcb4097134ff3c332f xmlns="29ba39ab-13ff-4237-b020-2467f72904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168D8-9DC8-4BCC-8A7A-622BE3EFE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ba39ab-13ff-4237-b020-2467f729044d"/>
    <ds:schemaRef ds:uri="83a9b805-640a-4a04-965b-8d3a4b35b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2CEAA-E09A-49D5-B5AA-13DA5B2AB1A9}">
  <ds:schemaRefs>
    <ds:schemaRef ds:uri="http://schemas.microsoft.com/office/2006/metadata/properties"/>
    <ds:schemaRef ds:uri="http://schemas.microsoft.com/office/infopath/2007/PartnerControls"/>
    <ds:schemaRef ds:uri="83a9b805-640a-4a04-965b-8d3a4b35be39"/>
    <ds:schemaRef ds:uri="29ba39ab-13ff-4237-b020-2467f729044d"/>
  </ds:schemaRefs>
</ds:datastoreItem>
</file>

<file path=customXml/itemProps3.xml><?xml version="1.0" encoding="utf-8"?>
<ds:datastoreItem xmlns:ds="http://schemas.openxmlformats.org/officeDocument/2006/customXml" ds:itemID="{BBD30592-58FE-4884-850B-4FF4AC3D6687}">
  <ds:schemaRefs>
    <ds:schemaRef ds:uri="http://schemas.microsoft.com/sharepoint/v3/contenttype/forms"/>
  </ds:schemaRefs>
</ds:datastoreItem>
</file>

<file path=customXml/itemProps4.xml><?xml version="1.0" encoding="utf-8"?>
<ds:datastoreItem xmlns:ds="http://schemas.openxmlformats.org/officeDocument/2006/customXml" ds:itemID="{7F6A6102-CC67-4172-91F8-1D3CC781B1A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ECA0060</dc:title>
  <cp:revision>0</cp:revision>
</cp:coreProperties>
</file>