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microsoft.com/office/2020/02/relationships/classificationlabels" Target="docMetadata/LabelInfo.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3.4.0.0 -->
  <w:body>
    <w:p w:rsidR="00010281" w:rsidP="00010281">
      <w:pPr>
        <w:pStyle w:val="EUKH2Title"/>
        <w:jc w:val="center"/>
        <w:rPr>
          <w:rFonts w:ascii="Calibri" w:hAnsi="Calibri" w:cs="Calibri"/>
          <w:color w:val="21145F"/>
        </w:rPr>
      </w:pPr>
      <w:r>
        <w:rPr>
          <w:rFonts w:ascii="Calibri" w:hAnsi="Calibri" w:cs="Calibri"/>
          <w:color w:val="21145F"/>
        </w:rPr>
        <w:t xml:space="preserve">Written evidence by </w:t>
      </w:r>
      <w:r w:rsidRPr="00010281">
        <w:rPr>
          <w:rFonts w:ascii="Calibri" w:hAnsi="Calibri" w:cs="Calibri"/>
          <w:color w:val="21145F"/>
        </w:rPr>
        <w:t>EngineeringUK</w:t>
      </w:r>
      <w:r>
        <w:rPr>
          <w:rFonts w:ascii="Calibri" w:hAnsi="Calibri" w:cs="Calibri"/>
          <w:color w:val="21145F"/>
        </w:rPr>
        <w:t xml:space="preserve"> (ECA0059)</w:t>
      </w:r>
    </w:p>
    <w:p w:rsidR="00DC2317" w:rsidRPr="00A96A3A" w:rsidP="00046B77">
      <w:pPr>
        <w:pStyle w:val="EUKH2Title"/>
        <w:rPr>
          <w:rFonts w:ascii="Calibri" w:hAnsi="Calibri" w:cs="Calibri"/>
          <w:color w:val="21145F"/>
        </w:rPr>
      </w:pPr>
      <w:r w:rsidRPr="00A96A3A">
        <w:rPr>
          <w:rFonts w:ascii="Calibri" w:hAnsi="Calibri" w:cs="Calibri"/>
          <w:color w:val="21145F"/>
        </w:rPr>
        <w:t xml:space="preserve">About </w:t>
      </w:r>
      <w:r w:rsidRPr="00A96A3A">
        <w:rPr>
          <w:rFonts w:ascii="Calibri" w:hAnsi="Calibri" w:cs="Calibri"/>
          <w:color w:val="21145F"/>
        </w:rPr>
        <w:t>EngineeringUK</w:t>
      </w:r>
    </w:p>
    <w:p w:rsidR="00DC2317" w:rsidRPr="009E4259" w:rsidP="00046B77">
      <w:pPr>
        <w:rPr>
          <w:rFonts w:ascii="Calibri Light" w:hAnsi="Calibri Light" w:cs="Calibri Light"/>
          <w:color w:val="21145F"/>
        </w:rPr>
      </w:pPr>
      <w:r>
        <w:fldChar w:fldCharType="begin"/>
      </w:r>
      <w:r>
        <w:instrText xml:space="preserve"> HYPERLINK "https://www.engineeringuk.com" </w:instrText>
      </w:r>
      <w:r>
        <w:fldChar w:fldCharType="separate"/>
      </w:r>
      <w:r w:rsidRPr="009E4259">
        <w:rPr>
          <w:rStyle w:val="Hyperlink"/>
          <w:rFonts w:ascii="Calibri Light" w:hAnsi="Calibri Light" w:cs="Calibri Light"/>
        </w:rPr>
        <w:t>EngineeringUK</w:t>
      </w:r>
      <w:r>
        <w:fldChar w:fldCharType="end"/>
      </w:r>
      <w:r w:rsidRPr="009E4259">
        <w:rPr>
          <w:rFonts w:ascii="Calibri Light" w:hAnsi="Calibri Light" w:cs="Calibri Light"/>
        </w:rPr>
        <w:t xml:space="preserve"> </w:t>
      </w:r>
      <w:r w:rsidRPr="009E4259">
        <w:rPr>
          <w:rFonts w:ascii="Calibri Light" w:hAnsi="Calibri Light" w:cs="Calibri Light"/>
          <w:color w:val="21145F"/>
        </w:rPr>
        <w:t xml:space="preserve">is a not-for-profit organisation that works in partnership with the engineering community, including over 400 businesses, to ensure that the UK has the skilled engineering and technology workforce needed to create growth, spread opportunity, and deliver clean power. </w:t>
      </w:r>
    </w:p>
    <w:p w:rsidR="00DC2317" w:rsidRPr="009E4259" w:rsidP="00046B77">
      <w:pPr>
        <w:rPr>
          <w:rFonts w:ascii="Calibri Light" w:hAnsi="Calibri Light" w:cs="Calibri Light"/>
          <w:color w:val="21145F"/>
        </w:rPr>
      </w:pPr>
      <w:r w:rsidRPr="009E4259">
        <w:rPr>
          <w:rFonts w:ascii="Calibri Light" w:hAnsi="Calibri Light" w:cs="Calibri Light"/>
          <w:color w:val="21145F"/>
        </w:rPr>
        <w:t xml:space="preserve">We reach over 200,000 young people each year through our activities for schools. This includes the </w:t>
      </w:r>
      <w:r>
        <w:fldChar w:fldCharType="begin"/>
      </w:r>
      <w:r>
        <w:instrText xml:space="preserve"> HYPERLINK "https://www.engineeringuk.com/our-work/inspiring-young-people/big-bang/?" </w:instrText>
      </w:r>
      <w:r>
        <w:fldChar w:fldCharType="separate"/>
      </w:r>
      <w:r w:rsidRPr="009E4259">
        <w:rPr>
          <w:rStyle w:val="Hyperlink"/>
          <w:rFonts w:ascii="Calibri Light" w:hAnsi="Calibri Light" w:cs="Calibri Light"/>
        </w:rPr>
        <w:t>Big Bang Programme</w:t>
      </w:r>
      <w:r>
        <w:fldChar w:fldCharType="end"/>
      </w:r>
      <w:r w:rsidRPr="009E4259">
        <w:rPr>
          <w:rFonts w:ascii="Calibri Light" w:hAnsi="Calibri Light" w:cs="Calibri Light"/>
          <w:color w:val="21145F"/>
        </w:rPr>
        <w:t xml:space="preserve">, which is designed to excite them about the variety of opportunities presented by a career in modern engineering and technology. Nearly 30,000 students participated in our </w:t>
      </w:r>
      <w:r>
        <w:fldChar w:fldCharType="begin"/>
      </w:r>
      <w:r>
        <w:instrText xml:space="preserve"> HYPERLINK "https://www.engineeringuk.com/school-outreach/our-work-with-schools/climate-schools-programme/" </w:instrText>
      </w:r>
      <w:r>
        <w:fldChar w:fldCharType="separate"/>
      </w:r>
      <w:r w:rsidRPr="009E4259">
        <w:rPr>
          <w:rStyle w:val="Hyperlink"/>
          <w:rFonts w:ascii="Calibri Light" w:hAnsi="Calibri Light" w:cs="Calibri Light"/>
        </w:rPr>
        <w:t>Climate Schools Programme</w:t>
      </w:r>
      <w:r>
        <w:fldChar w:fldCharType="end"/>
      </w:r>
      <w:r w:rsidRPr="009E4259">
        <w:rPr>
          <w:rFonts w:ascii="Calibri Light" w:hAnsi="Calibri Light" w:cs="Calibri Light"/>
          <w:color w:val="21145F"/>
        </w:rPr>
        <w:t xml:space="preserve">, which empowers students to explore innovative solutions to tackling climate change and discover brand-new skills. Over 55,000 participated in </w:t>
      </w:r>
      <w:r>
        <w:fldChar w:fldCharType="begin"/>
      </w:r>
      <w:r>
        <w:instrText xml:space="preserve"> HYPERLINK "https://www.engineeringuk.com/school-outreach/our-work-with-schools/tomorrow-s-engineers-week/" </w:instrText>
      </w:r>
      <w:r>
        <w:fldChar w:fldCharType="separate"/>
      </w:r>
      <w:r w:rsidRPr="009E4259">
        <w:rPr>
          <w:rStyle w:val="Hyperlink"/>
          <w:rFonts w:ascii="Calibri Light" w:hAnsi="Calibri Light" w:cs="Calibri Light"/>
        </w:rPr>
        <w:t>Tomorrow’s Engineers Week</w:t>
      </w:r>
      <w:r>
        <w:fldChar w:fldCharType="end"/>
      </w:r>
      <w:r w:rsidRPr="009E4259">
        <w:rPr>
          <w:rFonts w:ascii="Calibri Light" w:hAnsi="Calibri Light" w:cs="Calibri Light"/>
        </w:rPr>
        <w:t xml:space="preserve"> </w:t>
      </w:r>
      <w:r w:rsidRPr="009E4259">
        <w:rPr>
          <w:rFonts w:ascii="Calibri Light" w:hAnsi="Calibri Light" w:cs="Calibri Light"/>
          <w:color w:val="21145F"/>
        </w:rPr>
        <w:t>activity - an annual, national campaign designed to celebrate and showcase careers in engineering and technology.</w:t>
      </w:r>
    </w:p>
    <w:p w:rsidR="00DC2317" w:rsidRPr="009E4259" w:rsidP="00046B77">
      <w:pPr>
        <w:rPr>
          <w:rFonts w:ascii="Calibri Light" w:hAnsi="Calibri Light" w:cs="Calibri Light"/>
        </w:rPr>
      </w:pPr>
      <w:r w:rsidRPr="009E4259">
        <w:rPr>
          <w:rFonts w:ascii="Calibri Light" w:hAnsi="Calibri Light" w:cs="Calibri Light"/>
          <w:color w:val="21145F"/>
        </w:rPr>
        <w:t xml:space="preserve">As an organisation, we pride ourselves on providing in-depth research and evidence-based recommendations on a range of themes, from STEM education in schools to apprenticeships and technical qualifications. For example, we have recently published reports </w:t>
      </w:r>
      <w:r>
        <w:fldChar w:fldCharType="begin"/>
      </w:r>
      <w:r>
        <w:instrText xml:space="preserve"> HYPERLINK "https://www.engineeringuk.com/research-and-insights/our-research-reports/advancing-stem-careers-provision-in-england/" </w:instrText>
      </w:r>
      <w:r>
        <w:fldChar w:fldCharType="separate"/>
      </w:r>
      <w:r w:rsidRPr="009E4259">
        <w:rPr>
          <w:rStyle w:val="Hyperlink"/>
          <w:rFonts w:ascii="Calibri Light" w:hAnsi="Calibri Light" w:cs="Calibri Light"/>
        </w:rPr>
        <w:t>STEM careers provision in schools and colleges</w:t>
      </w:r>
      <w:r>
        <w:fldChar w:fldCharType="end"/>
      </w:r>
      <w:r w:rsidRPr="009E4259">
        <w:rPr>
          <w:rFonts w:ascii="Calibri Light" w:hAnsi="Calibri Light" w:cs="Calibri Light"/>
        </w:rPr>
        <w:t xml:space="preserve">, </w:t>
      </w:r>
      <w:r>
        <w:fldChar w:fldCharType="begin"/>
      </w:r>
      <w:r>
        <w:instrText xml:space="preserve"> HYPERLINK "https://www.engineeringuk.com/media/318632/unlocking-talent-ensuring-t-level-deliver-the-workforce-of-the-future-final.pdf" </w:instrText>
      </w:r>
      <w:r>
        <w:fldChar w:fldCharType="separate"/>
      </w:r>
      <w:r w:rsidRPr="009E4259">
        <w:rPr>
          <w:rStyle w:val="Hyperlink"/>
          <w:rFonts w:ascii="Calibri Light" w:hAnsi="Calibri Light" w:cs="Calibri Light"/>
        </w:rPr>
        <w:t>T Levels</w:t>
      </w:r>
      <w:r>
        <w:fldChar w:fldCharType="end"/>
      </w:r>
      <w:r w:rsidRPr="009E4259">
        <w:rPr>
          <w:rFonts w:ascii="Calibri Light" w:hAnsi="Calibri Light" w:cs="Calibri Light"/>
          <w:color w:val="21145F"/>
        </w:rPr>
        <w:t xml:space="preserve">, and apprenticeships via our </w:t>
      </w:r>
      <w:r>
        <w:fldChar w:fldCharType="begin"/>
      </w:r>
      <w:r>
        <w:instrText xml:space="preserve"> HYPERLINK "https://www.engineeringuk.com/media/lkmlu2vn/full-report_a4-apprenticeship-inquiry-04.pdf" </w:instrText>
      </w:r>
      <w:r>
        <w:fldChar w:fldCharType="separate"/>
      </w:r>
      <w:r w:rsidRPr="009E4259">
        <w:rPr>
          <w:rStyle w:val="Hyperlink"/>
          <w:rFonts w:ascii="Calibri Light" w:hAnsi="Calibri Light" w:cs="Calibri Light"/>
        </w:rPr>
        <w:t>Fit for the Future Inquiry</w:t>
      </w:r>
      <w:r>
        <w:fldChar w:fldCharType="end"/>
      </w:r>
      <w:r w:rsidRPr="009E4259">
        <w:rPr>
          <w:rFonts w:ascii="Calibri Light" w:hAnsi="Calibri Light" w:cs="Calibri Light"/>
          <w:color w:val="21145F"/>
        </w:rPr>
        <w:t>, co-chaired by Lord Willetts and Lord Knight.</w:t>
      </w:r>
    </w:p>
    <w:p w:rsidR="00DC2317" w:rsidRPr="001D3037" w:rsidP="00046B77">
      <w:pPr>
        <w:rPr>
          <w:rFonts w:ascii="Calibri Light" w:hAnsi="Calibri Light" w:cs="Calibri Light"/>
          <w:color w:val="21145F"/>
        </w:rPr>
      </w:pPr>
      <w:r w:rsidRPr="009E4259">
        <w:rPr>
          <w:rFonts w:ascii="Calibri Light" w:hAnsi="Calibri Light" w:cs="Calibri Light"/>
          <w:color w:val="21145F"/>
        </w:rPr>
        <w:t xml:space="preserve">As part of our policy and research activity, we regularly gather policy insights from our </w:t>
      </w:r>
      <w:r>
        <w:fldChar w:fldCharType="begin"/>
      </w:r>
      <w:r>
        <w:instrText xml:space="preserve"> HYPERLINK "https://www.engineeringuk.com/partners-and-membership/our-corporate-members/" </w:instrText>
      </w:r>
      <w:r>
        <w:fldChar w:fldCharType="separate"/>
      </w:r>
      <w:r w:rsidRPr="009E4259">
        <w:rPr>
          <w:rStyle w:val="Hyperlink"/>
          <w:rFonts w:ascii="Calibri Light" w:hAnsi="Calibri Light" w:cs="Calibri Light"/>
        </w:rPr>
        <w:t>corporate members</w:t>
      </w:r>
      <w:r>
        <w:fldChar w:fldCharType="end"/>
      </w:r>
      <w:r w:rsidRPr="009E4259">
        <w:rPr>
          <w:rFonts w:ascii="Calibri Light" w:hAnsi="Calibri Light" w:cs="Calibri Light"/>
        </w:rPr>
        <w:t xml:space="preserve"> </w:t>
      </w:r>
      <w:r w:rsidRPr="009E4259">
        <w:rPr>
          <w:rFonts w:ascii="Calibri Light" w:hAnsi="Calibri Light" w:cs="Calibri Light"/>
          <w:color w:val="21145F"/>
        </w:rPr>
        <w:t xml:space="preserve">– engineering industry leaders across clean energy, infrastructure, rail, defence and other sectors – as well as the schools and young people we work with every week. </w:t>
      </w:r>
    </w:p>
    <w:p w:rsidR="00DC2317">
      <w:pPr>
        <w:spacing w:line="278" w:lineRule="auto"/>
        <w:rPr>
          <w:rFonts w:ascii="Calibri" w:hAnsi="Calibri" w:cs="Calibri"/>
          <w:b/>
          <w:bCs/>
          <w:color w:val="21145F"/>
          <w:sz w:val="28"/>
          <w:szCs w:val="28"/>
        </w:rPr>
      </w:pPr>
      <w:r>
        <w:rPr>
          <w:rFonts w:ascii="Calibri" w:hAnsi="Calibri" w:cs="Calibri"/>
          <w:color w:val="21145F"/>
        </w:rPr>
        <w:br w:type="page"/>
      </w:r>
    </w:p>
    <w:p w:rsidR="00DC2317" w:rsidRPr="001D3037" w:rsidP="001D3037">
      <w:pPr>
        <w:pStyle w:val="EUKH2Title"/>
        <w:rPr>
          <w:rFonts w:ascii="Calibri" w:hAnsi="Calibri" w:cs="Calibri"/>
          <w:color w:val="21145F"/>
        </w:rPr>
      </w:pPr>
      <w:r>
        <w:rPr>
          <w:rFonts w:ascii="Calibri" w:hAnsi="Calibri" w:cs="Calibri"/>
          <w:color w:val="21145F"/>
        </w:rPr>
        <w:t>Summary</w:t>
      </w:r>
    </w:p>
    <w:p w:rsidR="00DC2317" w:rsidRPr="00A96A3A" w:rsidP="001D3037">
      <w:pPr>
        <w:spacing w:before="120" w:after="120" w:line="288" w:lineRule="auto"/>
        <w:rPr>
          <w:rFonts w:ascii="Calibri Light" w:hAnsi="Calibri Light" w:cs="Calibri Light"/>
          <w:color w:val="21145F"/>
        </w:rPr>
      </w:pPr>
      <w:r w:rsidRPr="00A96A3A">
        <w:rPr>
          <w:rFonts w:ascii="Calibri Light" w:hAnsi="Calibri Light" w:cs="Calibri Light"/>
          <w:color w:val="21145F"/>
        </w:rPr>
        <w:t>EngineeringUK’s policy interest lies predominantly in STEM education, with a focus in recent years on post-16 vocational skills and apprenticeships. We have focused on the following areas in our response</w:t>
      </w:r>
      <w:r>
        <w:rPr>
          <w:rFonts w:ascii="Calibri Light" w:hAnsi="Calibri Light" w:cs="Calibri Light"/>
          <w:color w:val="21145F"/>
        </w:rPr>
        <w:t xml:space="preserve">, with </w:t>
      </w:r>
      <w:r>
        <w:rPr>
          <w:rFonts w:ascii="Calibri Light" w:hAnsi="Calibri Light" w:cs="Calibri Light"/>
          <w:color w:val="21145F"/>
        </w:rPr>
        <w:t xml:space="preserve">supporting </w:t>
      </w:r>
      <w:r>
        <w:rPr>
          <w:rFonts w:ascii="Calibri Light" w:hAnsi="Calibri Light" w:cs="Calibri Light"/>
          <w:color w:val="21145F"/>
        </w:rPr>
        <w:t xml:space="preserve">evidence in the main </w:t>
      </w:r>
      <w:r>
        <w:rPr>
          <w:rFonts w:ascii="Calibri Light" w:hAnsi="Calibri Light" w:cs="Calibri Light"/>
          <w:color w:val="21145F"/>
        </w:rPr>
        <w:t>submission.</w:t>
      </w:r>
    </w:p>
    <w:p w:rsidR="00DC2317" w:rsidRPr="00A96A3A" w:rsidP="00A96A3A">
      <w:pPr>
        <w:pStyle w:val="Heading3"/>
        <w:rPr>
          <w:rFonts w:ascii="Calibri" w:hAnsi="Calibri" w:cs="Calibri"/>
          <w:color w:val="21145F"/>
        </w:rPr>
      </w:pPr>
      <w:r w:rsidRPr="00A96A3A">
        <w:rPr>
          <w:rFonts w:ascii="Calibri" w:hAnsi="Calibri" w:cs="Calibri"/>
          <w:color w:val="21145F"/>
        </w:rPr>
        <w:t>Enrichment, belonging and behaviour</w:t>
      </w:r>
    </w:p>
    <w:p w:rsidR="00DC2317" w:rsidP="0092125B">
      <w:pPr>
        <w:spacing w:before="120" w:after="120" w:line="288" w:lineRule="auto"/>
        <w:rPr>
          <w:rFonts w:ascii="Calibri Light" w:hAnsi="Calibri Light" w:cs="Calibri Light"/>
          <w:color w:val="21145F"/>
        </w:rPr>
      </w:pPr>
      <w:r w:rsidRPr="0092125B">
        <w:rPr>
          <w:rFonts w:ascii="Calibri Light" w:hAnsi="Calibri Light" w:cs="Calibri Light"/>
          <w:color w:val="21145F"/>
        </w:rPr>
        <w:t xml:space="preserve">EngineeringUK </w:t>
      </w:r>
      <w:r w:rsidRPr="003725F8">
        <w:rPr>
          <w:rFonts w:ascii="Calibri Light" w:hAnsi="Calibri Light" w:cs="Calibri Light"/>
          <w:color w:val="21145F"/>
        </w:rPr>
        <w:t xml:space="preserve">strongly supports the Government’s ambition to make enrichment a common entitlement for all young people. </w:t>
      </w:r>
      <w:r w:rsidRPr="00AF36FD">
        <w:rPr>
          <w:rFonts w:ascii="Calibri Light" w:hAnsi="Calibri Light" w:cs="Calibri Light"/>
          <w:color w:val="21145F"/>
        </w:rPr>
        <w:t>High-quality STEM enrichment can improve confidence, wellbeing, belonging and engagement, while helping young people understand future education and career pathways</w:t>
      </w:r>
      <w:r>
        <w:rPr>
          <w:rFonts w:ascii="Calibri Light" w:hAnsi="Calibri Light" w:cs="Calibri Light"/>
          <w:color w:val="21145F"/>
        </w:rPr>
        <w:t xml:space="preserve"> in </w:t>
      </w:r>
      <w:r>
        <w:rPr>
          <w:rFonts w:ascii="Calibri Light" w:hAnsi="Calibri Light" w:cs="Calibri Light"/>
          <w:color w:val="21145F"/>
        </w:rPr>
        <w:t xml:space="preserve">growth sectors such as </w:t>
      </w:r>
      <w:r>
        <w:rPr>
          <w:rFonts w:ascii="Calibri Light" w:hAnsi="Calibri Light" w:cs="Calibri Light"/>
          <w:color w:val="21145F"/>
        </w:rPr>
        <w:t>engineering and technology</w:t>
      </w:r>
      <w:r w:rsidRPr="00AF36FD">
        <w:rPr>
          <w:rFonts w:ascii="Calibri Light" w:hAnsi="Calibri Light" w:cs="Calibri Light"/>
          <w:color w:val="21145F"/>
        </w:rPr>
        <w:t>.</w:t>
      </w:r>
      <w:r>
        <w:rPr>
          <w:rFonts w:ascii="Calibri Light" w:hAnsi="Calibri Light" w:cs="Calibri Light"/>
          <w:color w:val="21145F"/>
        </w:rPr>
        <w:t xml:space="preserve"> </w:t>
      </w:r>
      <w:r>
        <w:rPr>
          <w:rFonts w:ascii="Calibri Light" w:hAnsi="Calibri Light" w:cs="Calibri Light"/>
          <w:color w:val="21145F"/>
        </w:rPr>
        <w:t xml:space="preserve">Going forwards, </w:t>
      </w:r>
      <w:r w:rsidRPr="0092125B">
        <w:rPr>
          <w:rFonts w:ascii="Calibri Light" w:hAnsi="Calibri Light" w:cs="Calibri Light"/>
          <w:color w:val="21145F"/>
        </w:rPr>
        <w:t xml:space="preserve">government </w:t>
      </w:r>
      <w:r>
        <w:rPr>
          <w:rFonts w:ascii="Calibri Light" w:hAnsi="Calibri Light" w:cs="Calibri Light"/>
          <w:color w:val="21145F"/>
        </w:rPr>
        <w:t xml:space="preserve">should </w:t>
      </w:r>
      <w:r w:rsidRPr="0092125B">
        <w:rPr>
          <w:rFonts w:ascii="Calibri Light" w:hAnsi="Calibri Light" w:cs="Calibri Light"/>
          <w:color w:val="21145F"/>
        </w:rPr>
        <w:t>maintain</w:t>
      </w:r>
      <w:r w:rsidRPr="0092125B">
        <w:rPr>
          <w:rFonts w:ascii="Calibri Light" w:hAnsi="Calibri Light" w:cs="Calibri Light"/>
          <w:color w:val="21145F"/>
        </w:rPr>
        <w:t xml:space="preserve"> its commitment to making enrichment a common entitlement for all young people, including high-quality STEM enrichment</w:t>
      </w:r>
      <w:r w:rsidRPr="0092125B">
        <w:rPr>
          <w:rFonts w:ascii="Calibri Light" w:hAnsi="Calibri Light" w:cs="Calibri Light"/>
          <w:color w:val="21145F"/>
        </w:rPr>
        <w:t xml:space="preserve">. </w:t>
      </w:r>
      <w:r>
        <w:rPr>
          <w:rFonts w:ascii="Calibri Light" w:hAnsi="Calibri Light" w:cs="Calibri Light"/>
          <w:color w:val="21145F"/>
        </w:rPr>
        <w:t>This should include</w:t>
      </w:r>
      <w:r w:rsidRPr="0092125B">
        <w:rPr>
          <w:rFonts w:ascii="Calibri Light" w:hAnsi="Calibri Light" w:cs="Calibri Light"/>
          <w:color w:val="21145F"/>
        </w:rPr>
        <w:t xml:space="preserve"> s</w:t>
      </w:r>
      <w:r w:rsidRPr="0092125B">
        <w:rPr>
          <w:rFonts w:ascii="Calibri Light" w:hAnsi="Calibri Light" w:cs="Calibri Light"/>
          <w:color w:val="21145F"/>
        </w:rPr>
        <w:t>upport</w:t>
      </w:r>
      <w:r>
        <w:rPr>
          <w:rFonts w:ascii="Calibri Light" w:hAnsi="Calibri Light" w:cs="Calibri Light"/>
          <w:color w:val="21145F"/>
        </w:rPr>
        <w:t>ing</w:t>
      </w:r>
      <w:r w:rsidRPr="0092125B">
        <w:rPr>
          <w:rFonts w:ascii="Calibri Light" w:hAnsi="Calibri Light" w:cs="Calibri Light"/>
          <w:color w:val="21145F"/>
        </w:rPr>
        <w:t xml:space="preserve"> schools to deliver high-quality STEM enrichment as part of wider efforts to improve pupil wellbeing, belonging and engagement</w:t>
      </w:r>
      <w:r w:rsidRPr="0092125B">
        <w:rPr>
          <w:rFonts w:ascii="Calibri Light" w:hAnsi="Calibri Light" w:cs="Calibri Light"/>
          <w:color w:val="21145F"/>
        </w:rPr>
        <w:t xml:space="preserve">. </w:t>
      </w:r>
      <w:r>
        <w:rPr>
          <w:rFonts w:ascii="Calibri Light" w:hAnsi="Calibri Light" w:cs="Calibri Light"/>
          <w:color w:val="21145F"/>
        </w:rPr>
        <w:t>It is particularly important that</w:t>
      </w:r>
      <w:r w:rsidRPr="0092125B">
        <w:rPr>
          <w:rFonts w:ascii="Calibri Light" w:hAnsi="Calibri Light" w:cs="Calibri Light"/>
          <w:color w:val="21145F"/>
        </w:rPr>
        <w:t xml:space="preserve"> high-quality STEM enrichment is designed to reach and engage all young people - including girls and other underrepresented groups in engineering and technology</w:t>
      </w:r>
      <w:r w:rsidRPr="0092125B">
        <w:rPr>
          <w:rFonts w:ascii="Calibri Light" w:hAnsi="Calibri Light" w:cs="Calibri Light"/>
          <w:color w:val="21145F"/>
        </w:rPr>
        <w:t>.</w:t>
      </w:r>
      <w:r w:rsidRPr="0092125B">
        <w:rPr>
          <w:rFonts w:ascii="Calibri Light" w:hAnsi="Calibri Light" w:cs="Calibri Light"/>
          <w:color w:val="21145F"/>
        </w:rPr>
        <w:t xml:space="preserve"> </w:t>
      </w:r>
    </w:p>
    <w:p w:rsidR="00DC2317" w:rsidRPr="0092125B" w:rsidP="0092125B">
      <w:pPr>
        <w:spacing w:before="120" w:after="120" w:line="288" w:lineRule="auto"/>
        <w:rPr>
          <w:rFonts w:ascii="Calibri Light" w:hAnsi="Calibri Light" w:cs="Calibri Light"/>
          <w:color w:val="21145F"/>
        </w:rPr>
      </w:pPr>
      <w:r w:rsidRPr="0092125B">
        <w:rPr>
          <w:rFonts w:ascii="Calibri Light" w:hAnsi="Calibri Light" w:cs="Calibri Light"/>
          <w:color w:val="21145F"/>
        </w:rPr>
        <w:t xml:space="preserve">We </w:t>
      </w:r>
      <w:r>
        <w:rPr>
          <w:rFonts w:ascii="Calibri Light" w:hAnsi="Calibri Light" w:cs="Calibri Light"/>
          <w:color w:val="21145F"/>
        </w:rPr>
        <w:t>welcome the proposed Pupil Engagement Framework</w:t>
      </w:r>
      <w:r>
        <w:rPr>
          <w:rFonts w:ascii="Calibri Light" w:hAnsi="Calibri Light" w:cs="Calibri Light"/>
          <w:color w:val="21145F"/>
        </w:rPr>
        <w:t xml:space="preserve">. As it is implemented, </w:t>
      </w:r>
      <w:r>
        <w:rPr>
          <w:rFonts w:ascii="Calibri Light" w:hAnsi="Calibri Light" w:cs="Calibri Light"/>
          <w:color w:val="21145F"/>
        </w:rPr>
        <w:t>government must recognise the important</w:t>
      </w:r>
      <w:r w:rsidRPr="0092125B">
        <w:rPr>
          <w:rFonts w:ascii="Calibri Light" w:hAnsi="Calibri Light" w:cs="Calibri Light"/>
          <w:color w:val="21145F"/>
        </w:rPr>
        <w:t xml:space="preserve"> role that STEM-related experiences can play in strengthening pupils’ sense of belonging, confidence and aspirations</w:t>
      </w:r>
      <w:r>
        <w:rPr>
          <w:rFonts w:ascii="Calibri Light" w:hAnsi="Calibri Light" w:cs="Calibri Light"/>
          <w:color w:val="21145F"/>
        </w:rPr>
        <w:t>. This is</w:t>
      </w:r>
      <w:r w:rsidRPr="0092125B">
        <w:rPr>
          <w:rFonts w:ascii="Calibri Light" w:hAnsi="Calibri Light" w:cs="Calibri Light"/>
          <w:color w:val="21145F"/>
        </w:rPr>
        <w:t xml:space="preserve"> particularly </w:t>
      </w:r>
      <w:r>
        <w:rPr>
          <w:rFonts w:ascii="Calibri Light" w:hAnsi="Calibri Light" w:cs="Calibri Light"/>
          <w:color w:val="21145F"/>
        </w:rPr>
        <w:t>important for</w:t>
      </w:r>
      <w:r w:rsidRPr="0092125B">
        <w:rPr>
          <w:rFonts w:ascii="Calibri Light" w:hAnsi="Calibri Light" w:cs="Calibri Light"/>
          <w:color w:val="21145F"/>
        </w:rPr>
        <w:t xml:space="preserve"> groups underrepresented in STEM</w:t>
      </w:r>
      <w:r>
        <w:rPr>
          <w:rFonts w:ascii="Calibri Light" w:hAnsi="Calibri Light" w:cs="Calibri Light"/>
          <w:color w:val="21145F"/>
        </w:rPr>
        <w:t>, including girls</w:t>
      </w:r>
      <w:r w:rsidRPr="0092125B">
        <w:rPr>
          <w:rFonts w:ascii="Calibri Light" w:hAnsi="Calibri Light" w:cs="Calibri Light"/>
          <w:color w:val="21145F"/>
        </w:rPr>
        <w:t xml:space="preserve">. We </w:t>
      </w:r>
      <w:r>
        <w:rPr>
          <w:rFonts w:ascii="Calibri Light" w:hAnsi="Calibri Light" w:cs="Calibri Light"/>
          <w:color w:val="21145F"/>
        </w:rPr>
        <w:t xml:space="preserve">therefore </w:t>
      </w:r>
      <w:r w:rsidRPr="0092125B">
        <w:rPr>
          <w:rFonts w:ascii="Calibri Light" w:hAnsi="Calibri Light" w:cs="Calibri Light"/>
          <w:color w:val="21145F"/>
        </w:rPr>
        <w:t>ask that the Framework i</w:t>
      </w:r>
      <w:r w:rsidRPr="0092125B">
        <w:rPr>
          <w:rFonts w:ascii="Calibri Light" w:hAnsi="Calibri Light" w:cs="Calibri Light"/>
          <w:color w:val="21145F"/>
        </w:rPr>
        <w:t>ncludes guidance on a whole-school approach to gender equity, embedding the learnings from the DfE-funded Improving Gender Balance Randomised Control Trial</w:t>
      </w:r>
      <w:r w:rsidRPr="0092125B">
        <w:rPr>
          <w:rFonts w:ascii="Calibri Light" w:hAnsi="Calibri Light" w:cs="Calibri Light"/>
          <w:color w:val="21145F"/>
        </w:rPr>
        <w:t>.</w:t>
      </w:r>
      <w:r w:rsidRPr="0092125B">
        <w:rPr>
          <w:rFonts w:ascii="Calibri Light" w:hAnsi="Calibri Light" w:cs="Calibri Light"/>
          <w:color w:val="21145F"/>
        </w:rPr>
        <w:t xml:space="preserve"> </w:t>
      </w:r>
    </w:p>
    <w:p w:rsidR="00DC2317" w:rsidRPr="0092125B" w:rsidP="0092125B">
      <w:pPr>
        <w:spacing w:before="120" w:after="120" w:line="288" w:lineRule="auto"/>
        <w:rPr>
          <w:rFonts w:ascii="Calibri Light" w:hAnsi="Calibri Light" w:cs="Calibri Light"/>
          <w:color w:val="21145F"/>
        </w:rPr>
      </w:pPr>
      <w:r>
        <w:rPr>
          <w:rFonts w:ascii="Calibri Light" w:hAnsi="Calibri Light" w:cs="Calibri Light"/>
          <w:color w:val="21145F"/>
        </w:rPr>
        <w:t>M</w:t>
      </w:r>
      <w:r w:rsidRPr="0092125B">
        <w:rPr>
          <w:rFonts w:ascii="Calibri Light" w:hAnsi="Calibri Light" w:cs="Calibri Light"/>
          <w:color w:val="21145F"/>
        </w:rPr>
        <w:t xml:space="preserve">easures </w:t>
      </w:r>
      <w:r>
        <w:rPr>
          <w:rFonts w:ascii="Calibri Light" w:hAnsi="Calibri Light" w:cs="Calibri Light"/>
          <w:color w:val="21145F"/>
        </w:rPr>
        <w:t xml:space="preserve">of enrichment and pupil engagement </w:t>
      </w:r>
      <w:r w:rsidRPr="00252BB3">
        <w:rPr>
          <w:rFonts w:ascii="Calibri Light" w:hAnsi="Calibri Light" w:cs="Calibri Light"/>
          <w:color w:val="21145F"/>
        </w:rPr>
        <w:t>should focus on inclusion and impact, not simply availability.</w:t>
      </w:r>
      <w:r>
        <w:rPr>
          <w:rFonts w:ascii="Calibri Light" w:hAnsi="Calibri Light" w:cs="Calibri Light"/>
          <w:color w:val="21145F"/>
        </w:rPr>
        <w:t xml:space="preserve"> </w:t>
      </w:r>
      <w:r>
        <w:rPr>
          <w:rFonts w:ascii="Calibri Light" w:hAnsi="Calibri Light" w:cs="Calibri Light"/>
          <w:color w:val="21145F"/>
        </w:rPr>
        <w:t>STEM e</w:t>
      </w:r>
      <w:r>
        <w:rPr>
          <w:rFonts w:ascii="Calibri Light" w:hAnsi="Calibri Light" w:cs="Calibri Light"/>
          <w:color w:val="21145F"/>
        </w:rPr>
        <w:t xml:space="preserve">nrichment </w:t>
      </w:r>
      <w:r w:rsidRPr="0092125B">
        <w:rPr>
          <w:rFonts w:ascii="Calibri Light" w:hAnsi="Calibri Light" w:cs="Calibri Light"/>
          <w:color w:val="21145F"/>
        </w:rPr>
        <w:t xml:space="preserve">activities </w:t>
      </w:r>
      <w:r>
        <w:rPr>
          <w:rFonts w:ascii="Calibri Light" w:hAnsi="Calibri Light" w:cs="Calibri Light"/>
          <w:color w:val="21145F"/>
        </w:rPr>
        <w:t>must be</w:t>
      </w:r>
      <w:r w:rsidRPr="0092125B">
        <w:rPr>
          <w:rFonts w:ascii="Calibri Light" w:hAnsi="Calibri Light" w:cs="Calibri Light"/>
          <w:color w:val="21145F"/>
        </w:rPr>
        <w:t xml:space="preserve"> inclusive by design</w:t>
      </w:r>
      <w:r>
        <w:rPr>
          <w:rFonts w:ascii="Calibri Light" w:hAnsi="Calibri Light" w:cs="Calibri Light"/>
          <w:color w:val="21145F"/>
        </w:rPr>
        <w:t xml:space="preserve">, </w:t>
      </w:r>
      <w:r>
        <w:rPr>
          <w:rFonts w:ascii="Calibri Light" w:hAnsi="Calibri Light" w:cs="Calibri Light"/>
          <w:color w:val="21145F"/>
        </w:rPr>
        <w:t>with</w:t>
      </w:r>
      <w:r w:rsidRPr="0092125B">
        <w:rPr>
          <w:rFonts w:ascii="Calibri Light" w:hAnsi="Calibri Light" w:cs="Calibri Light"/>
          <w:color w:val="21145F"/>
        </w:rPr>
        <w:t xml:space="preserve"> participation</w:t>
      </w:r>
      <w:r>
        <w:rPr>
          <w:rFonts w:ascii="Calibri Light" w:hAnsi="Calibri Light" w:cs="Calibri Light"/>
          <w:color w:val="21145F"/>
        </w:rPr>
        <w:t>, engagement</w:t>
      </w:r>
      <w:r w:rsidRPr="0092125B">
        <w:rPr>
          <w:rFonts w:ascii="Calibri Light" w:hAnsi="Calibri Light" w:cs="Calibri Light"/>
          <w:color w:val="21145F"/>
        </w:rPr>
        <w:t xml:space="preserve"> and impact </w:t>
      </w:r>
      <w:r>
        <w:rPr>
          <w:rFonts w:ascii="Calibri Light" w:hAnsi="Calibri Light" w:cs="Calibri Light"/>
          <w:color w:val="21145F"/>
        </w:rPr>
        <w:t xml:space="preserve">monitored </w:t>
      </w:r>
      <w:r w:rsidRPr="0092125B">
        <w:rPr>
          <w:rFonts w:ascii="Calibri Light" w:hAnsi="Calibri Light" w:cs="Calibri Light"/>
          <w:color w:val="21145F"/>
        </w:rPr>
        <w:t>across demographic groups</w:t>
      </w:r>
      <w:r w:rsidRPr="0092125B">
        <w:rPr>
          <w:rFonts w:ascii="Calibri Light" w:hAnsi="Calibri Light" w:cs="Calibri Light"/>
          <w:color w:val="21145F"/>
        </w:rPr>
        <w:t xml:space="preserve">. </w:t>
      </w:r>
      <w:r>
        <w:rPr>
          <w:rFonts w:ascii="Calibri Light" w:hAnsi="Calibri Light" w:cs="Calibri Light"/>
          <w:color w:val="21145F"/>
        </w:rPr>
        <w:t>Government should also ensure that e</w:t>
      </w:r>
      <w:r w:rsidRPr="0092125B">
        <w:rPr>
          <w:rFonts w:ascii="Calibri Light" w:hAnsi="Calibri Light" w:cs="Calibri Light"/>
          <w:color w:val="21145F"/>
        </w:rPr>
        <w:t xml:space="preserve">ngineering and technology content, including content used in enrichment activities, </w:t>
      </w:r>
      <w:r>
        <w:rPr>
          <w:rFonts w:ascii="Calibri Light" w:hAnsi="Calibri Light" w:cs="Calibri Light"/>
          <w:color w:val="21145F"/>
        </w:rPr>
        <w:t>is</w:t>
      </w:r>
      <w:r w:rsidRPr="0092125B">
        <w:rPr>
          <w:rFonts w:ascii="Calibri Light" w:hAnsi="Calibri Light" w:cs="Calibri Light"/>
          <w:color w:val="21145F"/>
        </w:rPr>
        <w:t xml:space="preserve"> tested </w:t>
      </w:r>
      <w:r>
        <w:rPr>
          <w:rFonts w:ascii="Calibri Light" w:hAnsi="Calibri Light" w:cs="Calibri Light"/>
          <w:color w:val="21145F"/>
        </w:rPr>
        <w:t>for</w:t>
      </w:r>
      <w:r w:rsidRPr="0092125B">
        <w:rPr>
          <w:rFonts w:ascii="Calibri Light" w:hAnsi="Calibri Light" w:cs="Calibri Light"/>
          <w:color w:val="21145F"/>
        </w:rPr>
        <w:t xml:space="preserve"> appeal and impact across </w:t>
      </w:r>
      <w:r>
        <w:rPr>
          <w:rFonts w:ascii="Calibri Light" w:hAnsi="Calibri Light" w:cs="Calibri Light"/>
          <w:color w:val="21145F"/>
        </w:rPr>
        <w:t>different groups of young people</w:t>
      </w:r>
      <w:r w:rsidRPr="0092125B">
        <w:rPr>
          <w:rFonts w:ascii="Calibri Light" w:hAnsi="Calibri Light" w:cs="Calibri Light"/>
          <w:color w:val="21145F"/>
        </w:rPr>
        <w:t xml:space="preserve">. </w:t>
      </w:r>
    </w:p>
    <w:p w:rsidR="00DC2317" w:rsidRPr="0092125B" w:rsidP="0092125B">
      <w:pPr>
        <w:pStyle w:val="Heading2"/>
        <w:rPr>
          <w:rFonts w:ascii="Calibri" w:hAnsi="Calibri" w:cs="Calibri"/>
          <w:color w:val="21145F"/>
          <w:sz w:val="28"/>
          <w:szCs w:val="28"/>
        </w:rPr>
      </w:pPr>
      <w:r w:rsidRPr="0092125B">
        <w:rPr>
          <w:rFonts w:ascii="Calibri" w:hAnsi="Calibri" w:cs="Calibri"/>
          <w:color w:val="21145F"/>
          <w:sz w:val="28"/>
          <w:szCs w:val="28"/>
        </w:rPr>
        <w:t>Workforce reforms</w:t>
      </w:r>
    </w:p>
    <w:p w:rsidR="00DC2317" w:rsidRPr="009F1EB8" w:rsidP="0092125B">
      <w:pPr>
        <w:spacing w:before="120" w:after="120" w:line="288" w:lineRule="auto"/>
        <w:rPr>
          <w:rFonts w:ascii="Calibri Light" w:hAnsi="Calibri Light" w:cs="Calibri Light"/>
          <w:color w:val="21145F"/>
        </w:rPr>
      </w:pPr>
      <w:r w:rsidRPr="009F1EB8">
        <w:rPr>
          <w:rFonts w:ascii="Calibri Light" w:hAnsi="Calibri Light" w:cs="Calibri Light"/>
          <w:color w:val="21145F"/>
        </w:rPr>
        <w:t>EngineeringUK asks that government c</w:t>
      </w:r>
      <w:r w:rsidRPr="009F1EB8">
        <w:rPr>
          <w:rFonts w:ascii="Calibri Light" w:hAnsi="Calibri Light" w:cs="Calibri Light"/>
          <w:color w:val="21145F"/>
        </w:rPr>
        <w:t xml:space="preserve">ontinues to prioritise measures that attract specialist STEM teachers into the profession, particularly in shortage subjects such as physics, computing and design and technology (D&amp;T). Government should retain Initial Teacher Training (ITT) bursaries for STEM subjects where teacher supply has historically been weak. </w:t>
      </w:r>
      <w:r>
        <w:rPr>
          <w:rFonts w:ascii="Calibri Light" w:hAnsi="Calibri Light" w:cs="Calibri Light"/>
          <w:color w:val="21145F"/>
        </w:rPr>
        <w:t>I</w:t>
      </w:r>
      <w:r w:rsidRPr="009F1EB8">
        <w:rPr>
          <w:rFonts w:ascii="Calibri Light" w:hAnsi="Calibri Light" w:cs="Calibri Light"/>
          <w:color w:val="21145F"/>
        </w:rPr>
        <w:t xml:space="preserve">mproving STEM teacher supply </w:t>
      </w:r>
      <w:r>
        <w:rPr>
          <w:rFonts w:ascii="Calibri Light" w:hAnsi="Calibri Light" w:cs="Calibri Light"/>
          <w:color w:val="21145F"/>
        </w:rPr>
        <w:t>remains critical</w:t>
      </w:r>
      <w:r w:rsidRPr="009F1EB8">
        <w:rPr>
          <w:rFonts w:ascii="Calibri Light" w:hAnsi="Calibri Light" w:cs="Calibri Light"/>
          <w:color w:val="21145F"/>
        </w:rPr>
        <w:t xml:space="preserve"> </w:t>
      </w:r>
      <w:r>
        <w:rPr>
          <w:rFonts w:ascii="Calibri Light" w:hAnsi="Calibri Light" w:cs="Calibri Light"/>
          <w:color w:val="21145F"/>
        </w:rPr>
        <w:t>to</w:t>
      </w:r>
      <w:r w:rsidRPr="009F1EB8">
        <w:rPr>
          <w:rFonts w:ascii="Calibri Light" w:hAnsi="Calibri Light" w:cs="Calibri Light"/>
          <w:color w:val="21145F"/>
        </w:rPr>
        <w:t xml:space="preserve"> </w:t>
      </w:r>
      <w:r>
        <w:rPr>
          <w:rFonts w:ascii="Calibri Light" w:hAnsi="Calibri Light" w:cs="Calibri Light"/>
          <w:color w:val="21145F"/>
        </w:rPr>
        <w:t xml:space="preserve">driving </w:t>
      </w:r>
      <w:r w:rsidRPr="009F1EB8">
        <w:rPr>
          <w:rFonts w:ascii="Calibri Light" w:hAnsi="Calibri Light" w:cs="Calibri Light"/>
          <w:color w:val="21145F"/>
        </w:rPr>
        <w:t>equitable access to</w:t>
      </w:r>
      <w:r>
        <w:rPr>
          <w:rFonts w:ascii="Calibri Light" w:hAnsi="Calibri Light" w:cs="Calibri Light"/>
          <w:color w:val="21145F"/>
        </w:rPr>
        <w:t>, and engagement with,</w:t>
      </w:r>
      <w:r w:rsidRPr="009F1EB8">
        <w:rPr>
          <w:rFonts w:ascii="Calibri Light" w:hAnsi="Calibri Light" w:cs="Calibri Light"/>
          <w:color w:val="21145F"/>
        </w:rPr>
        <w:t xml:space="preserve"> high-quality STEM education -</w:t>
      </w:r>
      <w:r w:rsidRPr="009F1EB8">
        <w:rPr>
          <w:rFonts w:ascii="Calibri Light" w:eastAsia="Times New Roman" w:hAnsi="Calibri Light" w:cs="Calibri Light"/>
          <w:color w:val="21145F"/>
          <w:sz w:val="21"/>
          <w:szCs w:val="21"/>
        </w:rPr>
        <w:t xml:space="preserve"> </w:t>
      </w:r>
      <w:r w:rsidRPr="009F1EB8">
        <w:rPr>
          <w:rFonts w:ascii="Calibri Light" w:hAnsi="Calibri Light" w:cs="Calibri Light"/>
          <w:color w:val="21145F"/>
        </w:rPr>
        <w:t>particularly for girls and pupils in disadvantaged areas</w:t>
      </w:r>
      <w:r>
        <w:rPr>
          <w:rFonts w:ascii="Calibri Light" w:hAnsi="Calibri Light" w:cs="Calibri Light"/>
          <w:color w:val="21145F"/>
        </w:rPr>
        <w:t>.</w:t>
      </w:r>
    </w:p>
    <w:p w:rsidR="00DC2317" w:rsidRPr="009F1EB8" w:rsidP="009F1EB8">
      <w:pPr>
        <w:spacing w:before="120" w:after="120" w:line="288" w:lineRule="auto"/>
        <w:rPr>
          <w:rFonts w:ascii="Calibri Light" w:hAnsi="Calibri Light" w:cs="Calibri Light"/>
          <w:color w:val="21145F"/>
        </w:rPr>
      </w:pPr>
      <w:r w:rsidRPr="009F1EB8">
        <w:rPr>
          <w:rFonts w:ascii="Calibri Light" w:hAnsi="Calibri Light" w:cs="Calibri Light"/>
          <w:color w:val="21145F"/>
        </w:rPr>
        <w:t xml:space="preserve">We are </w:t>
      </w:r>
      <w:r>
        <w:rPr>
          <w:rFonts w:ascii="Calibri Light" w:hAnsi="Calibri Light" w:cs="Calibri Light"/>
          <w:color w:val="21145F"/>
        </w:rPr>
        <w:t xml:space="preserve">pleased </w:t>
      </w:r>
      <w:r w:rsidRPr="009F1EB8">
        <w:rPr>
          <w:rFonts w:ascii="Calibri Light" w:hAnsi="Calibri Light" w:cs="Calibri Light"/>
          <w:color w:val="21145F"/>
        </w:rPr>
        <w:t xml:space="preserve">that government </w:t>
      </w:r>
      <w:r>
        <w:rPr>
          <w:rFonts w:ascii="Calibri Light" w:hAnsi="Calibri Light" w:cs="Calibri Light"/>
          <w:color w:val="21145F"/>
        </w:rPr>
        <w:t>seeks</w:t>
      </w:r>
      <w:r w:rsidRPr="009F1EB8">
        <w:rPr>
          <w:rFonts w:ascii="Calibri Light" w:hAnsi="Calibri Light" w:cs="Calibri Light"/>
          <w:color w:val="21145F"/>
        </w:rPr>
        <w:t xml:space="preserve"> to strengthen measures that improve teacher retention</w:t>
      </w:r>
      <w:r>
        <w:rPr>
          <w:rFonts w:ascii="Calibri Light" w:hAnsi="Calibri Light" w:cs="Calibri Light"/>
          <w:color w:val="21145F"/>
        </w:rPr>
        <w:t xml:space="preserve">, </w:t>
      </w:r>
      <w:r w:rsidRPr="009F1EB8">
        <w:rPr>
          <w:rFonts w:ascii="Calibri Light" w:hAnsi="Calibri Light" w:cs="Calibri Light"/>
          <w:color w:val="21145F"/>
        </w:rPr>
        <w:t>particularly in shortage STEM subjects</w:t>
      </w:r>
      <w:r>
        <w:rPr>
          <w:rFonts w:ascii="Calibri Light" w:hAnsi="Calibri Light" w:cs="Calibri Light"/>
          <w:color w:val="21145F"/>
        </w:rPr>
        <w:t>. There is further work to be done. R</w:t>
      </w:r>
      <w:r w:rsidRPr="009F1EB8">
        <w:rPr>
          <w:rFonts w:ascii="Calibri Light" w:hAnsi="Calibri Light" w:cs="Calibri Light"/>
          <w:color w:val="21145F"/>
        </w:rPr>
        <w:t xml:space="preserve">etaining experienced, specialist teachers is critical to ensuring young people have access to high-quality STEM learning. </w:t>
      </w:r>
      <w:r>
        <w:rPr>
          <w:rFonts w:ascii="Calibri Light" w:hAnsi="Calibri Light" w:cs="Calibri Light"/>
          <w:color w:val="21145F"/>
        </w:rPr>
        <w:t xml:space="preserve">Government should </w:t>
      </w:r>
      <w:r w:rsidRPr="009F1EB8">
        <w:rPr>
          <w:rFonts w:ascii="Calibri Light" w:hAnsi="Calibri Light" w:cs="Calibri Light"/>
          <w:color w:val="21145F"/>
        </w:rPr>
        <w:t xml:space="preserve">evaluate </w:t>
      </w:r>
      <w:r>
        <w:rPr>
          <w:rFonts w:ascii="Calibri Light" w:hAnsi="Calibri Light" w:cs="Calibri Light"/>
          <w:color w:val="21145F"/>
        </w:rPr>
        <w:t xml:space="preserve">retention measure to determine </w:t>
      </w:r>
      <w:r w:rsidRPr="009F1EB8">
        <w:rPr>
          <w:rFonts w:ascii="Calibri Light" w:hAnsi="Calibri Light" w:cs="Calibri Light"/>
          <w:color w:val="21145F"/>
        </w:rPr>
        <w:t>which approaches are most effective</w:t>
      </w:r>
      <w:r>
        <w:rPr>
          <w:rFonts w:ascii="Calibri Light" w:hAnsi="Calibri Light" w:cs="Calibri Light"/>
          <w:color w:val="21145F"/>
        </w:rPr>
        <w:t xml:space="preserve"> and ensure that they are</w:t>
      </w:r>
      <w:r w:rsidRPr="009F1EB8">
        <w:rPr>
          <w:rFonts w:ascii="Calibri Light" w:hAnsi="Calibri Light" w:cs="Calibri Light"/>
          <w:color w:val="21145F"/>
        </w:rPr>
        <w:t xml:space="preserve"> fully integrated with wider education and skills reforms.</w:t>
      </w:r>
    </w:p>
    <w:p w:rsidR="00DC2317" w:rsidRPr="001D24F4" w:rsidP="009F1EB8">
      <w:pPr>
        <w:spacing w:before="120" w:after="120" w:line="288" w:lineRule="auto"/>
        <w:rPr>
          <w:rFonts w:ascii="Calibri Light" w:hAnsi="Calibri Light" w:cs="Calibri Light"/>
          <w:color w:val="21145F"/>
        </w:rPr>
      </w:pPr>
      <w:r w:rsidRPr="006236F5">
        <w:rPr>
          <w:rFonts w:ascii="Calibri Light" w:hAnsi="Calibri Light" w:cs="Calibri Light"/>
          <w:color w:val="21145F"/>
        </w:rPr>
        <w:t xml:space="preserve">The proposed Teacher Training Entitlement </w:t>
      </w:r>
      <w:r>
        <w:rPr>
          <w:rFonts w:ascii="Calibri Light" w:hAnsi="Calibri Light" w:cs="Calibri Light"/>
          <w:color w:val="21145F"/>
        </w:rPr>
        <w:t xml:space="preserve">(TTE) </w:t>
      </w:r>
      <w:r w:rsidRPr="006236F5">
        <w:rPr>
          <w:rFonts w:ascii="Calibri Light" w:hAnsi="Calibri Light" w:cs="Calibri Light"/>
          <w:color w:val="21145F"/>
        </w:rPr>
        <w:t xml:space="preserve">is also welcome. </w:t>
      </w:r>
      <w:r>
        <w:rPr>
          <w:rFonts w:ascii="Calibri Light" w:hAnsi="Calibri Light" w:cs="Calibri Light"/>
          <w:color w:val="21145F"/>
        </w:rPr>
        <w:t>However, government should set</w:t>
      </w:r>
      <w:r w:rsidRPr="001D24F4">
        <w:rPr>
          <w:rFonts w:ascii="Calibri Light" w:hAnsi="Calibri Light" w:cs="Calibri Light"/>
          <w:color w:val="21145F"/>
        </w:rPr>
        <w:t xml:space="preserve"> out how it will maintain access to high-quality STEM-specific CPD as the </w:t>
      </w:r>
      <w:r>
        <w:rPr>
          <w:rFonts w:ascii="Calibri Light" w:hAnsi="Calibri Light" w:cs="Calibri Light"/>
          <w:color w:val="21145F"/>
        </w:rPr>
        <w:t>TTE</w:t>
      </w:r>
      <w:r w:rsidRPr="001D24F4">
        <w:rPr>
          <w:rFonts w:ascii="Calibri Light" w:hAnsi="Calibri Light" w:cs="Calibri Light"/>
          <w:color w:val="21145F"/>
        </w:rPr>
        <w:t xml:space="preserve"> is implemented, including </w:t>
      </w:r>
      <w:r>
        <w:rPr>
          <w:rFonts w:ascii="Calibri Light" w:hAnsi="Calibri Light" w:cs="Calibri Light"/>
          <w:color w:val="21145F"/>
        </w:rPr>
        <w:t>addressing</w:t>
      </w:r>
      <w:r w:rsidRPr="001D24F4">
        <w:rPr>
          <w:rFonts w:ascii="Calibri Light" w:hAnsi="Calibri Light" w:cs="Calibri Light"/>
          <w:color w:val="21145F"/>
        </w:rPr>
        <w:t xml:space="preserve"> recent cuts to STEM CPD funding</w:t>
      </w:r>
      <w:r w:rsidRPr="001D24F4">
        <w:rPr>
          <w:rFonts w:ascii="Calibri Light" w:hAnsi="Calibri Light" w:cs="Calibri Light"/>
          <w:color w:val="21145F"/>
        </w:rPr>
        <w:t xml:space="preserve">. </w:t>
      </w:r>
      <w:r w:rsidRPr="001D24F4">
        <w:rPr>
          <w:rFonts w:ascii="Calibri Light" w:hAnsi="Calibri Light" w:cs="Calibri Light"/>
          <w:color w:val="21145F"/>
        </w:rPr>
        <w:t xml:space="preserve">CPD and leadership development </w:t>
      </w:r>
      <w:r>
        <w:rPr>
          <w:rFonts w:ascii="Calibri Light" w:hAnsi="Calibri Light" w:cs="Calibri Light"/>
          <w:color w:val="21145F"/>
        </w:rPr>
        <w:t>should</w:t>
      </w:r>
      <w:r w:rsidRPr="001D24F4">
        <w:rPr>
          <w:rFonts w:ascii="Calibri Light" w:hAnsi="Calibri Light" w:cs="Calibri Light"/>
          <w:color w:val="21145F"/>
        </w:rPr>
        <w:t xml:space="preserve"> </w:t>
      </w:r>
      <w:r w:rsidRPr="001D24F4">
        <w:rPr>
          <w:rFonts w:ascii="Calibri Light" w:hAnsi="Calibri Light" w:cs="Calibri Light"/>
          <w:color w:val="21145F"/>
        </w:rPr>
        <w:t>equip teachers and leaders to deliver STEM education in inclusive and engaging ways</w:t>
      </w:r>
      <w:r>
        <w:rPr>
          <w:rFonts w:ascii="Calibri Light" w:hAnsi="Calibri Light" w:cs="Calibri Light"/>
          <w:color w:val="21145F"/>
        </w:rPr>
        <w:t xml:space="preserve">, while ensuring </w:t>
      </w:r>
      <w:r w:rsidRPr="001D24F4">
        <w:rPr>
          <w:rFonts w:ascii="Calibri Light" w:hAnsi="Calibri Light" w:cs="Calibri Light"/>
          <w:color w:val="21145F"/>
        </w:rPr>
        <w:t>that teachers, careers leaders and careers advisers have up-to-date knowledge of modern engineering and technology careers</w:t>
      </w:r>
      <w:r w:rsidRPr="001D24F4">
        <w:rPr>
          <w:rFonts w:ascii="Calibri Light" w:hAnsi="Calibri Light" w:cs="Calibri Light"/>
          <w:color w:val="21145F"/>
        </w:rPr>
        <w:t>.</w:t>
      </w:r>
    </w:p>
    <w:p w:rsidR="00DC2317" w:rsidRPr="001D24F4" w:rsidP="003A1905">
      <w:pPr>
        <w:pStyle w:val="Heading2"/>
        <w:rPr>
          <w:rFonts w:ascii="Calibri" w:hAnsi="Calibri" w:cs="Calibri"/>
          <w:color w:val="21145F"/>
          <w:sz w:val="28"/>
          <w:szCs w:val="28"/>
        </w:rPr>
      </w:pPr>
      <w:r w:rsidRPr="001D24F4">
        <w:rPr>
          <w:rFonts w:ascii="Calibri" w:hAnsi="Calibri" w:cs="Calibri"/>
          <w:color w:val="21145F"/>
          <w:sz w:val="28"/>
          <w:szCs w:val="28"/>
        </w:rPr>
        <w:t>Raising attainment</w:t>
      </w:r>
    </w:p>
    <w:p w:rsidR="00DC2317" w:rsidRPr="001D24F4" w:rsidP="001D24F4">
      <w:pPr>
        <w:spacing w:before="120" w:after="120" w:line="288" w:lineRule="auto"/>
        <w:rPr>
          <w:rFonts w:ascii="Calibri Light" w:hAnsi="Calibri Light" w:cs="Calibri Light"/>
          <w:color w:val="21145F"/>
        </w:rPr>
      </w:pPr>
      <w:r w:rsidRPr="00E14E0C">
        <w:rPr>
          <w:rFonts w:ascii="Calibri Light" w:hAnsi="Calibri Light" w:cs="Calibri Light"/>
          <w:color w:val="21145F"/>
        </w:rPr>
        <w:t xml:space="preserve">EngineeringUK welcomes the White Paper’s ambition to support a broader educational experience for young people. </w:t>
      </w:r>
      <w:r>
        <w:rPr>
          <w:rFonts w:ascii="Calibri Light" w:hAnsi="Calibri Light" w:cs="Calibri Light"/>
          <w:color w:val="21145F"/>
        </w:rPr>
        <w:t>A</w:t>
      </w:r>
      <w:r w:rsidRPr="001D24F4">
        <w:rPr>
          <w:rFonts w:ascii="Calibri Light" w:hAnsi="Calibri Light" w:cs="Calibri Light"/>
          <w:color w:val="21145F"/>
        </w:rPr>
        <w:t xml:space="preserve">ccountability reforms </w:t>
      </w:r>
      <w:r>
        <w:rPr>
          <w:rFonts w:ascii="Calibri Light" w:hAnsi="Calibri Light" w:cs="Calibri Light"/>
          <w:color w:val="21145F"/>
        </w:rPr>
        <w:t xml:space="preserve">should </w:t>
      </w:r>
      <w:r w:rsidRPr="001D24F4">
        <w:rPr>
          <w:rFonts w:ascii="Calibri Light" w:hAnsi="Calibri Light" w:cs="Calibri Light"/>
          <w:color w:val="21145F"/>
        </w:rPr>
        <w:t>support access to a broad and balanced curriculum</w:t>
      </w:r>
      <w:r>
        <w:rPr>
          <w:rFonts w:ascii="Calibri Light" w:hAnsi="Calibri Light" w:cs="Calibri Light"/>
          <w:color w:val="21145F"/>
        </w:rPr>
        <w:t xml:space="preserve"> that includes</w:t>
      </w:r>
      <w:r w:rsidRPr="001D24F4">
        <w:rPr>
          <w:rFonts w:ascii="Calibri Light" w:hAnsi="Calibri Light" w:cs="Calibri Light"/>
          <w:color w:val="21145F"/>
        </w:rPr>
        <w:t xml:space="preserve"> academic, technical and vocational pathways</w:t>
      </w:r>
      <w:r w:rsidRPr="001D24F4">
        <w:rPr>
          <w:rFonts w:ascii="Calibri Light" w:hAnsi="Calibri Light" w:cs="Calibri Light"/>
          <w:color w:val="21145F"/>
        </w:rPr>
        <w:t xml:space="preserve">. </w:t>
      </w:r>
      <w:r>
        <w:rPr>
          <w:rFonts w:ascii="Calibri Light" w:hAnsi="Calibri Light" w:cs="Calibri Light"/>
          <w:color w:val="21145F"/>
        </w:rPr>
        <w:t xml:space="preserve">Government should also </w:t>
      </w:r>
      <w:r w:rsidRPr="001D24F4">
        <w:rPr>
          <w:rFonts w:ascii="Calibri Light" w:hAnsi="Calibri Light" w:cs="Calibri Light"/>
          <w:color w:val="21145F"/>
        </w:rPr>
        <w:t>a</w:t>
      </w:r>
      <w:r w:rsidRPr="001D24F4">
        <w:rPr>
          <w:rFonts w:ascii="Calibri Light" w:hAnsi="Calibri Light" w:cs="Calibri Light"/>
          <w:color w:val="21145F"/>
        </w:rPr>
        <w:t xml:space="preserve">ssess the impact of accountability reforms on participation, subject choice and curriculum breadth, </w:t>
      </w:r>
      <w:r>
        <w:rPr>
          <w:rFonts w:ascii="Calibri Light" w:hAnsi="Calibri Light" w:cs="Calibri Light"/>
          <w:color w:val="21145F"/>
        </w:rPr>
        <w:t>particularly</w:t>
      </w:r>
      <w:r w:rsidRPr="001D24F4">
        <w:rPr>
          <w:rFonts w:ascii="Calibri Light" w:hAnsi="Calibri Light" w:cs="Calibri Light"/>
          <w:color w:val="21145F"/>
        </w:rPr>
        <w:t xml:space="preserve"> for groups currently underrepresented in STEM subjects</w:t>
      </w:r>
      <w:r w:rsidRPr="001D24F4">
        <w:rPr>
          <w:rFonts w:ascii="Calibri Light" w:hAnsi="Calibri Light" w:cs="Calibri Light"/>
          <w:color w:val="21145F"/>
        </w:rPr>
        <w:t>.</w:t>
      </w:r>
    </w:p>
    <w:p w:rsidR="00DC2317" w:rsidRPr="009E4259">
      <w:pPr>
        <w:spacing w:line="278" w:lineRule="auto"/>
        <w:rPr>
          <w:rFonts w:ascii="Calibri Light" w:hAnsi="Calibri Light" w:cs="Calibri Light"/>
          <w:b/>
          <w:bCs/>
          <w:sz w:val="28"/>
          <w:szCs w:val="28"/>
        </w:rPr>
      </w:pPr>
      <w:r w:rsidRPr="009E4259">
        <w:rPr>
          <w:rFonts w:ascii="Calibri Light" w:hAnsi="Calibri Light" w:cs="Calibri Light"/>
        </w:rPr>
        <w:br w:type="page"/>
      </w:r>
    </w:p>
    <w:p w:rsidR="00DC2317" w:rsidRPr="001D24F4" w:rsidP="00046B77">
      <w:pPr>
        <w:pStyle w:val="EUKH2Title"/>
        <w:rPr>
          <w:rFonts w:ascii="Calibri Light" w:hAnsi="Calibri Light" w:cs="Calibri Light"/>
          <w:color w:val="21145F"/>
        </w:rPr>
      </w:pPr>
      <w:r w:rsidRPr="001D24F4">
        <w:rPr>
          <w:rFonts w:ascii="Calibri Light" w:hAnsi="Calibri Light" w:cs="Calibri Light"/>
          <w:color w:val="21145F"/>
        </w:rPr>
        <w:t>Enrichment, belonging and behaviour</w:t>
      </w:r>
    </w:p>
    <w:p w:rsidR="00DC2317" w:rsidRPr="001D24F4" w:rsidP="00046B77">
      <w:pPr>
        <w:rPr>
          <w:rFonts w:ascii="Calibri Light" w:hAnsi="Calibri Light" w:cs="Calibri Light"/>
          <w:b/>
          <w:bCs/>
          <w:color w:val="21145F"/>
        </w:rPr>
      </w:pPr>
      <w:r w:rsidRPr="001D24F4">
        <w:rPr>
          <w:rFonts w:ascii="Calibri Light" w:hAnsi="Calibri Light" w:cs="Calibri Light"/>
          <w:b/>
          <w:bCs/>
          <w:color w:val="21145F"/>
        </w:rPr>
        <w:t>Q1. Committee is interested to receive evidence on the role of enrichment activities (including arts, sport, and civic engagement) in improving pupil outcomes and wellbeing.</w:t>
      </w:r>
    </w:p>
    <w:p w:rsidR="00DC2317" w:rsidRPr="001D24F4" w:rsidP="00046B77">
      <w:pPr>
        <w:rPr>
          <w:rFonts w:ascii="Calibri Light" w:hAnsi="Calibri Light" w:cs="Calibri Light"/>
          <w:color w:val="21145F"/>
        </w:rPr>
      </w:pPr>
      <w:r w:rsidRPr="001D24F4">
        <w:rPr>
          <w:rFonts w:ascii="Calibri Light" w:hAnsi="Calibri Light" w:cs="Calibri Light"/>
          <w:color w:val="21145F"/>
        </w:rPr>
        <w:t xml:space="preserve">EngineeringUK strongly supports government’s ambition to make enrichment a common entitlement for all young people. We welcome the White Paper’s recognition that enrichment activities can improve pupil outcomes, including educational achievement and skills development. Since publication of the White Paper, the government has also published its Enrichment Framework. This identifies other positive enrichment outcomes including confidence, wellbeing, belonging and future readiness. </w:t>
      </w:r>
    </w:p>
    <w:p w:rsidR="00DC2317" w:rsidRPr="001D24F4" w:rsidP="00046B77">
      <w:pPr>
        <w:rPr>
          <w:rFonts w:ascii="Calibri Light" w:hAnsi="Calibri Light" w:cs="Calibri Light"/>
          <w:b/>
          <w:bCs/>
          <w:color w:val="21145F"/>
        </w:rPr>
      </w:pPr>
      <w:r w:rsidRPr="001D24F4">
        <w:rPr>
          <w:rFonts w:ascii="Calibri Light" w:hAnsi="Calibri Light" w:cs="Calibri Light"/>
          <w:b/>
          <w:bCs/>
          <w:color w:val="21145F"/>
        </w:rPr>
        <w:t>Going forward, EngineeringUK recommends that government:</w:t>
      </w:r>
    </w:p>
    <w:p w:rsidR="00DC2317" w:rsidRPr="001D24F4" w:rsidP="00046B77">
      <w:pPr>
        <w:pStyle w:val="ListParagraph"/>
        <w:numPr>
          <w:ilvl w:val="0"/>
          <w:numId w:val="2"/>
        </w:numPr>
        <w:spacing w:before="120" w:after="120" w:line="288" w:lineRule="auto"/>
        <w:rPr>
          <w:rFonts w:ascii="Calibri Light" w:hAnsi="Calibri Light" w:cs="Calibri Light"/>
          <w:b/>
          <w:bCs/>
          <w:color w:val="21145F"/>
        </w:rPr>
      </w:pPr>
      <w:r w:rsidRPr="001D24F4">
        <w:rPr>
          <w:rFonts w:ascii="Calibri Light" w:hAnsi="Calibri Light" w:cs="Calibri Light"/>
          <w:b/>
          <w:bCs/>
          <w:color w:val="21145F"/>
        </w:rPr>
        <w:t>Maintains its commitment to making enrichment a common entitlement for all young people, including high-quality STEM enrichment</w:t>
      </w:r>
    </w:p>
    <w:p w:rsidR="00DC2317" w:rsidRPr="001D24F4" w:rsidP="00046B77">
      <w:pPr>
        <w:pStyle w:val="ListParagraph"/>
        <w:numPr>
          <w:ilvl w:val="0"/>
          <w:numId w:val="2"/>
        </w:numPr>
        <w:spacing w:before="120" w:after="120" w:line="288" w:lineRule="auto"/>
        <w:rPr>
          <w:rFonts w:ascii="Calibri Light" w:hAnsi="Calibri Light" w:cs="Calibri Light"/>
          <w:b/>
          <w:bCs/>
          <w:color w:val="21145F"/>
        </w:rPr>
      </w:pPr>
      <w:r w:rsidRPr="001D24F4">
        <w:rPr>
          <w:rFonts w:ascii="Calibri Light" w:hAnsi="Calibri Light" w:cs="Calibri Light"/>
          <w:b/>
          <w:bCs/>
          <w:color w:val="21145F"/>
        </w:rPr>
        <w:t>Supports schools to deliver high-quality STEM enrichment as part of wider efforts to improve pupil wellbeing, belonging and engagement</w:t>
      </w:r>
    </w:p>
    <w:p w:rsidR="00DC2317" w:rsidRPr="001D24F4" w:rsidP="00046B77">
      <w:pPr>
        <w:pStyle w:val="ListParagraph"/>
        <w:numPr>
          <w:ilvl w:val="0"/>
          <w:numId w:val="2"/>
        </w:numPr>
        <w:spacing w:before="120" w:after="120" w:line="288" w:lineRule="auto"/>
        <w:rPr>
          <w:rFonts w:ascii="Calibri Light" w:hAnsi="Calibri Light" w:cs="Calibri Light"/>
          <w:b/>
          <w:bCs/>
          <w:color w:val="21145F"/>
        </w:rPr>
      </w:pPr>
      <w:r w:rsidRPr="001D24F4">
        <w:rPr>
          <w:rFonts w:ascii="Calibri Light" w:hAnsi="Calibri Light" w:cs="Calibri Light"/>
          <w:b/>
          <w:bCs/>
          <w:color w:val="21145F"/>
        </w:rPr>
        <w:t xml:space="preserve">Ensures that high-quality STEM enrichment is designed to reach and engage all young people - including girls and other underrepresented groups in engineering and technology </w:t>
      </w:r>
    </w:p>
    <w:p w:rsidR="00DC2317" w:rsidRPr="001D24F4" w:rsidP="00046B77">
      <w:pPr>
        <w:pStyle w:val="ListParagraph"/>
        <w:rPr>
          <w:rFonts w:ascii="Calibri Light" w:hAnsi="Calibri Light" w:cs="Calibri Light"/>
          <w:b/>
          <w:bCs/>
          <w:color w:val="21145F"/>
        </w:rPr>
      </w:pP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EngineeringUK’s evidence demonstrates that high-quality STEM enrichment contributes to many of the positive outcomes identified in the Enrichment Framework. It supports outcomes beyond subject knowledge. For example, participation in high-quality STEM enrichment is frequently associated with gains in collaboration, problem-solving and confidence, though often documented qualitatively rather than via controlled quantitative designs.</w:t>
      </w:r>
      <w:r>
        <w:rPr>
          <w:rFonts w:ascii="Calibri Light" w:hAnsi="Calibri Light" w:cs="Calibri Light"/>
          <w:color w:val="21145F"/>
          <w:vertAlign w:val="superscript"/>
        </w:rPr>
        <w:footnoteReference w:id="2"/>
      </w:r>
      <w:r w:rsidRPr="001D24F4">
        <w:rPr>
          <w:rFonts w:ascii="Calibri Light" w:hAnsi="Calibri Light" w:cs="Calibri Light"/>
          <w:color w:val="21145F"/>
          <w:vertAlign w:val="superscript"/>
        </w:rPr>
        <w:t xml:space="preserve">, </w:t>
      </w:r>
      <w:r>
        <w:rPr>
          <w:rFonts w:ascii="Calibri Light" w:hAnsi="Calibri Light" w:cs="Calibri Light"/>
          <w:color w:val="21145F"/>
          <w:vertAlign w:val="superscript"/>
        </w:rPr>
        <w:footnoteReference w:id="3"/>
      </w:r>
      <w:r w:rsidRPr="001D24F4">
        <w:rPr>
          <w:rFonts w:ascii="Calibri Light" w:hAnsi="Calibri Light" w:cs="Calibri Light"/>
          <w:color w:val="21145F"/>
          <w:vertAlign w:val="superscript"/>
        </w:rPr>
        <w:t xml:space="preserve">, </w:t>
      </w:r>
      <w:r>
        <w:rPr>
          <w:rFonts w:ascii="Calibri Light" w:hAnsi="Calibri Light" w:cs="Calibri Light"/>
          <w:color w:val="21145F"/>
          <w:vertAlign w:val="superscript"/>
        </w:rPr>
        <w:footnoteReference w:id="4"/>
      </w:r>
      <w:r w:rsidRPr="001D24F4">
        <w:rPr>
          <w:rFonts w:ascii="Calibri Light" w:hAnsi="Calibri Light" w:cs="Calibri Light"/>
          <w:color w:val="21145F"/>
          <w:vertAlign w:val="superscript"/>
        </w:rPr>
        <w:t xml:space="preserve"> </w:t>
      </w:r>
      <w:r w:rsidRPr="001D24F4">
        <w:rPr>
          <w:rFonts w:ascii="Calibri Light" w:hAnsi="Calibri Light" w:cs="Calibri Light"/>
          <w:color w:val="21145F"/>
        </w:rPr>
        <w:t xml:space="preserve">Students who completed our </w:t>
      </w:r>
      <w:r>
        <w:fldChar w:fldCharType="begin"/>
      </w:r>
      <w:r>
        <w:instrText xml:space="preserve"> HYPERLINK "https://www.thebigbang.org.uk/" </w:instrText>
      </w:r>
      <w:r>
        <w:fldChar w:fldCharType="separate"/>
      </w:r>
      <w:r w:rsidRPr="00F01CBF">
        <w:rPr>
          <w:rStyle w:val="Hyperlink"/>
          <w:rFonts w:ascii="Calibri Light" w:hAnsi="Calibri Light" w:cs="Calibri Light"/>
        </w:rPr>
        <w:t>Big Bang Fair</w:t>
      </w:r>
      <w:r>
        <w:fldChar w:fldCharType="end"/>
      </w:r>
      <w:r w:rsidRPr="001D24F4">
        <w:rPr>
          <w:rFonts w:ascii="Calibri Light" w:hAnsi="Calibri Light" w:cs="Calibri Light"/>
          <w:color w:val="21145F"/>
        </w:rPr>
        <w:t xml:space="preserve"> 2025 survey reported developing a range of transferable, in-demand skills through the event.</w:t>
      </w:r>
      <w:r>
        <w:rPr>
          <w:rStyle w:val="FootnoteReference"/>
          <w:rFonts w:ascii="Calibri Light" w:hAnsi="Calibri Light" w:cs="Calibri Light"/>
          <w:color w:val="21145F"/>
        </w:rPr>
        <w:footnoteReference w:id="5"/>
      </w:r>
      <w:r>
        <w:rPr>
          <w:rStyle w:val="FootnoteReference"/>
          <w:rFonts w:ascii="Calibri Light" w:hAnsi="Calibri Light" w:cs="Calibri Light"/>
          <w:color w:val="21145F"/>
        </w:rPr>
        <w:footnoteReference w:id="6"/>
      </w:r>
      <w:r w:rsidRPr="001D24F4">
        <w:rPr>
          <w:rFonts w:ascii="Calibri Light" w:hAnsi="Calibri Light" w:cs="Calibri Light"/>
          <w:color w:val="21145F"/>
        </w:rPr>
        <w:t xml:space="preserve"> Nearly three-quarters said that activities helped them develop creativity skills and 60% said that The Fair developed their teamworking skills.</w:t>
      </w: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Evidence also supports the positive impact of STEM enrichment on pupil wellbeing. Curiosity, a partnership between BBC Children in Need and Wellcome, funded and evaluated the impact of 57 informal science projects on improving the lives of young people experiencing disadvantage.</w:t>
      </w:r>
      <w:r>
        <w:rPr>
          <w:rStyle w:val="FootnoteReference"/>
          <w:rFonts w:ascii="Calibri Light" w:hAnsi="Calibri Light" w:cs="Calibri Light"/>
          <w:color w:val="21145F"/>
        </w:rPr>
        <w:footnoteReference w:id="7"/>
      </w:r>
      <w:r w:rsidRPr="001D24F4">
        <w:rPr>
          <w:rFonts w:ascii="Calibri Light" w:hAnsi="Calibri Light" w:cs="Calibri Light"/>
          <w:color w:val="21145F"/>
        </w:rPr>
        <w:t xml:space="preserve"> Project evaluations found significant improvements in essential skills (+24%) and STEM outcomes (+21%). Other outcomes </w:t>
      </w:r>
      <w:r w:rsidRPr="001D24F4">
        <w:rPr>
          <w:rFonts w:ascii="Calibri Light" w:hAnsi="Calibri Light" w:cs="Calibri Light"/>
          <w:color w:val="21145F"/>
        </w:rPr>
        <w:t xml:space="preserve">included improved emotional wellness (+52%), strong self-belief (+27%), positive relationships (+17%) and being positively empowered (+13%). </w:t>
      </w: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In terms of increasing engagement, research from the Centre for Young Lives identifies two primary mechanisms through which enrichment addresses the post-pandemic attendance crisis.</w:t>
      </w:r>
      <w:r>
        <w:rPr>
          <w:rStyle w:val="FootnoteReference"/>
          <w:rFonts w:ascii="Calibri Light" w:hAnsi="Calibri Light" w:cs="Calibri Light"/>
          <w:color w:val="21145F"/>
        </w:rPr>
        <w:footnoteReference w:id="8"/>
      </w:r>
      <w:r w:rsidRPr="001D24F4">
        <w:rPr>
          <w:rFonts w:ascii="Calibri Light" w:hAnsi="Calibri Light" w:cs="Calibri Light"/>
          <w:color w:val="21145F"/>
        </w:rPr>
        <w:t xml:space="preserve"> First, it can encourage students with poor attendance to come to school on days when their favourite clubs are held. Our own qualitative research supports these findings. A teacher participating in </w:t>
      </w:r>
      <w:r>
        <w:fldChar w:fldCharType="begin"/>
      </w:r>
      <w:r>
        <w:instrText xml:space="preserve"> HYPERLINK "https://www.thebigbang.org.uk/big-bang-at-school/" </w:instrText>
      </w:r>
      <w:r>
        <w:fldChar w:fldCharType="separate"/>
      </w:r>
      <w:r w:rsidRPr="00F01CBF">
        <w:rPr>
          <w:rStyle w:val="Hyperlink"/>
          <w:rFonts w:ascii="Calibri Light" w:hAnsi="Calibri Light" w:cs="Calibri Light"/>
        </w:rPr>
        <w:t>The Big Bang at School</w:t>
      </w:r>
      <w:r>
        <w:fldChar w:fldCharType="end"/>
      </w:r>
      <w:r w:rsidRPr="001D24F4">
        <w:rPr>
          <w:rFonts w:ascii="Calibri Light" w:hAnsi="Calibri Light" w:cs="Calibri Light"/>
          <w:color w:val="21145F"/>
        </w:rPr>
        <w:t xml:space="preserve"> programme reported that attendance reached 96.5% for year 7 during STEM activity week – the highest that year. Secondly, the research demonstrates that enrichment may also improve attendance indirectly, by fostering students’ sense of belonging, improving mental health and strengthening teacher-pupil relationships. These factors can play a key role in reducing the feelings of disconnection that can contribute to persistent absence, a challenge that government is seeking to address.</w:t>
      </w: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EngineeringUK’s Science Education Tracker shows that many young people do not feel that STEM careers are “for someone like them”.</w:t>
      </w:r>
      <w:r w:rsidRPr="001D24F4">
        <w:rPr>
          <w:rFonts w:ascii="Calibri Light" w:hAnsi="Calibri Light" w:cs="Calibri Light"/>
          <w:b/>
          <w:color w:val="21145F"/>
        </w:rPr>
        <w:t xml:space="preserve"> </w:t>
      </w:r>
      <w:r w:rsidRPr="001D24F4">
        <w:rPr>
          <w:rFonts w:ascii="Calibri Light" w:hAnsi="Calibri Light" w:cs="Calibri Light"/>
          <w:color w:val="21145F"/>
        </w:rPr>
        <w:t>Only 39% of young people in years 7 to 13 feel like science careers are suitable for someone like them. This falls to 30% for engineering careers overall - and just 16% amongst girls, compared with 44% of boys.</w:t>
      </w:r>
      <w:r>
        <w:rPr>
          <w:rStyle w:val="FootnoteReference"/>
          <w:rFonts w:ascii="Calibri Light" w:hAnsi="Calibri Light" w:cs="Calibri Light"/>
          <w:color w:val="21145F"/>
        </w:rPr>
        <w:footnoteReference w:id="9"/>
      </w:r>
      <w:r w:rsidRPr="001D24F4">
        <w:rPr>
          <w:rFonts w:ascii="Calibri Light" w:hAnsi="Calibri Light" w:cs="Calibri Light"/>
          <w:color w:val="21145F"/>
        </w:rPr>
        <w:t xml:space="preserve"> These findings suggest that many young people lack a sense of belonging in relation to STEM pathways and future careers. </w:t>
      </w: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 xml:space="preserve">STEM enrichment can help address this and can broaden career aspirations by helping young people understand future education and employment pathways. We welcome the recognition within the Enrichment Framework and the Department for Education's (DfE) </w:t>
      </w:r>
      <w:r>
        <w:fldChar w:fldCharType="begin"/>
      </w:r>
      <w:r>
        <w:instrText xml:space="preserve"> HYPERLINK "https://www.gov.uk/government/publications/careers-guidance-provision-for-young-people-in-schools/careers-guidance-and-access-for-education-and-training-providers" </w:instrText>
      </w:r>
      <w:r>
        <w:fldChar w:fldCharType="separate"/>
      </w:r>
      <w:r w:rsidRPr="00F01CBF">
        <w:rPr>
          <w:rStyle w:val="Hyperlink"/>
          <w:rFonts w:ascii="Calibri Light" w:hAnsi="Calibri Light" w:cs="Calibri Light"/>
        </w:rPr>
        <w:t>updated careers guidance</w:t>
      </w:r>
      <w:r>
        <w:fldChar w:fldCharType="end"/>
      </w:r>
      <w:r w:rsidRPr="001D24F4">
        <w:rPr>
          <w:rFonts w:ascii="Calibri Light" w:hAnsi="Calibri Light" w:cs="Calibri Light"/>
          <w:color w:val="21145F"/>
        </w:rPr>
        <w:t xml:space="preserve"> of the value of engaging in enrichment activities in tandem with careers support, including work experience. Our findings show that high-quality enrichment can help young people build confidence, challenge stereotypes and feel that future careers are open to them. Following attendance at the Big Bang Fair, 78% of students said that the experience had shown them that jobs in engineering, technology or science would be suitable for someone like them. 69% reported increased interest in a job in engineering, 6</w:t>
      </w:r>
      <w:r w:rsidRPr="001D24F4">
        <w:rPr>
          <w:rFonts w:ascii="Calibri Light" w:hAnsi="Calibri Light" w:cs="Calibri Light"/>
          <w:color w:val="21145F"/>
        </w:rPr>
        <w:t>7% for technology and 64% for science. Overall, 84% reported increased interest in a job in at least one of these subject areas.</w:t>
      </w:r>
      <w:r>
        <w:rPr>
          <w:rStyle w:val="FootnoteReference"/>
          <w:rFonts w:ascii="Calibri Light" w:hAnsi="Calibri Light" w:cs="Calibri Light"/>
          <w:color w:val="21145F"/>
        </w:rPr>
        <w:footnoteReference w:id="10"/>
      </w:r>
      <w:r w:rsidRPr="001D24F4">
        <w:rPr>
          <w:rFonts w:ascii="Calibri Light" w:hAnsi="Calibri Light" w:cs="Calibri Light"/>
          <w:color w:val="21145F"/>
        </w:rPr>
        <w:t xml:space="preserve"> </w:t>
      </w: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 xml:space="preserve">Crucially, as the Framework is implemented, government must ensure that all young people from all backgrounds can access, engage with and benefit from these opportunities. This is particularly important for groups currently underrepresented in engineering and technology, such as girls. In its forthcoming Blueprint for Action, the </w:t>
      </w:r>
      <w:r>
        <w:fldChar w:fldCharType="begin"/>
      </w:r>
      <w:r>
        <w:instrText xml:space="preserve"> HYPERLINK "https://www.engineeringuk.com/driving-change/growing-the-future-workforce/gender-pathways-into-engineering-and-technology/" </w:instrText>
      </w:r>
      <w:r>
        <w:fldChar w:fldCharType="separate"/>
      </w:r>
      <w:r w:rsidRPr="00F01CBF">
        <w:rPr>
          <w:rStyle w:val="Hyperlink"/>
          <w:rFonts w:ascii="Calibri Light" w:hAnsi="Calibri Light" w:cs="Calibri Light"/>
        </w:rPr>
        <w:t>Gender Pathways Collective</w:t>
      </w:r>
      <w:r>
        <w:fldChar w:fldCharType="end"/>
      </w:r>
      <w:r w:rsidRPr="001D24F4">
        <w:rPr>
          <w:rFonts w:ascii="Calibri Light" w:hAnsi="Calibri Light" w:cs="Calibri Light"/>
          <w:color w:val="21145F"/>
        </w:rPr>
        <w:t xml:space="preserve"> highlights that girls are significantly underrepresented across many academic and technical routes into engineering and technology. Gender gaps emerge during education and are particularly pronounced in technical </w:t>
      </w:r>
      <w:r w:rsidRPr="001D24F4">
        <w:rPr>
          <w:rFonts w:ascii="Calibri Light" w:hAnsi="Calibri Light" w:cs="Calibri Light"/>
          <w:color w:val="21145F"/>
        </w:rPr>
        <w:t>pathways. In 2024, only 17% of engineering and technology apprenticeships and 9% of engineering and technology T Levels were taken by women. Only 23% of the A Level physics cohort and 17% of the A Level computing cohort were young women.</w:t>
      </w:r>
      <w:r>
        <w:rPr>
          <w:rStyle w:val="FootnoteReference"/>
          <w:rFonts w:ascii="Calibri Light" w:hAnsi="Calibri Light" w:cs="Calibri Light"/>
          <w:color w:val="21145F"/>
        </w:rPr>
        <w:footnoteReference w:id="11"/>
      </w:r>
      <w:r w:rsidRPr="001D24F4">
        <w:rPr>
          <w:rFonts w:ascii="Calibri Light" w:hAnsi="Calibri Light" w:cs="Calibri Light"/>
          <w:color w:val="21145F"/>
        </w:rPr>
        <w:t xml:space="preserve"> This reinforces the importance of high-quality STEM enrichment opportunities for girls. Not only can STEM enrichment contribute to pupil wellbeing and belonging today, </w:t>
      </w:r>
      <w:r w:rsidRPr="001D24F4">
        <w:rPr>
          <w:rFonts w:ascii="Calibri Light" w:hAnsi="Calibri Light" w:cs="Calibri Light"/>
          <w:color w:val="21145F"/>
        </w:rPr>
        <w:t>but it</w:t>
      </w:r>
      <w:r w:rsidRPr="001D24F4">
        <w:rPr>
          <w:rFonts w:ascii="Calibri Light" w:hAnsi="Calibri Light" w:cs="Calibri Light"/>
          <w:color w:val="21145F"/>
        </w:rPr>
        <w:t xml:space="preserve"> could also help to widen participation in future engineering and technology education and career pathways.</w:t>
      </w:r>
    </w:p>
    <w:p w:rsidR="00DC2317" w:rsidRPr="001D24F4" w:rsidP="00046B77">
      <w:pPr>
        <w:rPr>
          <w:rFonts w:ascii="Calibri Light" w:hAnsi="Calibri Light" w:cs="Calibri Light"/>
          <w:b/>
          <w:bCs/>
          <w:color w:val="21145F"/>
        </w:rPr>
      </w:pPr>
      <w:r w:rsidRPr="001D24F4">
        <w:rPr>
          <w:rFonts w:ascii="Calibri Light" w:hAnsi="Calibri Light" w:cs="Calibri Light"/>
          <w:b/>
          <w:bCs/>
          <w:color w:val="21145F"/>
        </w:rPr>
        <w:t>Q2. Committee is interested to receive evidence on the role of the proposed Pupil Engagement Framework in enhancing pupils’ sense of belonging and enjoyment of school.</w:t>
      </w:r>
    </w:p>
    <w:p w:rsidR="00DC2317" w:rsidRPr="001D24F4" w:rsidP="00046B77">
      <w:pPr>
        <w:rPr>
          <w:rFonts w:ascii="Calibri Light" w:hAnsi="Calibri Light" w:cs="Calibri Light"/>
          <w:color w:val="21145F"/>
        </w:rPr>
      </w:pPr>
      <w:r w:rsidRPr="001D24F4">
        <w:rPr>
          <w:rFonts w:ascii="Calibri Light" w:hAnsi="Calibri Light" w:cs="Calibri Light"/>
          <w:color w:val="21145F"/>
        </w:rPr>
        <w:t>EngineeringUK welcomes the government’s ambition that more children should feel a strong sense of belonging in school. The expectation that by 2029 every school will monitor children's sense of belonging and engagement is positive. The proposed Pupil Engagement Framework is a welcome recognition that pupils’ experiences of school are shaped not only by academic outcomes, but also by factors including belonging, inclusion, safety and confidence. The Framework's focus on belonging as a core indicator of engag</w:t>
      </w:r>
      <w:r w:rsidRPr="001D24F4">
        <w:rPr>
          <w:rFonts w:ascii="Calibri Light" w:hAnsi="Calibri Light" w:cs="Calibri Light"/>
          <w:color w:val="21145F"/>
        </w:rPr>
        <w:t>ement is particularly welcome.</w:t>
      </w:r>
    </w:p>
    <w:p w:rsidR="00DC2317" w:rsidRPr="001D24F4" w:rsidP="00046B77">
      <w:pPr>
        <w:rPr>
          <w:rFonts w:ascii="Calibri Light" w:hAnsi="Calibri Light" w:cs="Calibri Light"/>
          <w:b/>
          <w:bCs/>
          <w:color w:val="21145F"/>
        </w:rPr>
      </w:pPr>
      <w:r w:rsidRPr="001D24F4">
        <w:rPr>
          <w:rFonts w:ascii="Calibri Light" w:hAnsi="Calibri Light" w:cs="Calibri Light"/>
          <w:b/>
          <w:bCs/>
          <w:color w:val="21145F"/>
        </w:rPr>
        <w:t>Engineering UK recommends that government:</w:t>
      </w:r>
    </w:p>
    <w:p w:rsidR="00DC2317" w:rsidRPr="001D24F4" w:rsidP="00046B77">
      <w:pPr>
        <w:pStyle w:val="ListParagraph"/>
        <w:numPr>
          <w:ilvl w:val="0"/>
          <w:numId w:val="3"/>
        </w:numPr>
        <w:spacing w:before="120" w:after="120" w:line="288" w:lineRule="auto"/>
        <w:rPr>
          <w:rFonts w:ascii="Calibri Light" w:hAnsi="Calibri Light" w:cs="Calibri Light"/>
          <w:b/>
          <w:bCs/>
          <w:color w:val="21145F"/>
        </w:rPr>
      </w:pPr>
      <w:r w:rsidRPr="001D24F4">
        <w:rPr>
          <w:rFonts w:ascii="Calibri Light" w:hAnsi="Calibri Light" w:cs="Calibri Light"/>
          <w:b/>
          <w:bCs/>
          <w:color w:val="21145F"/>
        </w:rPr>
        <w:t>Ensures that implementation of the Pupil Engagement Framework recognises the role that STEM-related experiences can play in strengthening pupils’ sense of belonging, confidence and aspirations - particularly amongst groups underrepresented in STEM</w:t>
      </w:r>
    </w:p>
    <w:p w:rsidR="00DC2317" w:rsidRPr="001D24F4" w:rsidP="00046B77">
      <w:pPr>
        <w:pStyle w:val="ListParagraph"/>
        <w:numPr>
          <w:ilvl w:val="0"/>
          <w:numId w:val="3"/>
        </w:numPr>
        <w:spacing w:before="120" w:after="120" w:line="288" w:lineRule="auto"/>
        <w:rPr>
          <w:rFonts w:ascii="Calibri Light" w:hAnsi="Calibri Light" w:cs="Calibri Light"/>
          <w:b/>
          <w:bCs/>
          <w:color w:val="21145F"/>
        </w:rPr>
      </w:pPr>
      <w:r w:rsidRPr="001D24F4">
        <w:rPr>
          <w:rFonts w:ascii="Calibri Light" w:hAnsi="Calibri Light" w:cs="Calibri Light"/>
          <w:b/>
          <w:bCs/>
          <w:color w:val="21145F"/>
        </w:rPr>
        <w:t xml:space="preserve">Includes guidance on a whole-school approach to gender equity within the Framework, embedding the learnings from the DfE-funded Improving Gender Balance Randomised Control Trial </w:t>
      </w:r>
    </w:p>
    <w:p w:rsidR="00DC2317" w:rsidRPr="001D24F4" w:rsidP="00046B77">
      <w:pPr>
        <w:pStyle w:val="ListParagraph"/>
        <w:rPr>
          <w:rFonts w:ascii="Calibri Light" w:hAnsi="Calibri Light" w:cs="Calibri Light"/>
          <w:b/>
          <w:bCs/>
          <w:color w:val="21145F"/>
        </w:rPr>
      </w:pP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Belonging plays an important role in shaping young people’s aspirations and participation in STEM. Science capital theory suggests that young people who accumulate STEM-related experiences are more likely to feel confident in their STEM abilities and aspire to STEM careers.</w:t>
      </w:r>
      <w:r>
        <w:rPr>
          <w:rStyle w:val="FootnoteReference"/>
          <w:rFonts w:ascii="Calibri Light" w:hAnsi="Calibri Light" w:cs="Calibri Light"/>
          <w:color w:val="21145F"/>
        </w:rPr>
        <w:footnoteReference w:id="12"/>
      </w:r>
      <w:r w:rsidRPr="001D24F4">
        <w:rPr>
          <w:rFonts w:ascii="Calibri Light" w:hAnsi="Calibri Light" w:cs="Calibri Light"/>
          <w:color w:val="21145F"/>
        </w:rPr>
        <w:t xml:space="preserve"> However, these experiences are not distributed equally across society. As a result, some groups are less likely to develop the sense of belonging that supports participation in STEM. However, EngineeringUK’s evidence shows that STEM enrichment can strengthen young people’s sense of belonging and help them feel that future opportunities in STEM are open to them, as outlined in paragraph 5. </w:t>
      </w: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 xml:space="preserve">We agree that the Framework should help schools to identify and address disparities in belonging and engagement between different groups of pupils. </w:t>
      </w:r>
      <w:r w:rsidRPr="001D24F4">
        <w:rPr>
          <w:rFonts w:ascii="Calibri Light" w:hAnsi="Calibri Light" w:cs="Calibri Light"/>
          <w:iCs/>
          <w:color w:val="21145F"/>
        </w:rPr>
        <w:t>In the forthcoming Blueprint for Action, the</w:t>
      </w:r>
      <w:r w:rsidRPr="001D24F4">
        <w:rPr>
          <w:rFonts w:ascii="Calibri Light" w:hAnsi="Calibri Light" w:cs="Calibri Light"/>
          <w:color w:val="21145F"/>
        </w:rPr>
        <w:t xml:space="preserve"> </w:t>
      </w:r>
      <w:r>
        <w:fldChar w:fldCharType="begin"/>
      </w:r>
      <w:r>
        <w:instrText xml:space="preserve"> HYPERLINK "https://www.engineeringuk.com/driving-change/growing-the-future-workforce/gender-pathways-into-engineering-and-technology/response-to-the-curriculum-and-assessment-review/" </w:instrText>
      </w:r>
      <w:r>
        <w:fldChar w:fldCharType="separate"/>
      </w:r>
      <w:r w:rsidRPr="00F01CBF">
        <w:rPr>
          <w:rStyle w:val="Hyperlink"/>
          <w:rFonts w:ascii="Calibri Light" w:hAnsi="Calibri Light" w:cs="Calibri Light"/>
        </w:rPr>
        <w:t>Gender Pathways Collective</w:t>
      </w:r>
      <w:r>
        <w:fldChar w:fldCharType="end"/>
      </w:r>
      <w:r w:rsidRPr="001D24F4">
        <w:rPr>
          <w:rFonts w:ascii="Calibri Light" w:hAnsi="Calibri Light" w:cs="Calibri Light"/>
          <w:color w:val="21145F"/>
        </w:rPr>
        <w:t xml:space="preserve"> highlights that feelings of safety and belonging at school are crucial. However, this is missing for many young people, including girls. Many organisations therefore advocate the value of whole-school approaches to improving school culture – including gender equity.</w:t>
      </w:r>
      <w:r>
        <w:rPr>
          <w:rStyle w:val="FootnoteReference"/>
          <w:rFonts w:ascii="Calibri Light" w:hAnsi="Calibri Light" w:cs="Calibri Light"/>
          <w:color w:val="21145F"/>
        </w:rPr>
        <w:footnoteReference w:id="13"/>
      </w:r>
      <w:r w:rsidRPr="001D24F4">
        <w:rPr>
          <w:rFonts w:ascii="Calibri Light" w:hAnsi="Calibri Light" w:cs="Calibri Light"/>
          <w:color w:val="21145F"/>
        </w:rPr>
        <w:t xml:space="preserve"> This model, </w:t>
      </w:r>
      <w:r w:rsidRPr="001D24F4">
        <w:rPr>
          <w:rFonts w:ascii="Calibri Light" w:hAnsi="Calibri Light" w:cs="Calibri Light"/>
          <w:color w:val="21145F"/>
        </w:rPr>
        <w:t>established by the Improving Gender Balance in Physics programme and funded by the DfE, was delivered by the Institute of Physics and evaluated using a randomised controlled trial.</w:t>
      </w:r>
      <w:r w:rsidRPr="001D24F4">
        <w:rPr>
          <w:rFonts w:ascii="Calibri Light" w:hAnsi="Calibri Light" w:cs="Calibri Light"/>
          <w:color w:val="21145F"/>
          <w:vertAlign w:val="superscript"/>
        </w:rPr>
        <w:t xml:space="preserve"> </w:t>
      </w:r>
      <w:r>
        <w:rPr>
          <w:rStyle w:val="FootnoteReference"/>
          <w:rFonts w:ascii="Calibri Light" w:hAnsi="Calibri Light" w:cs="Calibri Light"/>
          <w:color w:val="21145F"/>
        </w:rPr>
        <w:footnoteReference w:id="14"/>
      </w:r>
      <w:r w:rsidRPr="001D24F4">
        <w:rPr>
          <w:rFonts w:ascii="Calibri Light" w:hAnsi="Calibri Light" w:cs="Calibri Light"/>
          <w:color w:val="21145F"/>
          <w:vertAlign w:val="superscript"/>
        </w:rPr>
        <w:t xml:space="preserve"> </w:t>
      </w:r>
      <w:r w:rsidRPr="001D24F4">
        <w:rPr>
          <w:rFonts w:ascii="Calibri Light" w:hAnsi="Calibri Light" w:cs="Calibri Light"/>
          <w:color w:val="21145F"/>
        </w:rPr>
        <w:t>The trial found that a whole-school approach increased the number of girls who took Physics A level. The Collective therefore urges the DfE to embed the learnings from this trial into the Pupil Engagement Framework and include guidance on a whole-school approach to gender equity. This should recognise the influence of leadership, teaching, school culture and extra-curricular activity on pupils' experiences and their role in supporting girls' participation in STEM enrichment and wider STEM experiences.</w:t>
      </w:r>
    </w:p>
    <w:p w:rsidR="00DC2317" w:rsidRPr="001D24F4" w:rsidP="00046B77">
      <w:pPr>
        <w:rPr>
          <w:rFonts w:ascii="Calibri Light" w:hAnsi="Calibri Light" w:cs="Calibri Light"/>
          <w:b/>
          <w:bCs/>
          <w:color w:val="21145F"/>
        </w:rPr>
      </w:pPr>
      <w:r w:rsidRPr="001D24F4">
        <w:rPr>
          <w:rFonts w:ascii="Calibri Light" w:hAnsi="Calibri Light" w:cs="Calibri Light"/>
          <w:b/>
          <w:bCs/>
          <w:color w:val="21145F"/>
        </w:rPr>
        <w:t>Q3. Committee is interested to receive evidence on how enrichment and pupil engagement will be measured and incorporated into school accountability frameworks.</w:t>
      </w:r>
    </w:p>
    <w:p w:rsidR="00DC2317" w:rsidRPr="001D24F4" w:rsidP="00046B77">
      <w:pPr>
        <w:rPr>
          <w:rFonts w:ascii="Calibri Light" w:hAnsi="Calibri Light" w:cs="Calibri Light"/>
          <w:color w:val="21145F"/>
        </w:rPr>
      </w:pPr>
      <w:r w:rsidRPr="001D24F4">
        <w:rPr>
          <w:rFonts w:ascii="Calibri Light" w:hAnsi="Calibri Light" w:cs="Calibri Light"/>
          <w:color w:val="21145F"/>
        </w:rPr>
        <w:t>Together, the Enrichment Framework and the Pupil Engagement Framework should provide new strategic approaches for schools to monitor participation in enrichment activities and pupils’ experiences of school. We welcome that Ofsted’s updated inspection toolkits will take account of the new enrichment benchmarks. It is also positive that School Profiles will provide parents with clearer and more consistent information about schools’ enrichment offers.</w:t>
      </w:r>
    </w:p>
    <w:p w:rsidR="00DC2317" w:rsidRPr="001D24F4" w:rsidP="00046B77">
      <w:pPr>
        <w:rPr>
          <w:rFonts w:ascii="Calibri Light" w:hAnsi="Calibri Light" w:cs="Calibri Light"/>
          <w:b/>
          <w:bCs/>
          <w:color w:val="21145F"/>
        </w:rPr>
      </w:pPr>
      <w:r w:rsidRPr="001D24F4">
        <w:rPr>
          <w:rFonts w:ascii="Calibri Light" w:hAnsi="Calibri Light" w:cs="Calibri Light"/>
          <w:b/>
          <w:bCs/>
          <w:color w:val="21145F"/>
        </w:rPr>
        <w:t xml:space="preserve">EngineeringUK recommends that government: </w:t>
      </w:r>
    </w:p>
    <w:p w:rsidR="00DC2317" w:rsidRPr="001D24F4" w:rsidP="00046B77">
      <w:pPr>
        <w:pStyle w:val="ListParagraph"/>
        <w:numPr>
          <w:ilvl w:val="0"/>
          <w:numId w:val="4"/>
        </w:numPr>
        <w:spacing w:before="120" w:after="120" w:line="288" w:lineRule="auto"/>
        <w:rPr>
          <w:rFonts w:ascii="Calibri Light" w:hAnsi="Calibri Light" w:cs="Calibri Light"/>
          <w:b/>
          <w:bCs/>
          <w:color w:val="21145F"/>
        </w:rPr>
      </w:pPr>
      <w:r w:rsidRPr="001D24F4">
        <w:rPr>
          <w:rFonts w:ascii="Calibri Light" w:hAnsi="Calibri Light" w:cs="Calibri Light"/>
          <w:b/>
          <w:bCs/>
          <w:color w:val="21145F"/>
        </w:rPr>
        <w:t>Ensures that enrichment activities are inclusive by design and that accountability frameworks monitor participation and impact across demographic groups</w:t>
      </w:r>
    </w:p>
    <w:p w:rsidR="00DC2317" w:rsidRPr="001D24F4" w:rsidP="00046B77">
      <w:pPr>
        <w:pStyle w:val="ListParagraph"/>
        <w:numPr>
          <w:ilvl w:val="0"/>
          <w:numId w:val="4"/>
        </w:numPr>
        <w:spacing w:before="120" w:after="120" w:line="288" w:lineRule="auto"/>
        <w:rPr>
          <w:rFonts w:ascii="Calibri Light" w:hAnsi="Calibri Light" w:cs="Calibri Light"/>
          <w:b/>
          <w:bCs/>
          <w:color w:val="21145F"/>
        </w:rPr>
      </w:pPr>
      <w:r w:rsidRPr="001D24F4">
        <w:rPr>
          <w:rFonts w:ascii="Calibri Light" w:hAnsi="Calibri Light" w:cs="Calibri Light"/>
          <w:b/>
          <w:bCs/>
          <w:color w:val="21145F"/>
        </w:rPr>
        <w:t>Puts in place measures so that engineering and technology content, including content used in enrichment activities, is tested to ensure its appeal and impact across demographic groups</w:t>
      </w:r>
    </w:p>
    <w:p w:rsidR="00DC2317" w:rsidRPr="001D24F4" w:rsidP="00046B77">
      <w:pPr>
        <w:pStyle w:val="ListParagraph"/>
        <w:numPr>
          <w:ilvl w:val="0"/>
          <w:numId w:val="4"/>
        </w:numPr>
        <w:spacing w:before="120" w:after="120" w:line="288" w:lineRule="auto"/>
        <w:rPr>
          <w:rFonts w:ascii="Calibri Light" w:hAnsi="Calibri Light" w:cs="Calibri Light"/>
          <w:b/>
          <w:bCs/>
          <w:color w:val="21145F"/>
        </w:rPr>
      </w:pPr>
      <w:r w:rsidRPr="001D24F4">
        <w:rPr>
          <w:rFonts w:ascii="Calibri Light" w:hAnsi="Calibri Light" w:cs="Calibri Light"/>
          <w:b/>
          <w:bCs/>
          <w:color w:val="21145F"/>
        </w:rPr>
        <w:t>Supports schools and enrichment providers to evaluate the impact of enrichment activities and seeks to build a stronger evidence base about what works</w:t>
      </w:r>
    </w:p>
    <w:p w:rsidR="00DC2317" w:rsidRPr="001D24F4" w:rsidP="00046B77">
      <w:pPr>
        <w:pStyle w:val="ListParagraph"/>
        <w:rPr>
          <w:rFonts w:ascii="Calibri Light" w:hAnsi="Calibri Light" w:cs="Calibri Light"/>
          <w:b/>
          <w:bCs/>
          <w:color w:val="21145F"/>
        </w:rPr>
      </w:pP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We agree that measurements of pupil engagement and enrichment should focus on inclusion and impact, as well as availability. We therefore welcome the Enrichment Framework’s expectation that schools and colleges should have systems to monitor participation, understand patterns, identify opportunities and address barriers. The proposed Pupil Engagement Framework should complement this, helping schools better understand pupils’ experiences of belonging, motivation and attention. This will be important to ensur</w:t>
      </w:r>
      <w:r w:rsidRPr="001D24F4">
        <w:rPr>
          <w:rFonts w:ascii="Calibri Light" w:hAnsi="Calibri Light" w:cs="Calibri Light"/>
          <w:color w:val="21145F"/>
        </w:rPr>
        <w:t xml:space="preserve">e equitable participation in STEM enrichment, that widens access to future opportunities, rather than reinforcing existing patterns of participation. The </w:t>
      </w:r>
      <w:r>
        <w:fldChar w:fldCharType="begin"/>
      </w:r>
      <w:r>
        <w:instrText xml:space="preserve"> HYPERLINK "https://www.engineeringuk.com/driving-change/growing-the-future-workforce/gender-pathways-into-engineering-and-technology/response-to-the-curriculum-and-assessment-review/" </w:instrText>
      </w:r>
      <w:r>
        <w:fldChar w:fldCharType="separate"/>
      </w:r>
      <w:r w:rsidRPr="00F01CBF">
        <w:rPr>
          <w:rStyle w:val="Hyperlink"/>
          <w:rFonts w:ascii="Calibri Light" w:hAnsi="Calibri Light" w:cs="Calibri Light"/>
        </w:rPr>
        <w:t>Gender Pathways Collective’s</w:t>
      </w:r>
      <w:r>
        <w:fldChar w:fldCharType="end"/>
      </w:r>
      <w:r w:rsidRPr="001D24F4">
        <w:rPr>
          <w:rFonts w:ascii="Calibri Light" w:hAnsi="Calibri Light" w:cs="Calibri Light"/>
          <w:color w:val="21145F"/>
        </w:rPr>
        <w:t xml:space="preserve"> Blueprint for Action therefore urges government to ensure that engineering and technology content, including content used in enrichment activities, are inclusive by design and monitor uptake. This includes testing content to ensure its appeal and impact across demographic groups, ensuring that all resources build on evidence about what engages a variety of learners, including girls. Without this, there is a risk that STEM activities, especially </w:t>
      </w:r>
      <w:r w:rsidRPr="001D24F4">
        <w:rPr>
          <w:rFonts w:ascii="Calibri Light" w:hAnsi="Calibri Light" w:cs="Calibri Light"/>
          <w:color w:val="21145F"/>
        </w:rPr>
        <w:t xml:space="preserve">those relating to engineering and technology, fail to engage young people from groups that remain underrepresented in the sector. </w:t>
      </w: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As accountability arrangements evolve, we agree with government that schools and enrichment providers should be supported to undertake a stronger evaluation of impact. There is also an opportunity for government itself to strengthen evaluation of impact across enrichment provision more broadly. For example, our research found that only 17% of 168 organisations involved in engineering and technology outreach activities in 2024/25 said that they used trained independent evaluators to monitor and evaluate thei</w:t>
      </w:r>
      <w:r w:rsidRPr="001D24F4">
        <w:rPr>
          <w:rFonts w:ascii="Calibri Light" w:hAnsi="Calibri Light" w:cs="Calibri Light"/>
          <w:color w:val="21145F"/>
        </w:rPr>
        <w:t>r STEM outreach activities. Furthermore, many identified improving their impact as something that they would like more support with.</w:t>
      </w:r>
      <w:r>
        <w:rPr>
          <w:rStyle w:val="FootnoteReference"/>
          <w:rFonts w:ascii="Calibri Light" w:hAnsi="Calibri Light" w:cs="Calibri Light"/>
          <w:color w:val="21145F"/>
        </w:rPr>
        <w:footnoteReference w:id="15"/>
      </w:r>
      <w:r w:rsidRPr="001D24F4">
        <w:rPr>
          <w:rFonts w:ascii="Calibri Light" w:hAnsi="Calibri Light" w:cs="Calibri Light"/>
          <w:color w:val="21145F"/>
        </w:rPr>
        <w:t xml:space="preserve"> Building a stronger evidence base about the effectiveness of interventions would help improve the impact and cost-effectiveness of government and sector investment, while strengthening the role of enrichment and pupil engagement measures.</w:t>
      </w:r>
    </w:p>
    <w:p w:rsidR="00DC2317" w:rsidRPr="001D24F4" w:rsidP="00046B77">
      <w:pPr>
        <w:spacing w:after="0" w:line="240" w:lineRule="auto"/>
        <w:rPr>
          <w:rFonts w:ascii="Calibri Light" w:hAnsi="Calibri Light" w:cs="Calibri Light"/>
          <w:color w:val="21145F"/>
        </w:rPr>
      </w:pPr>
      <w:r w:rsidRPr="001D24F4">
        <w:rPr>
          <w:rFonts w:ascii="Calibri Light" w:hAnsi="Calibri Light" w:cs="Calibri Light"/>
          <w:color w:val="21145F"/>
        </w:rPr>
        <w:br w:type="page"/>
      </w:r>
    </w:p>
    <w:p w:rsidR="00DC2317" w:rsidRPr="001D24F4" w:rsidP="00046B77">
      <w:pPr>
        <w:pStyle w:val="EUKH2Title"/>
        <w:rPr>
          <w:rFonts w:ascii="Calibri Light" w:hAnsi="Calibri Light" w:cs="Calibri Light"/>
          <w:color w:val="21145F"/>
        </w:rPr>
      </w:pPr>
      <w:r w:rsidRPr="001D24F4">
        <w:rPr>
          <w:rFonts w:ascii="Calibri Light" w:hAnsi="Calibri Light" w:cs="Calibri Light"/>
          <w:color w:val="21145F"/>
        </w:rPr>
        <w:t>Workforce reforms</w:t>
      </w:r>
    </w:p>
    <w:p w:rsidR="00DC2317" w:rsidRPr="001D24F4" w:rsidP="00046B77">
      <w:pPr>
        <w:spacing w:line="278" w:lineRule="auto"/>
        <w:rPr>
          <w:rFonts w:ascii="Calibri Light" w:hAnsi="Calibri Light" w:cs="Calibri Light"/>
          <w:b/>
          <w:bCs/>
          <w:color w:val="21145F"/>
        </w:rPr>
      </w:pPr>
      <w:r w:rsidRPr="001D24F4">
        <w:rPr>
          <w:rFonts w:ascii="Calibri Light" w:hAnsi="Calibri Light" w:cs="Calibri Light"/>
          <w:b/>
          <w:bCs/>
          <w:color w:val="21145F"/>
        </w:rPr>
        <w:t>Q1. Committee is interested to receive evidence on the Government’s target to recruit 6,500 additional teachers and the feasibility of meeting this commitment.</w:t>
      </w:r>
    </w:p>
    <w:p w:rsidR="00DC2317" w:rsidRPr="001D24F4" w:rsidP="00046B77">
      <w:pPr>
        <w:spacing w:line="278" w:lineRule="auto"/>
        <w:rPr>
          <w:rFonts w:ascii="Calibri Light" w:hAnsi="Calibri Light" w:cs="Calibri Light"/>
          <w:color w:val="21145F"/>
        </w:rPr>
      </w:pPr>
      <w:r w:rsidRPr="001D24F4">
        <w:rPr>
          <w:rFonts w:ascii="Calibri Light" w:hAnsi="Calibri Light" w:cs="Calibri Light"/>
          <w:color w:val="21145F"/>
        </w:rPr>
        <w:t xml:space="preserve">EngineeringUK broadly supports the government’s ambition and we particularly welcome the focus on expert teachers and the commitment to target recruitment where need is greatest – including in shortage subjects. </w:t>
      </w:r>
    </w:p>
    <w:p w:rsidR="00DC2317" w:rsidRPr="001D24F4" w:rsidP="00046B77">
      <w:pPr>
        <w:spacing w:line="278" w:lineRule="auto"/>
        <w:rPr>
          <w:rFonts w:ascii="Calibri Light" w:hAnsi="Calibri Light" w:cs="Calibri Light"/>
          <w:b/>
          <w:color w:val="21145F"/>
        </w:rPr>
      </w:pPr>
      <w:r w:rsidRPr="001D24F4">
        <w:rPr>
          <w:rFonts w:ascii="Calibri Light" w:hAnsi="Calibri Light" w:cs="Calibri Light"/>
          <w:b/>
          <w:color w:val="21145F"/>
        </w:rPr>
        <w:t>EngineeringUK recommends that government:</w:t>
      </w:r>
    </w:p>
    <w:p w:rsidR="00DC2317" w:rsidRPr="001D24F4" w:rsidP="00046B77">
      <w:pPr>
        <w:pStyle w:val="ListParagraph"/>
        <w:numPr>
          <w:ilvl w:val="0"/>
          <w:numId w:val="5"/>
        </w:numPr>
        <w:spacing w:before="120" w:after="120" w:line="288" w:lineRule="auto"/>
        <w:rPr>
          <w:rFonts w:ascii="Calibri Light" w:hAnsi="Calibri Light" w:cs="Calibri Light"/>
          <w:b/>
          <w:bCs/>
          <w:color w:val="21145F"/>
        </w:rPr>
      </w:pPr>
      <w:r w:rsidRPr="001D24F4">
        <w:rPr>
          <w:rFonts w:ascii="Calibri Light" w:hAnsi="Calibri Light" w:cs="Calibri Light"/>
          <w:b/>
          <w:bCs/>
          <w:color w:val="21145F"/>
        </w:rPr>
        <w:t>Continues to prioritise measures that attract specialist STEM teachers into the profession, particularly in shortage subjects such as physics, computing and design and technology (D&amp;T)</w:t>
      </w:r>
    </w:p>
    <w:p w:rsidR="00DC2317" w:rsidRPr="001D24F4" w:rsidP="00046B77">
      <w:pPr>
        <w:pStyle w:val="ListParagraph"/>
        <w:numPr>
          <w:ilvl w:val="0"/>
          <w:numId w:val="5"/>
        </w:numPr>
        <w:spacing w:before="120" w:after="120" w:line="288" w:lineRule="auto"/>
        <w:rPr>
          <w:rFonts w:ascii="Calibri Light" w:hAnsi="Calibri Light" w:cs="Calibri Light"/>
          <w:b/>
          <w:bCs/>
          <w:color w:val="21145F"/>
        </w:rPr>
      </w:pPr>
      <w:r w:rsidRPr="001D24F4">
        <w:rPr>
          <w:rFonts w:ascii="Calibri Light" w:hAnsi="Calibri Light" w:cs="Calibri Light"/>
          <w:b/>
          <w:bCs/>
          <w:color w:val="21145F"/>
        </w:rPr>
        <w:t>Retains Initial Teacher Training (ITT) bursaries for STEM subjects, particularly where teacher supply has historically been weak</w:t>
      </w:r>
    </w:p>
    <w:p w:rsidR="00DC2317" w:rsidRPr="001D24F4" w:rsidP="00046B77">
      <w:pPr>
        <w:pStyle w:val="ListParagraph"/>
        <w:numPr>
          <w:ilvl w:val="0"/>
          <w:numId w:val="5"/>
        </w:numPr>
        <w:spacing w:before="120" w:after="120" w:line="288" w:lineRule="auto"/>
        <w:rPr>
          <w:rFonts w:ascii="Calibri Light" w:hAnsi="Calibri Light" w:cs="Calibri Light"/>
          <w:b/>
          <w:bCs/>
          <w:color w:val="21145F"/>
        </w:rPr>
      </w:pPr>
      <w:r w:rsidRPr="001D24F4">
        <w:rPr>
          <w:rFonts w:ascii="Calibri Light" w:hAnsi="Calibri Light" w:cs="Calibri Light"/>
          <w:b/>
          <w:bCs/>
          <w:color w:val="21145F"/>
        </w:rPr>
        <w:t>Recognises that improving STEM teacher supply is important for ensuring equitable access to high-quality STEM education, including practical science, specialist teaching and progression opportunities -</w:t>
      </w:r>
      <w:r w:rsidRPr="001D24F4">
        <w:rPr>
          <w:rFonts w:ascii="Calibri Light" w:eastAsia="Times New Roman" w:hAnsi="Calibri Light" w:cs="Calibri Light"/>
          <w:b/>
          <w:bCs/>
          <w:color w:val="21145F"/>
          <w:sz w:val="21"/>
          <w:szCs w:val="21"/>
        </w:rPr>
        <w:t xml:space="preserve"> </w:t>
      </w:r>
      <w:r w:rsidRPr="001D24F4">
        <w:rPr>
          <w:rFonts w:ascii="Calibri Light" w:hAnsi="Calibri Light" w:cs="Calibri Light"/>
          <w:b/>
          <w:bCs/>
          <w:color w:val="21145F"/>
        </w:rPr>
        <w:t>particularly for girls and pupils in disadvantaged areas</w:t>
      </w:r>
    </w:p>
    <w:p w:rsidR="00DC2317" w:rsidRPr="001D24F4" w:rsidP="00046B77">
      <w:pPr>
        <w:pStyle w:val="ListParagraph"/>
        <w:rPr>
          <w:rFonts w:ascii="Calibri Light" w:hAnsi="Calibri Light" w:cs="Calibri Light"/>
          <w:b/>
          <w:bCs/>
          <w:color w:val="21145F"/>
        </w:rPr>
      </w:pP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The White Paper rightly recognises that recruitment and retention challenges are pronounced in some STEM subjects, with shortages particularly acute in physics. It is encouraging that ITT recruitment improved in 2025/26, helped by a weaker labour market and lower recruitment targets.</w:t>
      </w:r>
      <w:r>
        <w:rPr>
          <w:rStyle w:val="FootnoteReference"/>
          <w:rFonts w:ascii="Calibri Light" w:hAnsi="Calibri Light" w:cs="Calibri Light"/>
          <w:color w:val="21145F"/>
        </w:rPr>
        <w:footnoteReference w:id="16"/>
      </w:r>
      <w:r w:rsidRPr="001D24F4">
        <w:rPr>
          <w:rFonts w:ascii="Calibri Light" w:hAnsi="Calibri Light" w:cs="Calibri Light"/>
          <w:color w:val="21145F"/>
        </w:rPr>
        <w:t xml:space="preserve"> The White Paper notes that 1,150 more postgraduate STEM trainees were recruited in 2025/26 and that the STEM ITT target has been met for the first time since its introduction. The National Foundation for Education Research (NFER) also reports that physics recruitment reached 78% of target in 2025/26, the best it has been since 2016/17.</w:t>
      </w:r>
      <w:r>
        <w:rPr>
          <w:rStyle w:val="FootnoteReference"/>
          <w:rFonts w:ascii="Calibri Light" w:hAnsi="Calibri Light" w:cs="Calibri Light"/>
          <w:color w:val="21145F"/>
        </w:rPr>
        <w:footnoteReference w:id="17"/>
      </w: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However, these improvements represent progress from a low base, rather than a problem solved. Government needs to expand and ensure the long-term sustainability of the physics teaching workforce. Recruitment of physics teachers has been consistently below target for many years. NFER notes that the recent increase was particularly driven by international recruits, incentivised to apply by the extension of bursaries to non-UK nationals since 2022.</w:t>
      </w:r>
      <w:r>
        <w:rPr>
          <w:rStyle w:val="FootnoteReference"/>
          <w:rFonts w:ascii="Calibri Light" w:hAnsi="Calibri Light" w:cs="Calibri Light"/>
          <w:color w:val="21145F"/>
        </w:rPr>
        <w:footnoteReference w:id="18"/>
      </w:r>
      <w:r w:rsidRPr="001D24F4">
        <w:rPr>
          <w:rFonts w:ascii="Calibri Light" w:hAnsi="Calibri Light" w:cs="Calibri Light"/>
          <w:color w:val="21145F"/>
        </w:rPr>
        <w:t xml:space="preserve"> However, due to improvement in recruitment numbers, this year the DfE removed eligibility for physics bursaries and scholarships for new international applicants.</w:t>
      </w: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Beyond physics, recruitment in other key feeder subjects for engineering and technology remains weak. DfE data shows that only 37% of the computing recruitment target and 40% of the D&amp;T target were met in 2024/25.</w:t>
      </w:r>
      <w:r>
        <w:rPr>
          <w:rStyle w:val="FootnoteReference"/>
          <w:rFonts w:ascii="Calibri Light" w:hAnsi="Calibri Light" w:cs="Calibri Light"/>
          <w:color w:val="21145F"/>
        </w:rPr>
        <w:footnoteReference w:id="19"/>
      </w: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 xml:space="preserve">Access to specialist STEM teachers is a key challenge facing government and the sector. It matters because it affects both teaching quality and pupil engagement. In EngineeringUK’s 2025 survey of 647 STEM teachers in England nearly a third reported </w:t>
      </w:r>
      <w:r w:rsidRPr="001D24F4">
        <w:rPr>
          <w:rFonts w:ascii="Calibri Light" w:hAnsi="Calibri Light" w:cs="Calibri Light"/>
          <w:color w:val="21145F"/>
        </w:rPr>
        <w:t>a vacancy in their department. Among those reporting vacancies, 81% said this had resulted in students being taught by non-specialist teachers.</w:t>
      </w:r>
      <w:r>
        <w:rPr>
          <w:rStyle w:val="FootnoteReference"/>
          <w:rFonts w:ascii="Calibri Light" w:hAnsi="Calibri Light" w:cs="Calibri Light"/>
          <w:color w:val="21145F"/>
        </w:rPr>
        <w:footnoteReference w:id="20"/>
      </w:r>
      <w:r w:rsidRPr="001D24F4">
        <w:rPr>
          <w:rFonts w:ascii="Calibri Light" w:hAnsi="Calibri Light" w:cs="Calibri Light"/>
          <w:color w:val="21145F"/>
        </w:rPr>
        <w:t xml:space="preserve"> NFER’s data on subject</w:t>
      </w:r>
      <w:r w:rsidRPr="001D24F4">
        <w:rPr>
          <w:rFonts w:ascii="Calibri Light" w:hAnsi="Calibri Light" w:cs="Calibri Light"/>
          <w:color w:val="21145F"/>
        </w:rPr>
        <w:noBreakHyphen/>
      </w:r>
      <w:r w:rsidRPr="001D24F4">
        <w:rPr>
          <w:rFonts w:ascii="Calibri Light" w:hAnsi="Calibri Light" w:cs="Calibri Light"/>
          <w:color w:val="21145F"/>
        </w:rPr>
        <w:t>specialist teaching similarly shows that subjects including physics and computing have lower proportions of subject specialists teaching them(physics around 72%; computing 82%) compared to subjects like PE and history (above 90%).</w:t>
      </w:r>
      <w:r>
        <w:rPr>
          <w:rStyle w:val="FootnoteReference"/>
          <w:rFonts w:ascii="Calibri Light" w:hAnsi="Calibri Light" w:cs="Calibri Light"/>
          <w:color w:val="21145F"/>
        </w:rPr>
        <w:footnoteReference w:id="21"/>
      </w:r>
      <w:r w:rsidRPr="001D24F4">
        <w:rPr>
          <w:rFonts w:ascii="Calibri Light" w:hAnsi="Calibri Light" w:cs="Calibri Light"/>
          <w:color w:val="21145F"/>
        </w:rPr>
        <w:t xml:space="preserve"> </w:t>
      </w: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Resource constraints can also limit schools’ abilities to provide practical activities. Evidence shows marked reductions in young people’s access to more interactive forms of practical science between 2016 and 2023.</w:t>
      </w:r>
      <w:r>
        <w:rPr>
          <w:rStyle w:val="FootnoteReference"/>
          <w:rFonts w:ascii="Calibri Light" w:hAnsi="Calibri Light" w:cs="Calibri Light"/>
          <w:color w:val="21145F"/>
        </w:rPr>
        <w:footnoteReference w:id="22"/>
      </w:r>
      <w:r w:rsidRPr="001D24F4">
        <w:rPr>
          <w:rFonts w:ascii="Calibri Light" w:hAnsi="Calibri Light" w:cs="Calibri Light"/>
          <w:color w:val="21145F"/>
        </w:rPr>
        <w:t xml:space="preserve"> Our STEM teacher survey supports this finding. 40% of teachers working in departments with STEM vacancies said that this had resulted in students receiving fewer hands-on practical lessons.</w:t>
      </w:r>
      <w:r>
        <w:rPr>
          <w:rStyle w:val="FootnoteReference"/>
          <w:rFonts w:ascii="Calibri Light" w:hAnsi="Calibri Light" w:cs="Calibri Light"/>
          <w:color w:val="21145F"/>
        </w:rPr>
        <w:footnoteReference w:id="23"/>
      </w:r>
      <w:r w:rsidRPr="001D24F4">
        <w:rPr>
          <w:rFonts w:ascii="Calibri Light" w:hAnsi="Calibri Light" w:cs="Calibri Light"/>
          <w:color w:val="21145F"/>
        </w:rPr>
        <w:t xml:space="preserve"> This is particularly concerning given the importance of practical learning in science education and the Gatsby Good Practical Science report recommends that pupils experience a practical activity in at least half of their lessons.</w:t>
      </w:r>
      <w:r>
        <w:rPr>
          <w:rStyle w:val="FootnoteReference"/>
          <w:rFonts w:ascii="Calibri Light" w:hAnsi="Calibri Light" w:cs="Calibri Light"/>
          <w:color w:val="21145F"/>
        </w:rPr>
        <w:footnoteReference w:id="24"/>
      </w:r>
      <w:r w:rsidRPr="001D24F4">
        <w:rPr>
          <w:rFonts w:ascii="Calibri Light" w:hAnsi="Calibri Light" w:cs="Calibri Light"/>
          <w:color w:val="21145F"/>
        </w:rPr>
        <w:t xml:space="preserve"> </w:t>
      </w: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The consequences of this can be particularly significant for girls, who remain persistently underrepresented in engineering and technology pathways. The Science Education Tracker found that slightly more girls (54%) than boys (50%) selected practical work as the factor most likely to encourage them to learn science at school.</w:t>
      </w:r>
      <w:r>
        <w:rPr>
          <w:rStyle w:val="FootnoteReference"/>
          <w:rFonts w:ascii="Calibri Light" w:hAnsi="Calibri Light" w:cs="Calibri Light"/>
          <w:color w:val="21145F"/>
        </w:rPr>
        <w:footnoteReference w:id="25"/>
      </w:r>
      <w:r w:rsidRPr="001D24F4">
        <w:rPr>
          <w:rFonts w:ascii="Calibri Light" w:eastAsia="Aptos" w:hAnsi="Calibri Light" w:cs="Calibri Light"/>
          <w:color w:val="21145F"/>
        </w:rPr>
        <w:t xml:space="preserve"> </w:t>
      </w:r>
      <w:r w:rsidRPr="001D24F4">
        <w:rPr>
          <w:rFonts w:ascii="Calibri Light" w:hAnsi="Calibri Light" w:cs="Calibri Light"/>
          <w:color w:val="21145F"/>
        </w:rPr>
        <w:t>The Tracker also found that girls are more sensitive to teaching quality than boys. At Key Stage 3, 40% of girls said a good teacher encouraged them to learn science, compared to 33% of boys. 23% of girls said they had been put off by their teachers compared to 16% of boys.</w:t>
      </w:r>
      <w:r>
        <w:rPr>
          <w:rStyle w:val="FootnoteReference"/>
          <w:rFonts w:ascii="Calibri Light" w:hAnsi="Calibri Light" w:cs="Calibri Light"/>
          <w:color w:val="21145F"/>
        </w:rPr>
        <w:footnoteReference w:id="26"/>
      </w:r>
      <w:r w:rsidRPr="001D24F4">
        <w:rPr>
          <w:rFonts w:ascii="Calibri Light" w:hAnsi="Calibri Light" w:cs="Calibri Light"/>
          <w:color w:val="21145F"/>
        </w:rPr>
        <w:t>This raises questions about whether reduced opportunities for practical hands-on minds-on science learning impacts on young women’s enjoyment of science as well as their subject choices.</w:t>
      </w: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 xml:space="preserve">The White Paper also rightly notes that access to high-quality teaching is not </w:t>
      </w:r>
      <w:r w:rsidRPr="001D24F4">
        <w:rPr>
          <w:rFonts w:ascii="Calibri Light" w:hAnsi="Calibri Light" w:cs="Calibri Light"/>
          <w:color w:val="21145F"/>
        </w:rPr>
        <w:t>equal,</w:t>
      </w:r>
      <w:r w:rsidRPr="001D24F4">
        <w:rPr>
          <w:rFonts w:ascii="Calibri Light" w:hAnsi="Calibri Light" w:cs="Calibri Light"/>
          <w:color w:val="21145F"/>
        </w:rPr>
        <w:t xml:space="preserve"> and this is evident in STEM education. Analysis by the Institute of Physics (IoP) shows that schools serving areas of high socio-economic deprivation are less likely to have specialist physics teachers and are more likely to rely on non-specialist teachers, who may not even be science teachers.</w:t>
      </w:r>
      <w:r>
        <w:rPr>
          <w:rStyle w:val="FootnoteReference"/>
          <w:rFonts w:ascii="Calibri Light" w:hAnsi="Calibri Light" w:cs="Calibri Light"/>
          <w:color w:val="21145F"/>
        </w:rPr>
        <w:footnoteReference w:id="27"/>
      </w:r>
      <w:r w:rsidRPr="001D24F4">
        <w:rPr>
          <w:rFonts w:ascii="Calibri Light" w:hAnsi="Calibri Light" w:cs="Calibri Light"/>
          <w:color w:val="21145F"/>
        </w:rPr>
        <w:t xml:space="preserve"> The lack of specialist teachers can also affect access to triple science GCSE. IoP analysis further demonstrates that almost 40% of schools where no students took triple science were in areas of high socio-economic deprivation. The Curriculum and Assessment Review’s (CAR) proposal to offer all pupils the entitlement to triple science will likely increase demand for more physics specialists. However, without sufficient specialists, inequalities in access to progression routes into post</w:t>
      </w:r>
      <w:r w:rsidRPr="001D24F4">
        <w:rPr>
          <w:rFonts w:ascii="Calibri Light" w:hAnsi="Calibri Light" w:cs="Calibri Light"/>
          <w:color w:val="21145F"/>
        </w:rPr>
        <w:noBreakHyphen/>
      </w:r>
      <w:r w:rsidRPr="001D24F4">
        <w:rPr>
          <w:rFonts w:ascii="Calibri Light" w:hAnsi="Calibri Light" w:cs="Calibri Light"/>
          <w:color w:val="21145F"/>
        </w:rPr>
        <w:t>16 science study and, ultimately, engineering and technology careers are likely to persist.</w:t>
      </w: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 xml:space="preserve">Government should therefore prioritise measures that attract specialist STEM teachers into the profession. DfE must go further to ensure there are enough </w:t>
      </w:r>
      <w:r w:rsidRPr="001D24F4">
        <w:rPr>
          <w:rFonts w:ascii="Calibri Light" w:hAnsi="Calibri Light" w:cs="Calibri Light"/>
          <w:color w:val="21145F"/>
        </w:rPr>
        <w:t>specialist STEM teachers, and that teachers can access training and resources to teach STEM subjects in an engaging, gender-inclusive way. NFER suggests that recent secondary recruitment improvements are likely to have been the result of bursary increases in those subjects. Our own research supports this. In our STEM teacher Report, when asked about the impact of the bursary in becoming a teacher, around three quarters (73%) said it had positively impacted their decision. 12% said they would not have consid</w:t>
      </w:r>
      <w:r w:rsidRPr="001D24F4">
        <w:rPr>
          <w:rFonts w:ascii="Calibri Light" w:hAnsi="Calibri Light" w:cs="Calibri Light"/>
          <w:color w:val="21145F"/>
        </w:rPr>
        <w:t>ered teaching without it and over a quarter (28%) said they would not have been able to become a teacher without it.</w:t>
      </w:r>
      <w:r>
        <w:rPr>
          <w:rStyle w:val="FootnoteReference"/>
          <w:rFonts w:ascii="Calibri Light" w:hAnsi="Calibri Light" w:cs="Calibri Light"/>
          <w:color w:val="21145F"/>
        </w:rPr>
        <w:footnoteReference w:id="28"/>
      </w:r>
      <w:r w:rsidRPr="001D24F4">
        <w:rPr>
          <w:rFonts w:ascii="Calibri Light" w:hAnsi="Calibri Light" w:cs="Calibri Light"/>
          <w:color w:val="21145F"/>
        </w:rPr>
        <w:t xml:space="preserve"> </w:t>
      </w:r>
    </w:p>
    <w:p w:rsidR="00DC2317" w:rsidRPr="001D24F4" w:rsidP="00046B77">
      <w:pPr>
        <w:spacing w:line="278" w:lineRule="auto"/>
        <w:rPr>
          <w:rFonts w:ascii="Calibri Light" w:hAnsi="Calibri Light" w:cs="Calibri Light"/>
          <w:color w:val="21145F"/>
        </w:rPr>
      </w:pPr>
      <w:r w:rsidRPr="001D24F4">
        <w:rPr>
          <w:rFonts w:ascii="Calibri Light" w:hAnsi="Calibri Light" w:cs="Calibri Light"/>
          <w:b/>
          <w:bCs/>
          <w:color w:val="21145F"/>
        </w:rPr>
        <w:t>Q2. Committee is interested to receive evidence on the effectiveness of proposed retention measures, including the new teacher retention programme and financial incentives for headteachers.</w:t>
      </w:r>
    </w:p>
    <w:p w:rsidR="00DC2317" w:rsidRPr="001D24F4" w:rsidP="00046B77">
      <w:pPr>
        <w:rPr>
          <w:rFonts w:ascii="Calibri Light" w:hAnsi="Calibri Light" w:cs="Calibri Light"/>
          <w:color w:val="21145F"/>
        </w:rPr>
      </w:pPr>
      <w:r w:rsidRPr="001D24F4">
        <w:rPr>
          <w:rFonts w:ascii="Calibri Light" w:hAnsi="Calibri Light" w:cs="Calibri Light"/>
          <w:color w:val="21145F"/>
        </w:rPr>
        <w:t xml:space="preserve">EngineeringUK broadly welcomes the proposed teacher retention measures set out in the White Paper. These focus on a new retention programme from autumn 2026, with actions to expand flexible working and peer support. We also welcome the commitment to improve maternity pay and make teaching a more inclusive profession. </w:t>
      </w:r>
    </w:p>
    <w:p w:rsidR="00DC2317" w:rsidRPr="001D24F4" w:rsidP="00046B77">
      <w:pPr>
        <w:rPr>
          <w:rFonts w:ascii="Calibri Light" w:hAnsi="Calibri Light" w:cs="Calibri Light"/>
          <w:b/>
          <w:bCs/>
          <w:color w:val="21145F"/>
        </w:rPr>
      </w:pPr>
      <w:r w:rsidRPr="001D24F4">
        <w:rPr>
          <w:rFonts w:ascii="Calibri Light" w:hAnsi="Calibri Light" w:cs="Calibri Light"/>
          <w:b/>
          <w:bCs/>
          <w:color w:val="21145F"/>
        </w:rPr>
        <w:t>EngineeringUK recommends that government:</w:t>
      </w:r>
    </w:p>
    <w:p w:rsidR="00DC2317" w:rsidRPr="001D24F4" w:rsidP="00046B77">
      <w:pPr>
        <w:pStyle w:val="ListParagraph"/>
        <w:numPr>
          <w:ilvl w:val="0"/>
          <w:numId w:val="6"/>
        </w:numPr>
        <w:spacing w:before="120" w:after="120" w:line="288" w:lineRule="auto"/>
        <w:rPr>
          <w:rFonts w:ascii="Calibri Light" w:hAnsi="Calibri Light" w:cs="Calibri Light"/>
          <w:b/>
          <w:bCs/>
          <w:color w:val="21145F"/>
        </w:rPr>
      </w:pPr>
      <w:r w:rsidRPr="001D24F4">
        <w:rPr>
          <w:rFonts w:ascii="Calibri Light" w:hAnsi="Calibri Light" w:cs="Calibri Light"/>
          <w:b/>
          <w:bCs/>
          <w:color w:val="21145F"/>
        </w:rPr>
        <w:t>Continues to strengthen measures that improve teacher retention, particularly in shortage STEM subjects where retaining experienced, specialist teachers is critical to ensuring young people have access to high-quality STEM learning</w:t>
      </w:r>
    </w:p>
    <w:p w:rsidR="00DC2317" w:rsidRPr="001D24F4" w:rsidP="00046B77">
      <w:pPr>
        <w:pStyle w:val="ListParagraph"/>
        <w:numPr>
          <w:ilvl w:val="0"/>
          <w:numId w:val="6"/>
        </w:numPr>
        <w:spacing w:before="120" w:after="120" w:line="288" w:lineRule="auto"/>
        <w:rPr>
          <w:rFonts w:ascii="Calibri Light" w:hAnsi="Calibri Light" w:cs="Calibri Light"/>
          <w:b/>
          <w:bCs/>
          <w:color w:val="21145F"/>
        </w:rPr>
      </w:pPr>
      <w:r w:rsidRPr="001D24F4">
        <w:rPr>
          <w:rFonts w:ascii="Calibri Light" w:hAnsi="Calibri Light" w:cs="Calibri Light"/>
          <w:b/>
          <w:bCs/>
          <w:color w:val="21145F"/>
        </w:rPr>
        <w:t>Continues to evaluate the impact of retention measures, including greater flexible working, to understand which approaches are most effective in improving retention</w:t>
      </w:r>
    </w:p>
    <w:p w:rsidR="00DC2317" w:rsidRPr="001D24F4" w:rsidP="00046B77">
      <w:pPr>
        <w:pStyle w:val="ListParagraph"/>
        <w:numPr>
          <w:ilvl w:val="0"/>
          <w:numId w:val="6"/>
        </w:numPr>
        <w:spacing w:before="120" w:after="120" w:line="288" w:lineRule="auto"/>
        <w:rPr>
          <w:rFonts w:ascii="Calibri Light" w:hAnsi="Calibri Light" w:cs="Calibri Light"/>
          <w:b/>
          <w:bCs/>
          <w:color w:val="21145F"/>
        </w:rPr>
      </w:pPr>
      <w:r w:rsidRPr="001D24F4">
        <w:rPr>
          <w:rFonts w:ascii="Calibri Light" w:hAnsi="Calibri Light" w:cs="Calibri Light"/>
          <w:b/>
          <w:bCs/>
          <w:color w:val="21145F"/>
        </w:rPr>
        <w:t>Ensures that retention measures are fully integrated with wider education and skills reforms</w:t>
      </w:r>
    </w:p>
    <w:p w:rsidR="00DC2317" w:rsidRPr="001D24F4" w:rsidP="00046B77">
      <w:pPr>
        <w:pStyle w:val="ListParagraph"/>
        <w:rPr>
          <w:rFonts w:ascii="Calibri Light" w:hAnsi="Calibri Light" w:cs="Calibri Light"/>
          <w:b/>
          <w:bCs/>
          <w:color w:val="21145F"/>
        </w:rPr>
      </w:pP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Recent evidence shows improved teacher retention. NFER reported that teacher leaving rates fell to 9% between 2023/24 and 2024/25, down from 10.6% a decade earlier. The first</w:t>
      </w:r>
      <w:r w:rsidRPr="001D24F4">
        <w:rPr>
          <w:rFonts w:ascii="Calibri Light" w:hAnsi="Calibri Light" w:cs="Calibri Light"/>
          <w:color w:val="21145F"/>
        </w:rPr>
        <w:noBreakHyphen/>
        <w:t>year Early Career Teacher exit rate is also at its lowest on record (10.3%).</w:t>
      </w:r>
      <w:r>
        <w:rPr>
          <w:rStyle w:val="FootnoteReference"/>
          <w:rFonts w:ascii="Calibri Light" w:hAnsi="Calibri Light" w:cs="Calibri Light"/>
          <w:color w:val="21145F"/>
        </w:rPr>
        <w:footnoteReference w:id="29"/>
      </w:r>
      <w:r w:rsidRPr="001D24F4">
        <w:rPr>
          <w:rFonts w:ascii="Calibri Light" w:hAnsi="Calibri Light" w:cs="Calibri Light"/>
          <w:color w:val="21145F"/>
        </w:rPr>
        <w:t xml:space="preserve"> The rationale for continuing focus on measures to improve retention is clear. Despite improvements, the White Paper notes that around three in ten teachers and leaders were considering leaving the state-funded school sector in the next 12 months. Most cited stress, poor wellbeing and high workload as contributing to this. EngineeringUK’s teacher survey suggests that these pressures are felt acutely amongst STEM teachers. Over a third either did not see themselves (19%) or did not know if they saw themselve</w:t>
      </w:r>
      <w:r w:rsidRPr="001D24F4">
        <w:rPr>
          <w:rFonts w:ascii="Calibri Light" w:hAnsi="Calibri Light" w:cs="Calibri Light"/>
          <w:color w:val="21145F"/>
        </w:rPr>
        <w:t>s (19%) still teaching in 5 years’ time.</w:t>
      </w:r>
      <w:r>
        <w:rPr>
          <w:rStyle w:val="FootnoteReference"/>
          <w:rFonts w:ascii="Calibri Light" w:hAnsi="Calibri Light" w:cs="Calibri Light"/>
          <w:color w:val="21145F"/>
        </w:rPr>
        <w:footnoteReference w:id="30"/>
      </w:r>
      <w:r w:rsidRPr="001D24F4">
        <w:rPr>
          <w:rFonts w:ascii="Calibri Light" w:hAnsi="Calibri Light" w:cs="Calibri Light"/>
          <w:color w:val="21145F"/>
        </w:rPr>
        <w:t xml:space="preserve"> Many cited stress, lack of support and behaviour issues as reasons for considering leaving. </w:t>
      </w: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We broadly welcome the White Paper’s focus on exploring greater flexible working. Research commissioned by the Education Endowment Foundation found considerable evidence that flexible working can support teachers’ job satisfaction, wellbeing and may improve retention and workforce stability.</w:t>
      </w:r>
      <w:r>
        <w:rPr>
          <w:rStyle w:val="FootnoteReference"/>
          <w:rFonts w:ascii="Calibri Light" w:hAnsi="Calibri Light" w:cs="Calibri Light"/>
          <w:color w:val="21145F"/>
        </w:rPr>
        <w:footnoteReference w:id="31"/>
      </w:r>
      <w:r w:rsidRPr="001D24F4">
        <w:rPr>
          <w:rFonts w:ascii="Calibri Light" w:hAnsi="Calibri Light" w:cs="Calibri Light"/>
          <w:color w:val="21145F"/>
        </w:rPr>
        <w:t xml:space="preserve"> The review also identified a need for further evaluation of the impact of flexible working. </w:t>
      </w:r>
      <w:r w:rsidRPr="001D24F4">
        <w:rPr>
          <w:rFonts w:ascii="Calibri Light" w:hAnsi="Calibri Light" w:cs="Calibri Light"/>
          <w:color w:val="21145F"/>
        </w:rPr>
        <w:t>Furthermore, DfE’s latest survey on the working lives of teachers shows that lack of flexible working opportunities is ranked 10</w:t>
      </w:r>
      <w:r w:rsidRPr="001D24F4">
        <w:rPr>
          <w:rFonts w:ascii="Calibri Light" w:hAnsi="Calibri Light" w:cs="Calibri Light"/>
          <w:color w:val="21145F"/>
          <w:vertAlign w:val="superscript"/>
        </w:rPr>
        <w:t>th</w:t>
      </w:r>
      <w:r w:rsidRPr="001D24F4">
        <w:rPr>
          <w:rFonts w:ascii="Calibri Light" w:hAnsi="Calibri Light" w:cs="Calibri Light"/>
          <w:color w:val="21145F"/>
        </w:rPr>
        <w:t xml:space="preserve"> in the list of 17 reasons for considering leaving teaching. It is ranked 12</w:t>
      </w:r>
      <w:r w:rsidRPr="001D24F4">
        <w:rPr>
          <w:rFonts w:ascii="Calibri Light" w:hAnsi="Calibri Light" w:cs="Calibri Light"/>
          <w:color w:val="21145F"/>
          <w:vertAlign w:val="superscript"/>
        </w:rPr>
        <w:t>th</w:t>
      </w:r>
      <w:r w:rsidRPr="001D24F4">
        <w:rPr>
          <w:rFonts w:ascii="Calibri Light" w:hAnsi="Calibri Light" w:cs="Calibri Light"/>
          <w:color w:val="21145F"/>
        </w:rPr>
        <w:t xml:space="preserve"> for those already left.</w:t>
      </w:r>
      <w:r>
        <w:rPr>
          <w:rStyle w:val="FootnoteReference"/>
          <w:rFonts w:ascii="Calibri Light" w:hAnsi="Calibri Light" w:cs="Calibri Light"/>
          <w:color w:val="21145F"/>
        </w:rPr>
        <w:footnoteReference w:id="32"/>
      </w:r>
      <w:r w:rsidRPr="001D24F4">
        <w:rPr>
          <w:rFonts w:ascii="Calibri Light" w:hAnsi="Calibri Light" w:cs="Calibri Light"/>
          <w:color w:val="21145F"/>
        </w:rPr>
        <w:t xml:space="preserve"> Government should therefore continue to monitor the effectiveness of any flexible working measures on improving retention as they are implemented.</w:t>
      </w: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We agree with NFER's assessment that efforts to reduce workload cannot be considered separately from the wider programme of education reform.</w:t>
      </w:r>
      <w:r>
        <w:rPr>
          <w:rStyle w:val="FootnoteReference"/>
          <w:rFonts w:ascii="Calibri Light" w:hAnsi="Calibri Light" w:cs="Calibri Light"/>
          <w:color w:val="21145F"/>
        </w:rPr>
        <w:footnoteReference w:id="33"/>
      </w:r>
      <w:r w:rsidRPr="001D24F4">
        <w:rPr>
          <w:rFonts w:ascii="Calibri Light" w:hAnsi="Calibri Light" w:cs="Calibri Light"/>
          <w:color w:val="21145F"/>
        </w:rPr>
        <w:t xml:space="preserve"> This aligns with the IoP’s recent recommendation that teacher shortages should be addressed through a long-term strategy spanning retention, recruitment and retraining.</w:t>
      </w:r>
      <w:r>
        <w:rPr>
          <w:rStyle w:val="FootnoteReference"/>
          <w:rFonts w:ascii="Calibri Light" w:hAnsi="Calibri Light" w:cs="Calibri Light"/>
          <w:color w:val="21145F"/>
        </w:rPr>
        <w:footnoteReference w:id="34"/>
      </w:r>
      <w:r w:rsidRPr="001D24F4">
        <w:rPr>
          <w:rFonts w:ascii="Calibri Light" w:hAnsi="Calibri Light" w:cs="Calibri Light"/>
          <w:color w:val="21145F"/>
        </w:rPr>
        <w:t xml:space="preserve"> Wider reforms within education and skills all have the potential to increase workload and worsen retention if not carefully implemented in a holistic manner. NFER has therefore recommended that government should ensure that its retention measures are accompanied by a workload reduction strategy that is fully integrated with the wider policy reform agenda. </w:t>
      </w:r>
    </w:p>
    <w:p w:rsidR="00DC2317" w:rsidRPr="001D24F4" w:rsidP="00046B77">
      <w:pPr>
        <w:rPr>
          <w:rFonts w:ascii="Calibri Light" w:hAnsi="Calibri Light" w:cs="Calibri Light"/>
          <w:b/>
          <w:bCs/>
          <w:color w:val="21145F"/>
        </w:rPr>
      </w:pPr>
      <w:r w:rsidRPr="001D24F4">
        <w:rPr>
          <w:rFonts w:ascii="Calibri Light" w:hAnsi="Calibri Light" w:cs="Calibri Light"/>
          <w:b/>
          <w:bCs/>
          <w:color w:val="21145F"/>
        </w:rPr>
        <w:t>Q3. Committee is interested to receive evidence on the availability and quality of continuous professional development, mentoring, and leadership support.</w:t>
      </w:r>
    </w:p>
    <w:p w:rsidR="00DC2317" w:rsidRPr="001D24F4" w:rsidP="00046B77">
      <w:pPr>
        <w:spacing w:line="278" w:lineRule="auto"/>
        <w:rPr>
          <w:rFonts w:ascii="Calibri Light" w:hAnsi="Calibri Light" w:cs="Calibri Light"/>
          <w:color w:val="21145F"/>
        </w:rPr>
      </w:pPr>
      <w:r w:rsidRPr="001D24F4">
        <w:rPr>
          <w:rFonts w:ascii="Calibri Light" w:hAnsi="Calibri Light" w:cs="Calibri Light"/>
          <w:color w:val="21145F"/>
        </w:rPr>
        <w:t xml:space="preserve">The White Paper’s commitment to giving teachers the training they need through a new and improved Teacher Training Entitlement (TTE) is welcome. We also welcome the commitment that the TTE will evolve over time to ensure teachers continue to be supported to adopt evidence-based approaches to professional development. </w:t>
      </w:r>
    </w:p>
    <w:p w:rsidR="00DC2317" w:rsidRPr="001D24F4" w:rsidP="00046B77">
      <w:pPr>
        <w:spacing w:line="278" w:lineRule="auto"/>
        <w:rPr>
          <w:rFonts w:ascii="Calibri Light" w:hAnsi="Calibri Light" w:cs="Calibri Light"/>
          <w:b/>
          <w:color w:val="21145F"/>
        </w:rPr>
      </w:pPr>
      <w:r w:rsidRPr="001D24F4">
        <w:rPr>
          <w:rFonts w:ascii="Calibri Light" w:hAnsi="Calibri Light" w:cs="Calibri Light"/>
          <w:b/>
          <w:color w:val="21145F"/>
        </w:rPr>
        <w:t>EngineeringUK recommends that government:</w:t>
      </w:r>
    </w:p>
    <w:p w:rsidR="00DC2317" w:rsidRPr="001D24F4" w:rsidP="00046B77">
      <w:pPr>
        <w:pStyle w:val="ListParagraph"/>
        <w:numPr>
          <w:ilvl w:val="0"/>
          <w:numId w:val="7"/>
        </w:numPr>
        <w:spacing w:before="120" w:after="120" w:line="288" w:lineRule="auto"/>
        <w:rPr>
          <w:rFonts w:ascii="Calibri Light" w:hAnsi="Calibri Light" w:cs="Calibri Light"/>
          <w:b/>
          <w:bCs/>
          <w:color w:val="21145F"/>
        </w:rPr>
      </w:pPr>
      <w:r w:rsidRPr="001D24F4">
        <w:rPr>
          <w:rFonts w:ascii="Calibri Light" w:hAnsi="Calibri Light" w:cs="Calibri Light"/>
          <w:b/>
          <w:bCs/>
          <w:color w:val="21145F"/>
        </w:rPr>
        <w:t>Sets out how it will maintain access to high-quality STEM-specific CPD as the TTE is implemented, including reversing recent cuts to STEM CPD funding</w:t>
      </w:r>
    </w:p>
    <w:p w:rsidR="00DC2317" w:rsidRPr="001D24F4" w:rsidP="00046B77">
      <w:pPr>
        <w:pStyle w:val="ListParagraph"/>
        <w:numPr>
          <w:ilvl w:val="0"/>
          <w:numId w:val="7"/>
        </w:numPr>
        <w:spacing w:before="120" w:after="120" w:line="288" w:lineRule="auto"/>
        <w:rPr>
          <w:rFonts w:ascii="Calibri Light" w:hAnsi="Calibri Light" w:cs="Calibri Light"/>
          <w:b/>
          <w:bCs/>
          <w:color w:val="21145F"/>
        </w:rPr>
      </w:pPr>
      <w:r w:rsidRPr="001D24F4">
        <w:rPr>
          <w:rFonts w:ascii="Calibri Light" w:hAnsi="Calibri Light" w:cs="Calibri Light"/>
          <w:b/>
          <w:bCs/>
          <w:color w:val="21145F"/>
        </w:rPr>
        <w:t>Ensures that CPD and leadership development equip teachers and leaders to deliver STEM education in inclusive and engaging ways</w:t>
      </w:r>
    </w:p>
    <w:p w:rsidR="00DC2317" w:rsidRPr="001D24F4" w:rsidP="00046B77">
      <w:pPr>
        <w:pStyle w:val="ListParagraph"/>
        <w:numPr>
          <w:ilvl w:val="0"/>
          <w:numId w:val="7"/>
        </w:numPr>
        <w:spacing w:before="120" w:after="120" w:line="288" w:lineRule="auto"/>
        <w:rPr>
          <w:rFonts w:ascii="Calibri Light" w:hAnsi="Calibri Light" w:cs="Calibri Light"/>
          <w:b/>
          <w:bCs/>
          <w:color w:val="21145F"/>
        </w:rPr>
      </w:pPr>
      <w:r w:rsidRPr="001D24F4">
        <w:rPr>
          <w:rFonts w:ascii="Calibri Light" w:hAnsi="Calibri Light" w:cs="Calibri Light"/>
          <w:b/>
          <w:bCs/>
          <w:color w:val="21145F"/>
        </w:rPr>
        <w:t>Ensures that teachers, careers leaders and careers advisers have up-to-date knowledge of modern engineering and technology careers</w:t>
      </w:r>
    </w:p>
    <w:p w:rsidR="00DC2317" w:rsidRPr="001D24F4" w:rsidP="00046B77">
      <w:pPr>
        <w:pStyle w:val="ListParagraph"/>
        <w:rPr>
          <w:rFonts w:ascii="Calibri Light" w:hAnsi="Calibri Light" w:cs="Calibri Light"/>
          <w:b/>
          <w:bCs/>
          <w:color w:val="21145F"/>
        </w:rPr>
      </w:pP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For STEM subjects, high-quality, subject-specific CPD is particularly important. As outlined in paragraph 14, many young people in key feeder subjects for engineering and technology are taught by teachers without relevant post-A level qualifications. STEM-specific CPD can help address subject knowledge gaps, particularly where teachers are working outside their specialist subject. It can also support all STEM teachers to deliver high-quality, engaging and up-to-date STEM learning. Furthermore, evidence comm</w:t>
      </w:r>
      <w:r w:rsidRPr="001D24F4">
        <w:rPr>
          <w:rFonts w:ascii="Calibri Light" w:hAnsi="Calibri Light" w:cs="Calibri Light"/>
          <w:color w:val="21145F"/>
        </w:rPr>
        <w:t>issioned by Wellcome found that</w:t>
      </w:r>
      <w:r w:rsidRPr="001D24F4">
        <w:rPr>
          <w:rFonts w:ascii="Calibri Light" w:hAnsi="Calibri Light" w:cs="Calibri Light"/>
          <w:b/>
          <w:color w:val="21145F"/>
        </w:rPr>
        <w:t xml:space="preserve"> </w:t>
      </w:r>
      <w:r w:rsidRPr="001D24F4">
        <w:rPr>
          <w:rFonts w:ascii="Calibri Light" w:hAnsi="Calibri Light" w:cs="Calibri Light"/>
          <w:color w:val="21145F"/>
        </w:rPr>
        <w:t>providing STEM-specific CPD increased the odds of STEM teachers remaining in the profession the following year by 160%, demonstrating that it can also support retention.</w:t>
      </w:r>
      <w:r>
        <w:rPr>
          <w:rStyle w:val="FootnoteReference"/>
          <w:rFonts w:ascii="Calibri Light" w:hAnsi="Calibri Light" w:cs="Calibri Light"/>
          <w:color w:val="21145F"/>
        </w:rPr>
        <w:footnoteReference w:id="35"/>
      </w: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 xml:space="preserve">EngineeringUK was therefore concerned by the </w:t>
      </w:r>
      <w:r w:rsidRPr="001D24F4">
        <w:rPr>
          <w:rFonts w:ascii="Calibri Light" w:hAnsi="Calibri Light" w:cs="Calibri Light"/>
          <w:color w:val="21145F"/>
          <w:lang w:val="en-US"/>
        </w:rPr>
        <w:t xml:space="preserve">DfE’s decision to cut its funding of STEM-specific CPD for teachers. </w:t>
      </w:r>
      <w:r w:rsidRPr="001D24F4">
        <w:rPr>
          <w:rFonts w:ascii="Calibri Light" w:hAnsi="Calibri Light" w:cs="Calibri Light"/>
          <w:color w:val="21145F"/>
        </w:rPr>
        <w:t>Given continuing pressures on school budgets, there is a risk that access to specialist STEM CPD will become more limited at a time when demand is growing.</w:t>
      </w:r>
      <w:r w:rsidRPr="001D24F4">
        <w:rPr>
          <w:rFonts w:ascii="Calibri Light" w:eastAsia="Times New Roman" w:hAnsi="Calibri Light" w:cs="Calibri Light"/>
          <w:color w:val="21145F"/>
          <w:sz w:val="21"/>
          <w:szCs w:val="21"/>
        </w:rPr>
        <w:t xml:space="preserve"> </w:t>
      </w:r>
      <w:r w:rsidRPr="001D24F4">
        <w:rPr>
          <w:rFonts w:ascii="Calibri Light" w:hAnsi="Calibri Light" w:cs="Calibri Light"/>
          <w:color w:val="21145F"/>
        </w:rPr>
        <w:t xml:space="preserve">While the White Paper includes significant investment in professional development, including more than £200 million over three years for SEND CPD, it remains unclear how access to subject-specific STEM CPD will be maintained. Government should set out how access to high-quality STEM CPD will be maintained as the Teacher Training Entitlement is rolled out. </w:t>
      </w: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lang w:val="en-US"/>
        </w:rPr>
        <w:t>As outlined in paragraphs 4 and 6, gender gaps emerge during education and girls report lower awareness of the variety of engineering careers, and show signs of lower confidence, compared to boys. This is despite good attainment in engineering and technology-related subjects. Sexism, stereotypes and misogyny can play into this.</w:t>
      </w:r>
      <w:r w:rsidRPr="001D24F4">
        <w:rPr>
          <w:rFonts w:ascii="Calibri Light" w:hAnsi="Calibri Light" w:cs="Calibri Light"/>
          <w:color w:val="21145F"/>
        </w:rPr>
        <w:t xml:space="preserve"> A 2025 survey found that 43% of girls aged 11 to 16 expected it would be hard to progress in male-dominated industries. This rose to 66% among 17- to 21-year-olds.</w:t>
      </w:r>
      <w:r>
        <w:rPr>
          <w:rStyle w:val="FootnoteReference"/>
          <w:rFonts w:ascii="Calibri Light" w:hAnsi="Calibri Light" w:cs="Calibri Light"/>
          <w:color w:val="21145F"/>
        </w:rPr>
        <w:footnoteReference w:id="36"/>
      </w:r>
      <w:r w:rsidRPr="001D24F4">
        <w:rPr>
          <w:rFonts w:ascii="Calibri Light" w:hAnsi="Calibri Light" w:cs="Calibri Light"/>
          <w:color w:val="21145F"/>
        </w:rPr>
        <w:t xml:space="preserve"> In its forthcoming Blueprint for Action, the </w:t>
      </w:r>
      <w:r>
        <w:fldChar w:fldCharType="begin"/>
      </w:r>
      <w:r>
        <w:instrText xml:space="preserve"> HYPERLINK "https://www.engineeringuk.com/driving-change/growing-the-future-workforce/gender-pathways-into-engineering-and-technology/response-to-the-curriculum-and-assessment-review/" </w:instrText>
      </w:r>
      <w:r>
        <w:fldChar w:fldCharType="separate"/>
      </w:r>
      <w:r w:rsidRPr="00F01CBF">
        <w:rPr>
          <w:rStyle w:val="Hyperlink"/>
          <w:rFonts w:ascii="Calibri Light" w:hAnsi="Calibri Light" w:cs="Calibri Light"/>
        </w:rPr>
        <w:t>Gender Pathways Collective</w:t>
      </w:r>
      <w:r>
        <w:fldChar w:fldCharType="end"/>
      </w:r>
      <w:r w:rsidRPr="001D24F4">
        <w:rPr>
          <w:rFonts w:ascii="Calibri Light" w:hAnsi="Calibri Light" w:cs="Calibri Light"/>
          <w:color w:val="21145F"/>
        </w:rPr>
        <w:t xml:space="preserve"> therefore highlights the importance of initial teacher training, leadership development and ongoing CPD that enables teachers and leaders to recognise and challenge gender stereotypes, sexism and misogyny. </w:t>
      </w:r>
      <w:r w:rsidRPr="001D24F4">
        <w:rPr>
          <w:rFonts w:ascii="Calibri Light" w:hAnsi="Calibri Light" w:cs="Calibri Light"/>
          <w:color w:val="21145F"/>
          <w:lang w:val="en-US"/>
        </w:rPr>
        <w:t>This should include supporting teachers to adopt more equitable pedagogical approaches, including unconscious bias training.</w:t>
      </w: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CPD should also ensure that teachers, careers leaders and advisers have up-to-date knowledge of modern engineering and technology careers. This includes supporting girls and other underrepresented groups to understand the range of routes into engineering and technology and ensuring that careers advice is free from bias. This is important for improving participation amongst groups currently underrepresented. In an EngineeringUK survey, 30% of school and college careers leads reported that female students hav</w:t>
      </w:r>
      <w:r w:rsidRPr="001D24F4">
        <w:rPr>
          <w:rFonts w:ascii="Calibri Light" w:hAnsi="Calibri Light" w:cs="Calibri Light"/>
          <w:color w:val="21145F"/>
        </w:rPr>
        <w:t>e a lower take-up of STEM-related careers activities compared to their peers.</w:t>
      </w:r>
      <w:r>
        <w:rPr>
          <w:rStyle w:val="FootnoteReference"/>
          <w:rFonts w:ascii="Calibri Light" w:hAnsi="Calibri Light" w:cs="Calibri Light"/>
          <w:color w:val="21145F"/>
        </w:rPr>
        <w:footnoteReference w:id="37"/>
      </w:r>
      <w:r w:rsidRPr="001D24F4">
        <w:rPr>
          <w:rStyle w:val="FootnoteReference"/>
          <w:rFonts w:ascii="Calibri Light" w:hAnsi="Calibri Light" w:cs="Calibri Light"/>
          <w:color w:val="21145F"/>
        </w:rPr>
        <w:t xml:space="preserve"> </w:t>
      </w:r>
      <w:r w:rsidRPr="001D24F4">
        <w:rPr>
          <w:rFonts w:ascii="Calibri Light" w:hAnsi="Calibri Light" w:cs="Calibri Light"/>
          <w:color w:val="21145F"/>
        </w:rPr>
        <w:t>Girls also generally score lower than boys in terms of their career readiness.</w:t>
      </w:r>
      <w:r>
        <w:rPr>
          <w:rStyle w:val="FootnoteReference"/>
          <w:rFonts w:ascii="Calibri Light" w:hAnsi="Calibri Light" w:cs="Calibri Light"/>
          <w:color w:val="21145F"/>
        </w:rPr>
        <w:footnoteReference w:id="38"/>
      </w:r>
      <w:r w:rsidRPr="001D24F4">
        <w:rPr>
          <w:rFonts w:ascii="Calibri Light" w:hAnsi="Calibri Light" w:cs="Calibri Light"/>
          <w:color w:val="21145F"/>
        </w:rPr>
        <w:t xml:space="preserve"> The Gender Pathways Collective therefore asks the DfE to work with other relevant departments to ensure gender-equitable delivery of engineering and technology careers guidance, enrichment and work experience to combat this.</w:t>
      </w:r>
    </w:p>
    <w:p w:rsidR="00DC2317" w:rsidRPr="001D24F4" w:rsidP="00046B77">
      <w:pPr>
        <w:pStyle w:val="ListParagraph"/>
        <w:ind w:left="1440"/>
        <w:rPr>
          <w:rFonts w:ascii="Calibri Light" w:hAnsi="Calibri Light" w:cs="Calibri Light"/>
          <w:color w:val="21145F"/>
        </w:rPr>
      </w:pPr>
    </w:p>
    <w:p w:rsidR="00DC2317" w:rsidRPr="001D24F4">
      <w:pPr>
        <w:spacing w:line="278" w:lineRule="auto"/>
        <w:rPr>
          <w:rFonts w:ascii="Calibri Light" w:hAnsi="Calibri Light" w:cs="Calibri Light"/>
          <w:b/>
          <w:bCs/>
          <w:color w:val="21145F"/>
          <w:sz w:val="28"/>
          <w:szCs w:val="28"/>
        </w:rPr>
      </w:pPr>
      <w:r w:rsidRPr="001D24F4">
        <w:rPr>
          <w:rFonts w:ascii="Calibri Light" w:hAnsi="Calibri Light" w:cs="Calibri Light"/>
          <w:color w:val="21145F"/>
        </w:rPr>
        <w:br w:type="page"/>
      </w:r>
    </w:p>
    <w:p w:rsidR="00DC2317" w:rsidRPr="001D24F4" w:rsidP="00046B77">
      <w:pPr>
        <w:pStyle w:val="EUKH2Title"/>
        <w:rPr>
          <w:rFonts w:ascii="Calibri Light" w:hAnsi="Calibri Light" w:cs="Calibri Light"/>
          <w:color w:val="21145F"/>
        </w:rPr>
      </w:pPr>
      <w:r w:rsidRPr="001D24F4">
        <w:rPr>
          <w:rFonts w:ascii="Calibri Light" w:hAnsi="Calibri Light" w:cs="Calibri Light"/>
          <w:color w:val="21145F"/>
        </w:rPr>
        <w:t>Raising attainment</w:t>
      </w:r>
    </w:p>
    <w:p w:rsidR="00DC2317" w:rsidRPr="001D24F4" w:rsidP="00046B77">
      <w:pPr>
        <w:rPr>
          <w:rFonts w:ascii="Calibri Light" w:hAnsi="Calibri Light" w:cs="Calibri Light"/>
          <w:b/>
          <w:bCs/>
          <w:color w:val="21145F"/>
        </w:rPr>
      </w:pPr>
      <w:r w:rsidRPr="001D24F4">
        <w:rPr>
          <w:rFonts w:ascii="Calibri Light" w:hAnsi="Calibri Light" w:cs="Calibri Light"/>
          <w:b/>
          <w:bCs/>
          <w:color w:val="21145F"/>
        </w:rPr>
        <w:t>Committee is seeking evidence on:</w:t>
      </w:r>
    </w:p>
    <w:p w:rsidR="00DC2317" w:rsidRPr="001D24F4" w:rsidP="00046B77">
      <w:pPr>
        <w:rPr>
          <w:rFonts w:ascii="Calibri Light" w:hAnsi="Calibri Light" w:cs="Calibri Light"/>
          <w:b/>
          <w:bCs/>
          <w:color w:val="21145F"/>
        </w:rPr>
      </w:pPr>
      <w:r w:rsidRPr="001D24F4">
        <w:rPr>
          <w:rFonts w:ascii="Calibri Light" w:hAnsi="Calibri Light" w:cs="Calibri Light"/>
          <w:b/>
          <w:bCs/>
          <w:color w:val="21145F"/>
        </w:rPr>
        <w:t>Q1. The proposed reforms to accountability measures, including Progress 8, Attainment 8, and new measures for low and high attainers.</w:t>
      </w:r>
    </w:p>
    <w:p w:rsidR="00DC2317" w:rsidRPr="001D24F4" w:rsidP="00046B77">
      <w:pPr>
        <w:rPr>
          <w:rFonts w:ascii="Calibri Light" w:hAnsi="Calibri Light" w:cs="Calibri Light"/>
          <w:b/>
          <w:bCs/>
          <w:color w:val="21145F"/>
        </w:rPr>
      </w:pPr>
      <w:r w:rsidRPr="001D24F4">
        <w:rPr>
          <w:rFonts w:ascii="Calibri Light" w:hAnsi="Calibri Light" w:cs="Calibri Light"/>
          <w:b/>
          <w:bCs/>
          <w:color w:val="21145F"/>
        </w:rPr>
        <w:t>Q2. Whether changes to accountability measures will support a broad and balanced curriculum.</w:t>
      </w:r>
    </w:p>
    <w:p w:rsidR="00DC2317" w:rsidRPr="001D24F4" w:rsidP="00046B77">
      <w:pPr>
        <w:spacing w:line="278" w:lineRule="auto"/>
        <w:rPr>
          <w:rFonts w:ascii="Calibri Light" w:hAnsi="Calibri Light" w:cs="Calibri Light"/>
          <w:color w:val="21145F"/>
        </w:rPr>
      </w:pPr>
      <w:r w:rsidRPr="001D24F4">
        <w:rPr>
          <w:rFonts w:ascii="Calibri Light" w:hAnsi="Calibri Light" w:cs="Calibri Light"/>
          <w:color w:val="21145F"/>
        </w:rPr>
        <w:t xml:space="preserve">EngineeringUK welcomes the White Paper’s ambition to support a broader educational experience for young people. In </w:t>
      </w:r>
      <w:r>
        <w:fldChar w:fldCharType="begin"/>
      </w:r>
      <w:r>
        <w:instrText xml:space="preserve"> HYPERLINK "https://www.engineeringuk.com/driving-change/growing-the-future-workforce/gender-pathways-into-engineering-and-technology/response-to-the-curriculum-and-assessment-review/" </w:instrText>
      </w:r>
      <w:r>
        <w:fldChar w:fldCharType="separate"/>
      </w:r>
      <w:r w:rsidRPr="00F857A9">
        <w:rPr>
          <w:rStyle w:val="Hyperlink"/>
          <w:rFonts w:ascii="Calibri Light" w:hAnsi="Calibri Light" w:cs="Calibri Light"/>
        </w:rPr>
        <w:t>our response to the Curriculum and Assessment Review</w:t>
      </w:r>
      <w:r>
        <w:fldChar w:fldCharType="end"/>
      </w:r>
      <w:r w:rsidRPr="001D24F4">
        <w:rPr>
          <w:rFonts w:ascii="Calibri Light" w:hAnsi="Calibri Light" w:cs="Calibri Light"/>
          <w:color w:val="21145F"/>
        </w:rPr>
        <w:t xml:space="preserve"> (CAR), we highlighted concerns that performance measures, including the EBacc, have encouraged a focus on a relatively narrow set of academic qualifications. Accountability measures influence curriculum design, subject availability and pupil option choices, but through this they should support access to a broad and balanced curriculum. The CAR identified similar concerns about the impact of accountability measures, including the EBacc, and the government subsequently proposed to remove the EBacc performanc</w:t>
      </w:r>
      <w:r w:rsidRPr="001D24F4">
        <w:rPr>
          <w:rFonts w:ascii="Calibri Light" w:hAnsi="Calibri Light" w:cs="Calibri Light"/>
          <w:color w:val="21145F"/>
        </w:rPr>
        <w:t xml:space="preserve">e measure.  </w:t>
      </w:r>
    </w:p>
    <w:p w:rsidR="00DC2317" w:rsidRPr="001D24F4" w:rsidP="00046B77">
      <w:pPr>
        <w:spacing w:line="278" w:lineRule="auto"/>
        <w:rPr>
          <w:rFonts w:ascii="Calibri Light" w:hAnsi="Calibri Light" w:cs="Calibri Light"/>
          <w:b/>
          <w:bCs/>
          <w:color w:val="21145F"/>
        </w:rPr>
      </w:pPr>
      <w:r w:rsidRPr="001D24F4">
        <w:rPr>
          <w:rFonts w:ascii="Calibri Light" w:hAnsi="Calibri Light" w:cs="Calibri Light"/>
          <w:b/>
          <w:bCs/>
          <w:color w:val="21145F"/>
        </w:rPr>
        <w:t>EngineeringUK recommends that government:</w:t>
      </w:r>
    </w:p>
    <w:p w:rsidR="00DC2317" w:rsidRPr="001D24F4" w:rsidP="00046B77">
      <w:pPr>
        <w:pStyle w:val="ListParagraph"/>
        <w:numPr>
          <w:ilvl w:val="0"/>
          <w:numId w:val="8"/>
        </w:numPr>
        <w:spacing w:before="120" w:after="120" w:line="288" w:lineRule="auto"/>
        <w:rPr>
          <w:rFonts w:ascii="Calibri Light" w:hAnsi="Calibri Light" w:cs="Calibri Light"/>
          <w:b/>
          <w:bCs/>
          <w:color w:val="21145F"/>
        </w:rPr>
      </w:pPr>
      <w:r w:rsidRPr="001D24F4">
        <w:rPr>
          <w:rFonts w:ascii="Calibri Light" w:hAnsi="Calibri Light" w:cs="Calibri Light"/>
          <w:b/>
          <w:bCs/>
          <w:color w:val="21145F"/>
        </w:rPr>
        <w:t>Ensures accountability reforms support access to a broad and balanced curriculum, including academic, technical and vocational pathways</w:t>
      </w:r>
    </w:p>
    <w:p w:rsidR="00DC2317" w:rsidRPr="001D24F4" w:rsidP="00046B77">
      <w:pPr>
        <w:pStyle w:val="ListParagraph"/>
        <w:numPr>
          <w:ilvl w:val="0"/>
          <w:numId w:val="8"/>
        </w:numPr>
        <w:spacing w:before="120" w:after="120" w:line="288" w:lineRule="auto"/>
        <w:rPr>
          <w:rFonts w:ascii="Calibri Light" w:hAnsi="Calibri Light" w:cs="Calibri Light"/>
          <w:b/>
          <w:bCs/>
          <w:color w:val="21145F"/>
        </w:rPr>
      </w:pPr>
      <w:r w:rsidRPr="001D24F4">
        <w:rPr>
          <w:rFonts w:ascii="Calibri Light" w:hAnsi="Calibri Light" w:cs="Calibri Light"/>
          <w:b/>
          <w:bCs/>
          <w:color w:val="21145F"/>
        </w:rPr>
        <w:t>Assesses the impact of accountability reforms on participation, subject choice and curriculum breadth, including for groups currently underrepresented in STEM subjects</w:t>
      </w:r>
    </w:p>
    <w:p w:rsidR="00DC2317" w:rsidRPr="001D24F4" w:rsidP="00046B77">
      <w:pPr>
        <w:pStyle w:val="ListParagraph"/>
        <w:rPr>
          <w:rFonts w:ascii="Calibri Light" w:hAnsi="Calibri Light" w:cs="Calibri Light"/>
          <w:color w:val="21145F"/>
        </w:rPr>
      </w:pP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EngineeringUK has consistently highlighted the importance of ensuring that young people have access to a broad range of academic, technical and vocational qualifications, enabling them to explore a wide range of progression pathways and career options. Accountability measures should therefore recognise high-quality technical and vocational qualifications so that schools are incentivised to offer them.</w:t>
      </w:r>
    </w:p>
    <w:p w:rsidR="00DC2317" w:rsidRPr="001D24F4"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Research shows that participation in STEM subjects remains strongly gendered, with girls significantly underrepresented in academic and vocational pathways into engineering and technology. For example:</w:t>
      </w:r>
    </w:p>
    <w:p w:rsidR="00DC2317" w:rsidRPr="001D24F4" w:rsidP="00046B77">
      <w:pPr>
        <w:pStyle w:val="ListParagraph"/>
        <w:numPr>
          <w:ilvl w:val="2"/>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22.6% of Computing GCSE entries were by girls (England, Wales and Northern Ireland, 2025).</w:t>
      </w:r>
      <w:r>
        <w:rPr>
          <w:rStyle w:val="FootnoteReference"/>
          <w:rFonts w:ascii="Calibri Light" w:hAnsi="Calibri Light" w:cs="Calibri Light"/>
          <w:color w:val="21145F"/>
        </w:rPr>
        <w:footnoteReference w:id="39"/>
      </w:r>
    </w:p>
    <w:p w:rsidR="00DC2317" w:rsidRPr="001D24F4" w:rsidP="00046B77">
      <w:pPr>
        <w:pStyle w:val="ListParagraph"/>
        <w:numPr>
          <w:ilvl w:val="2"/>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24.1% of Physics A level entries were by girls (England, Wales and Northern Ireland, 2025).</w:t>
      </w:r>
      <w:r>
        <w:rPr>
          <w:rStyle w:val="FootnoteReference"/>
          <w:rFonts w:ascii="Calibri Light" w:hAnsi="Calibri Light" w:cs="Calibri Light"/>
          <w:color w:val="21145F"/>
        </w:rPr>
        <w:footnoteReference w:id="40"/>
      </w:r>
      <w:r w:rsidRPr="001D24F4">
        <w:rPr>
          <w:rFonts w:ascii="Calibri Light" w:hAnsi="Calibri Light" w:cs="Calibri Light"/>
          <w:color w:val="21145F"/>
        </w:rPr>
        <w:t xml:space="preserve"> </w:t>
      </w:r>
    </w:p>
    <w:p w:rsidR="00DC2317" w:rsidRPr="001D24F4" w:rsidP="00046B77">
      <w:pPr>
        <w:pStyle w:val="ListParagraph"/>
        <w:numPr>
          <w:ilvl w:val="2"/>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19% of Computer Science A level entries were female (England, Northern Ireland and Wales, 2025).</w:t>
      </w:r>
      <w:r>
        <w:rPr>
          <w:rStyle w:val="FootnoteReference"/>
          <w:rFonts w:ascii="Calibri Light" w:hAnsi="Calibri Light" w:cs="Calibri Light"/>
          <w:color w:val="21145F"/>
        </w:rPr>
        <w:footnoteReference w:id="41"/>
      </w:r>
      <w:r w:rsidRPr="001D24F4">
        <w:rPr>
          <w:rFonts w:ascii="Calibri Light" w:hAnsi="Calibri Light" w:cs="Calibri Light"/>
          <w:color w:val="21145F"/>
        </w:rPr>
        <w:t xml:space="preserve"> </w:t>
      </w:r>
    </w:p>
    <w:p w:rsidR="00DC2317" w:rsidRPr="001D24F4" w:rsidP="00046B77">
      <w:pPr>
        <w:pStyle w:val="ListParagraph"/>
        <w:numPr>
          <w:ilvl w:val="2"/>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Among 16- to 18-year-olds taking engineering and technology-related vocational qualifications (other than T Levels) in England in 2024/25, 12.5% were girls.</w:t>
      </w:r>
      <w:r>
        <w:rPr>
          <w:rStyle w:val="FootnoteReference"/>
          <w:rFonts w:ascii="Calibri Light" w:hAnsi="Calibri Light" w:cs="Calibri Light"/>
          <w:color w:val="21145F"/>
        </w:rPr>
        <w:footnoteReference w:id="42"/>
      </w:r>
    </w:p>
    <w:p w:rsidR="00DC2317" w:rsidRPr="001D24F4" w:rsidP="00046B77">
      <w:pPr>
        <w:pStyle w:val="ListParagraph"/>
        <w:numPr>
          <w:ilvl w:val="2"/>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lang w:val="en-US"/>
        </w:rPr>
        <w:t>12% of engineering and tech-related T Level students were female (England 2025).</w:t>
      </w:r>
      <w:r>
        <w:rPr>
          <w:rStyle w:val="FootnoteReference"/>
          <w:rFonts w:ascii="Calibri Light" w:hAnsi="Calibri Light" w:cs="Calibri Light"/>
          <w:color w:val="21145F"/>
          <w:lang w:val="en-US"/>
        </w:rPr>
        <w:footnoteReference w:id="43"/>
      </w:r>
    </w:p>
    <w:p w:rsidR="00DC2317" w:rsidP="00046B77">
      <w:pPr>
        <w:pStyle w:val="ListParagraph"/>
        <w:numPr>
          <w:ilvl w:val="1"/>
          <w:numId w:val="1"/>
        </w:numPr>
        <w:spacing w:before="120" w:after="120" w:line="288" w:lineRule="auto"/>
        <w:rPr>
          <w:rFonts w:ascii="Calibri Light" w:hAnsi="Calibri Light" w:cs="Calibri Light"/>
          <w:color w:val="21145F"/>
        </w:rPr>
      </w:pPr>
      <w:r w:rsidRPr="001D24F4">
        <w:rPr>
          <w:rFonts w:ascii="Calibri Light" w:hAnsi="Calibri Light" w:cs="Calibri Light"/>
          <w:color w:val="21145F"/>
        </w:rPr>
        <w:t>Accountability arrangements should therefore be designed in ways that do not perpetuate gender differences in subject uptake. They should be assessed not only for their impact on attainment, but also for their impact on participation, subject choice and curriculum breadth.</w:t>
      </w:r>
    </w:p>
    <w:p w:rsidR="00010281" w:rsidRPr="00010281" w:rsidP="00010281">
      <w:pPr>
        <w:spacing w:before="120" w:after="120" w:line="288" w:lineRule="auto"/>
        <w:rPr>
          <w:rFonts w:ascii="Calibri Light" w:hAnsi="Calibri Light" w:cs="Calibri Light"/>
          <w:i/>
          <w:iCs/>
          <w:color w:val="21145F"/>
        </w:rPr>
      </w:pPr>
      <w:r w:rsidRPr="00010281">
        <w:rPr>
          <w:rFonts w:ascii="Calibri Light" w:hAnsi="Calibri Light" w:cs="Calibri Light"/>
          <w:i/>
          <w:iCs/>
          <w:color w:val="21145F"/>
        </w:rPr>
        <w:t>September 2026</w:t>
      </w:r>
    </w:p>
    <w:p w:rsidR="00DC2317" w:rsidRPr="001D24F4" w:rsidP="00046B77">
      <w:pPr>
        <w:spacing w:before="120" w:after="120" w:line="288" w:lineRule="auto"/>
        <w:rPr>
          <w:rFonts w:ascii="Calibri Light" w:hAnsi="Calibri Light" w:cs="Calibri Light"/>
          <w:color w:val="21145F"/>
        </w:rPr>
      </w:pPr>
    </w:p>
    <w:p w:rsidR="00DC2317" w:rsidRPr="001D24F4" w:rsidP="00046B77">
      <w:pPr>
        <w:rPr>
          <w:rFonts w:ascii="Calibri Light" w:hAnsi="Calibri Light" w:cs="Calibri Light"/>
          <w:color w:val="21145F"/>
        </w:rPr>
      </w:pPr>
    </w:p>
    <w:p w:rsidR="00DC2317" w:rsidRPr="001D24F4">
      <w:pPr>
        <w:rPr>
          <w:rFonts w:ascii="Calibri Light" w:hAnsi="Calibri Light" w:cs="Calibri Light"/>
          <w:color w:val="21145F"/>
        </w:rPr>
      </w:pP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DC2317" w:rsidP="00046B77">
      <w:pPr>
        <w:spacing w:after="0" w:line="240" w:lineRule="auto"/>
      </w:pPr>
      <w:r>
        <w:separator/>
      </w:r>
    </w:p>
  </w:footnote>
  <w:footnote w:type="continuationSeparator" w:id="1">
    <w:p w:rsidR="00DC2317" w:rsidP="00046B77">
      <w:pPr>
        <w:spacing w:after="0" w:line="240" w:lineRule="auto"/>
      </w:pPr>
      <w:r>
        <w:continuationSeparator/>
      </w:r>
    </w:p>
  </w:footnote>
  <w:footnote w:id="2">
    <w:p w:rsidR="00DC2317" w:rsidP="00046B77">
      <w:pPr>
        <w:pStyle w:val="FootnoteText"/>
      </w:pPr>
      <w:r w:rsidRPr="006A733C">
        <w:rPr>
          <w:rStyle w:val="FootnoteReference"/>
          <w:color w:val="21145F"/>
        </w:rPr>
        <w:footnoteRef/>
      </w:r>
      <w:r w:rsidRPr="006A733C">
        <w:rPr>
          <w:color w:val="21145F"/>
          <w:lang w:val="it-IT"/>
        </w:rPr>
        <w:t xml:space="preserve"> </w:t>
      </w:r>
      <w:r w:rsidRPr="006A733C">
        <w:rPr>
          <w:color w:val="21145F"/>
          <w:sz w:val="18"/>
          <w:szCs w:val="18"/>
          <w:lang w:val="it-IT"/>
        </w:rPr>
        <w:t xml:space="preserve">Casino-Garcia, A. M., Llopis-Bueno, M. J., Gomez-Vivo, M. G., Juan-Grau, A., Shuali-Trachtenberg, T., Llinares-Insa, L. (2021). </w:t>
      </w:r>
      <w:r w:rsidRPr="006A733C">
        <w:rPr>
          <w:color w:val="21145F"/>
          <w:sz w:val="18"/>
          <w:szCs w:val="18"/>
        </w:rPr>
        <w:t xml:space="preserve">Developing capabilities: Inclusive extracurricular enrichment programs to improve the well-being of gifted adolescents.  Frontiers in Psychology, 12. </w:t>
      </w:r>
      <w:r>
        <w:fldChar w:fldCharType="begin"/>
      </w:r>
      <w:r>
        <w:instrText xml:space="preserve"> HYPERLINK "https://doi.org/10.3389/fpsyg.2021.731591" \t "_blank" </w:instrText>
      </w:r>
      <w:r>
        <w:fldChar w:fldCharType="separate"/>
      </w:r>
      <w:r w:rsidRPr="00191957">
        <w:rPr>
          <w:rStyle w:val="Hyperlink"/>
          <w:sz w:val="18"/>
          <w:szCs w:val="18"/>
        </w:rPr>
        <w:t>10.3389/fpsyg.2021.731591</w:t>
      </w:r>
      <w:r>
        <w:fldChar w:fldCharType="end"/>
      </w:r>
    </w:p>
  </w:footnote>
  <w:footnote w:id="3">
    <w:p w:rsidR="00DC2317" w:rsidRPr="006A733C" w:rsidP="00046B77">
      <w:pPr>
        <w:pStyle w:val="FootnoteText"/>
        <w:rPr>
          <w:color w:val="21145F"/>
        </w:rPr>
      </w:pPr>
      <w:r w:rsidRPr="006A733C">
        <w:rPr>
          <w:rStyle w:val="FootnoteReference"/>
          <w:color w:val="21145F"/>
        </w:rPr>
        <w:footnoteRef/>
      </w:r>
      <w:r w:rsidRPr="006A733C">
        <w:rPr>
          <w:color w:val="21145F"/>
        </w:rPr>
        <w:t xml:space="preserve"> </w:t>
      </w:r>
      <w:r w:rsidRPr="006A733C">
        <w:rPr>
          <w:color w:val="21145F"/>
          <w:sz w:val="18"/>
          <w:szCs w:val="18"/>
        </w:rPr>
        <w:t>Northern Council for Further Education and the Association of Colleges (2023). The Valuing Enrichment Project: emerging findings and recommendations.</w:t>
      </w:r>
    </w:p>
  </w:footnote>
  <w:footnote w:id="4">
    <w:p w:rsidR="00DC2317" w:rsidP="00046B77">
      <w:pPr>
        <w:pStyle w:val="FootnoteText"/>
      </w:pPr>
      <w:r w:rsidRPr="006A733C">
        <w:rPr>
          <w:rStyle w:val="FootnoteReference"/>
          <w:color w:val="21145F"/>
        </w:rPr>
        <w:footnoteRef/>
      </w:r>
      <w:r w:rsidRPr="006A733C">
        <w:rPr>
          <w:color w:val="21145F"/>
        </w:rPr>
        <w:t xml:space="preserve"> </w:t>
      </w:r>
      <w:r w:rsidRPr="006A733C">
        <w:rPr>
          <w:color w:val="21145F"/>
          <w:sz w:val="18"/>
          <w:szCs w:val="18"/>
        </w:rPr>
        <w:t xml:space="preserve">Norris, C. M., Taylor, T. A., &amp; Lummis, G. W. (2023). Fostering collaboration and creative thinking through extra-curricular challenges with primary and secondary students. Thinking Skills and Creativity, 48. </w:t>
      </w:r>
      <w:r>
        <w:fldChar w:fldCharType="begin"/>
      </w:r>
      <w:r>
        <w:instrText xml:space="preserve"> HYPERLINK "https://doi.org/10.1016/j.tsc.2023.101296" \o "Persistent link using digital object identifier" \t "_blank" </w:instrText>
      </w:r>
      <w:r>
        <w:fldChar w:fldCharType="separate"/>
      </w:r>
      <w:r w:rsidRPr="00191957">
        <w:rPr>
          <w:rStyle w:val="Hyperlink"/>
          <w:sz w:val="18"/>
          <w:szCs w:val="18"/>
        </w:rPr>
        <w:t>https://doi.org/10.1016/j.tsc.2023.101296</w:t>
      </w:r>
      <w:r>
        <w:fldChar w:fldCharType="end"/>
      </w:r>
      <w:r w:rsidRPr="00191957">
        <w:rPr>
          <w:sz w:val="18"/>
          <w:szCs w:val="18"/>
        </w:rPr>
        <w:t xml:space="preserve"> </w:t>
      </w:r>
    </w:p>
  </w:footnote>
  <w:footnote w:id="5">
    <w:p w:rsidR="00DC2317" w:rsidP="00046B77">
      <w:pPr>
        <w:pStyle w:val="FootnoteText"/>
      </w:pPr>
      <w:r w:rsidRPr="006A733C">
        <w:rPr>
          <w:rStyle w:val="FootnoteReference"/>
          <w:color w:val="21145F"/>
        </w:rPr>
        <w:footnoteRef/>
      </w:r>
      <w:r w:rsidRPr="006A733C">
        <w:rPr>
          <w:color w:val="21145F"/>
        </w:rPr>
        <w:t xml:space="preserve"> </w:t>
      </w:r>
      <w:r w:rsidRPr="006A733C">
        <w:rPr>
          <w:color w:val="21145F"/>
          <w:sz w:val="18"/>
          <w:szCs w:val="18"/>
        </w:rPr>
        <w:t>EngineeringUK</w:t>
      </w:r>
      <w:r w:rsidRPr="006A733C">
        <w:rPr>
          <w:color w:val="21145F"/>
          <w:sz w:val="18"/>
          <w:szCs w:val="18"/>
        </w:rPr>
        <w:t xml:space="preserve">, </w:t>
      </w:r>
      <w:r>
        <w:fldChar w:fldCharType="begin"/>
      </w:r>
      <w:r>
        <w:instrText xml:space="preserve"> HYPERLINK "https://www.engineeringuk.com/media/vqkgabmg/the-big-bang-fair-2024-25-evaluation-report-outcomes-for-students-and-educators.pdf" </w:instrText>
      </w:r>
      <w:r>
        <w:fldChar w:fldCharType="separate"/>
      </w:r>
      <w:r w:rsidRPr="00191957">
        <w:rPr>
          <w:rStyle w:val="Hyperlink"/>
          <w:sz w:val="18"/>
          <w:szCs w:val="18"/>
        </w:rPr>
        <w:t>The Big Bang Fair evaluation report</w:t>
      </w:r>
      <w:r>
        <w:fldChar w:fldCharType="end"/>
      </w:r>
      <w:r w:rsidRPr="00191957">
        <w:rPr>
          <w:sz w:val="18"/>
          <w:szCs w:val="18"/>
        </w:rPr>
        <w:t xml:space="preserve"> </w:t>
      </w:r>
      <w:r w:rsidRPr="006A733C">
        <w:rPr>
          <w:color w:val="21145F"/>
          <w:sz w:val="18"/>
          <w:szCs w:val="18"/>
        </w:rPr>
        <w:t>(2025)</w:t>
      </w:r>
    </w:p>
  </w:footnote>
  <w:footnote w:id="6">
    <w:p w:rsidR="00DC2317" w:rsidRPr="006F4583" w:rsidP="00046B77">
      <w:pPr>
        <w:pStyle w:val="FootnoteText"/>
        <w:rPr>
          <w:sz w:val="18"/>
          <w:szCs w:val="18"/>
        </w:rPr>
      </w:pPr>
      <w:r w:rsidRPr="006A733C">
        <w:rPr>
          <w:rStyle w:val="FootnoteReference"/>
          <w:color w:val="21145F"/>
          <w:sz w:val="18"/>
          <w:szCs w:val="18"/>
        </w:rPr>
        <w:footnoteRef/>
      </w:r>
      <w:r w:rsidRPr="006A733C">
        <w:rPr>
          <w:color w:val="21145F"/>
          <w:sz w:val="18"/>
          <w:szCs w:val="18"/>
        </w:rPr>
        <w:t xml:space="preserve"> These skills also align with our definition of ‘engineering skills’ as described in: EUK Education (2025). Advancing STEM careers provision in schools: A guide for careers leaders. </w:t>
      </w:r>
      <w:r>
        <w:fldChar w:fldCharType="begin"/>
      </w:r>
      <w:r>
        <w:instrText xml:space="preserve"> HYPERLINK "https://eukeducation.org.uk/resources/schools-resources/careers-resources/advancing-stem-careers-provision-in-schools/" </w:instrText>
      </w:r>
      <w:r>
        <w:fldChar w:fldCharType="separate"/>
      </w:r>
      <w:r w:rsidRPr="00191957">
        <w:rPr>
          <w:rStyle w:val="Hyperlink"/>
          <w:sz w:val="18"/>
          <w:szCs w:val="18"/>
        </w:rPr>
        <w:t>https://eukeducation.org.uk/resources/schools-resources/careers-resources/advancing-stem-careers-provision-in-schools/</w:t>
      </w:r>
      <w:r>
        <w:fldChar w:fldCharType="end"/>
      </w:r>
    </w:p>
  </w:footnote>
  <w:footnote w:id="7">
    <w:p w:rsidR="00DC2317" w:rsidRPr="006F4583" w:rsidP="00046B77">
      <w:pPr>
        <w:pStyle w:val="FootnoteText"/>
        <w:rPr>
          <w:sz w:val="18"/>
          <w:szCs w:val="18"/>
        </w:rPr>
      </w:pPr>
      <w:r w:rsidRPr="006F4583">
        <w:rPr>
          <w:rStyle w:val="FootnoteReference"/>
          <w:sz w:val="18"/>
          <w:szCs w:val="18"/>
        </w:rPr>
        <w:footnoteRef/>
      </w:r>
      <w:r w:rsidRPr="006F4583">
        <w:rPr>
          <w:sz w:val="18"/>
          <w:szCs w:val="18"/>
        </w:rPr>
        <w:t xml:space="preserve"> </w:t>
      </w:r>
      <w:r>
        <w:fldChar w:fldCharType="begin"/>
      </w:r>
      <w:r>
        <w:instrText xml:space="preserve"> HYPERLINK "https://www.bbcchildreninneed.co.uk/grants/curiosity/" </w:instrText>
      </w:r>
      <w:r>
        <w:fldChar w:fldCharType="separate"/>
      </w:r>
      <w:r w:rsidRPr="006F4583">
        <w:rPr>
          <w:rStyle w:val="Hyperlink"/>
          <w:sz w:val="18"/>
          <w:szCs w:val="18"/>
        </w:rPr>
        <w:t>Curiosity - BBC Children in Need</w:t>
      </w:r>
      <w:r>
        <w:fldChar w:fldCharType="end"/>
      </w:r>
    </w:p>
  </w:footnote>
  <w:footnote w:id="8">
    <w:p w:rsidR="00DC2317" w:rsidP="00046B77">
      <w:pPr>
        <w:pStyle w:val="FootnoteText"/>
      </w:pPr>
      <w:r w:rsidRPr="006A733C">
        <w:rPr>
          <w:rStyle w:val="FootnoteReference"/>
          <w:color w:val="21145F"/>
          <w:sz w:val="18"/>
          <w:szCs w:val="18"/>
        </w:rPr>
        <w:footnoteRef/>
      </w:r>
      <w:r w:rsidRPr="006A733C">
        <w:rPr>
          <w:color w:val="21145F"/>
          <w:sz w:val="18"/>
          <w:szCs w:val="18"/>
        </w:rPr>
        <w:t xml:space="preserve"> Beyond the classroom: The role of enrichment in tackling the school absence crisis. A report by the Centre for Young Lives, Leeds Beckett University and YMCA George Williams College.</w:t>
      </w:r>
      <w:r w:rsidRPr="006F4583">
        <w:rPr>
          <w:sz w:val="18"/>
          <w:szCs w:val="18"/>
        </w:rPr>
        <w:t xml:space="preserve"> </w:t>
      </w:r>
      <w:r>
        <w:fldChar w:fldCharType="begin"/>
      </w:r>
      <w:r>
        <w:instrText xml:space="preserve"> HYPERLINK "https://www.dofe.org/wp-content/uploads/2025/02/Beyond-the-classroom-enrichment-report-1.pdf" </w:instrText>
      </w:r>
      <w:r>
        <w:fldChar w:fldCharType="separate"/>
      </w:r>
      <w:r w:rsidRPr="006F4583">
        <w:rPr>
          <w:rStyle w:val="Hyperlink"/>
          <w:sz w:val="18"/>
          <w:szCs w:val="18"/>
        </w:rPr>
        <w:t>https://www.dofe.org/wp-content/uploads/2025/02/Beyond-the-classroom-enrichment-report-1.pdf</w:t>
      </w:r>
      <w:r>
        <w:fldChar w:fldCharType="end"/>
      </w:r>
      <w:r>
        <w:t xml:space="preserve"> </w:t>
      </w:r>
    </w:p>
  </w:footnote>
  <w:footnote w:id="9">
    <w:p w:rsidR="00DC2317" w:rsidRPr="006F4583" w:rsidP="00046B77">
      <w:pPr>
        <w:pStyle w:val="FootnoteText"/>
        <w:rPr>
          <w:sz w:val="18"/>
          <w:szCs w:val="18"/>
        </w:rPr>
      </w:pPr>
      <w:r w:rsidRPr="006A733C">
        <w:rPr>
          <w:rStyle w:val="FootnoteReference"/>
          <w:color w:val="21145F"/>
          <w:sz w:val="18"/>
          <w:szCs w:val="18"/>
        </w:rPr>
        <w:footnoteRef/>
      </w:r>
      <w:r w:rsidRPr="006A733C">
        <w:rPr>
          <w:color w:val="21145F"/>
          <w:sz w:val="18"/>
          <w:szCs w:val="18"/>
        </w:rPr>
        <w:t xml:space="preserve"> </w:t>
      </w:r>
      <w:r w:rsidRPr="006A733C">
        <w:rPr>
          <w:color w:val="21145F"/>
          <w:sz w:val="18"/>
          <w:szCs w:val="18"/>
        </w:rPr>
        <w:t>EngineeringUK</w:t>
      </w:r>
      <w:r w:rsidRPr="006A733C">
        <w:rPr>
          <w:color w:val="21145F"/>
          <w:sz w:val="18"/>
          <w:szCs w:val="18"/>
        </w:rPr>
        <w:t xml:space="preserve"> and The Royal Society. Science Education Tracker 2023 (Wave 3). </w:t>
      </w:r>
      <w:r>
        <w:fldChar w:fldCharType="begin"/>
      </w:r>
      <w:r>
        <w:instrText xml:space="preserve"> HYPERLINK "http://www.engineeringuk.com/set" </w:instrText>
      </w:r>
      <w:r>
        <w:fldChar w:fldCharType="separate"/>
      </w:r>
      <w:r w:rsidRPr="006F4583">
        <w:rPr>
          <w:rStyle w:val="Hyperlink"/>
          <w:sz w:val="18"/>
          <w:szCs w:val="18"/>
        </w:rPr>
        <w:t>www.engineeringuk.com/set</w:t>
      </w:r>
      <w:r>
        <w:fldChar w:fldCharType="end"/>
      </w:r>
    </w:p>
  </w:footnote>
  <w:footnote w:id="10">
    <w:p w:rsidR="00DC2317" w:rsidP="00046B77">
      <w:pPr>
        <w:pStyle w:val="FootnoteText"/>
      </w:pPr>
      <w:r w:rsidRPr="006A733C">
        <w:rPr>
          <w:rStyle w:val="FootnoteReference"/>
          <w:color w:val="21145F"/>
        </w:rPr>
        <w:footnoteRef/>
      </w:r>
      <w:r w:rsidRPr="006A733C">
        <w:rPr>
          <w:color w:val="21145F"/>
        </w:rPr>
        <w:t xml:space="preserve"> </w:t>
      </w:r>
      <w:r w:rsidRPr="006A733C">
        <w:rPr>
          <w:color w:val="21145F"/>
          <w:sz w:val="18"/>
          <w:szCs w:val="18"/>
        </w:rPr>
        <w:t>EngineeringUK</w:t>
      </w:r>
      <w:r w:rsidRPr="006A733C">
        <w:rPr>
          <w:color w:val="21145F"/>
          <w:sz w:val="18"/>
          <w:szCs w:val="18"/>
        </w:rPr>
        <w:t xml:space="preserve">, </w:t>
      </w:r>
      <w:r>
        <w:fldChar w:fldCharType="begin"/>
      </w:r>
      <w:r>
        <w:instrText xml:space="preserve"> HYPERLINK "https://www.engineeringuk.com/media/vqkgabmg/the-big-bang-fair-2024-25-evaluation-report-outcomes-for-students-and-educators.pdf" </w:instrText>
      </w:r>
      <w:r>
        <w:fldChar w:fldCharType="separate"/>
      </w:r>
      <w:r w:rsidRPr="00191957">
        <w:rPr>
          <w:rStyle w:val="Hyperlink"/>
          <w:sz w:val="18"/>
          <w:szCs w:val="18"/>
        </w:rPr>
        <w:t>The Big Bang Fair evaluation report</w:t>
      </w:r>
      <w:r>
        <w:fldChar w:fldCharType="end"/>
      </w:r>
      <w:r w:rsidRPr="00191957">
        <w:rPr>
          <w:sz w:val="18"/>
          <w:szCs w:val="18"/>
        </w:rPr>
        <w:t xml:space="preserve"> </w:t>
      </w:r>
      <w:r w:rsidRPr="006A733C">
        <w:rPr>
          <w:color w:val="21145F"/>
          <w:sz w:val="18"/>
          <w:szCs w:val="18"/>
        </w:rPr>
        <w:t>(2025)</w:t>
      </w:r>
    </w:p>
  </w:footnote>
  <w:footnote w:id="11">
    <w:p w:rsidR="00DC2317" w:rsidRPr="006F4583" w:rsidP="00046B77">
      <w:pPr>
        <w:pStyle w:val="FootnoteText"/>
        <w:rPr>
          <w:sz w:val="18"/>
          <w:szCs w:val="18"/>
        </w:rPr>
      </w:pPr>
      <w:r w:rsidRPr="006A733C">
        <w:rPr>
          <w:rStyle w:val="FootnoteReference"/>
          <w:color w:val="21145F"/>
          <w:sz w:val="18"/>
          <w:szCs w:val="18"/>
        </w:rPr>
        <w:footnoteRef/>
      </w:r>
      <w:r w:rsidRPr="006A733C">
        <w:rPr>
          <w:color w:val="21145F"/>
          <w:sz w:val="18"/>
          <w:szCs w:val="18"/>
        </w:rPr>
        <w:t xml:space="preserve"> </w:t>
      </w:r>
      <w:r w:rsidRPr="006A733C">
        <w:rPr>
          <w:color w:val="21145F"/>
          <w:sz w:val="18"/>
          <w:szCs w:val="18"/>
        </w:rPr>
        <w:t>EngineeringUK</w:t>
      </w:r>
      <w:r w:rsidRPr="006A733C">
        <w:rPr>
          <w:color w:val="21145F"/>
          <w:sz w:val="18"/>
          <w:szCs w:val="18"/>
        </w:rPr>
        <w:t xml:space="preserve">, </w:t>
      </w:r>
      <w:r>
        <w:fldChar w:fldCharType="begin"/>
      </w:r>
      <w:r>
        <w:instrText xml:space="preserve"> HYPERLINK "https://www.engineeringuk.com/research-and-insights/our-research-reports/engineering-and-technology-workforce-may-2025-update/" </w:instrText>
      </w:r>
      <w:r>
        <w:fldChar w:fldCharType="separate"/>
      </w:r>
      <w:r w:rsidRPr="00191957">
        <w:rPr>
          <w:rStyle w:val="Hyperlink"/>
          <w:sz w:val="18"/>
          <w:szCs w:val="18"/>
        </w:rPr>
        <w:t>The engineering and technology workforce</w:t>
      </w:r>
      <w:r>
        <w:fldChar w:fldCharType="end"/>
      </w:r>
      <w:r>
        <w:rPr>
          <w:sz w:val="18"/>
          <w:szCs w:val="18"/>
        </w:rPr>
        <w:t xml:space="preserve"> </w:t>
      </w:r>
      <w:r w:rsidRPr="006A733C">
        <w:rPr>
          <w:color w:val="21145F"/>
          <w:sz w:val="18"/>
          <w:szCs w:val="18"/>
        </w:rPr>
        <w:t xml:space="preserve">(2025) </w:t>
      </w:r>
    </w:p>
  </w:footnote>
  <w:footnote w:id="12">
    <w:p w:rsidR="00DC2317" w:rsidP="00046B77">
      <w:pPr>
        <w:pStyle w:val="FootnoteText"/>
      </w:pPr>
      <w:r w:rsidRPr="006A733C">
        <w:rPr>
          <w:rStyle w:val="FootnoteReference"/>
          <w:color w:val="21145F"/>
        </w:rPr>
        <w:footnoteRef/>
      </w:r>
      <w:r w:rsidRPr="006A733C">
        <w:rPr>
          <w:color w:val="21145F"/>
        </w:rPr>
        <w:t xml:space="preserve"> </w:t>
      </w:r>
      <w:r w:rsidRPr="006A733C">
        <w:rPr>
          <w:color w:val="21145F"/>
          <w:sz w:val="18"/>
          <w:szCs w:val="18"/>
        </w:rPr>
        <w:t xml:space="preserve">Archer, L., DeWitt, J. &amp; Osborne, J. (2013) ASPIRES: Young people’s science and career aspirations, age 10–14. UCL Institute of Education. </w:t>
      </w:r>
      <w:r>
        <w:fldChar w:fldCharType="begin"/>
      </w:r>
      <w:r>
        <w:instrText xml:space="preserve"> HYPERLINK "https://kclpure.kcl.ac.uk/ws/portalfiles/portal/64130521/ASPIRES_Report_2013.pdf" </w:instrText>
      </w:r>
      <w:r>
        <w:fldChar w:fldCharType="separate"/>
      </w:r>
      <w:r w:rsidRPr="00191957">
        <w:rPr>
          <w:rStyle w:val="Hyperlink"/>
          <w:sz w:val="18"/>
          <w:szCs w:val="18"/>
        </w:rPr>
        <w:t>https://kclpure.kcl.ac.uk/ws/portalfiles/portal/64130521/ASPIRES_Report_2013.pdf</w:t>
      </w:r>
      <w:r>
        <w:fldChar w:fldCharType="end"/>
      </w:r>
    </w:p>
  </w:footnote>
  <w:footnote w:id="13">
    <w:p w:rsidR="00DC2317" w:rsidRPr="006A733C" w:rsidP="00046B77">
      <w:pPr>
        <w:pStyle w:val="FootnoteText"/>
        <w:rPr>
          <w:color w:val="21145F"/>
          <w:sz w:val="18"/>
          <w:szCs w:val="18"/>
        </w:rPr>
      </w:pPr>
      <w:r w:rsidRPr="006A733C">
        <w:rPr>
          <w:rStyle w:val="FootnoteReference"/>
          <w:color w:val="21145F"/>
          <w:sz w:val="18"/>
          <w:szCs w:val="18"/>
        </w:rPr>
        <w:footnoteRef/>
      </w:r>
      <w:r w:rsidRPr="006A733C">
        <w:rPr>
          <w:color w:val="21145F"/>
          <w:sz w:val="18"/>
          <w:szCs w:val="18"/>
        </w:rPr>
        <w:t xml:space="preserve"> This includes the End Violence Against Women Coalition, UK </w:t>
      </w:r>
      <w:r w:rsidRPr="006A733C">
        <w:rPr>
          <w:color w:val="21145F"/>
          <w:sz w:val="18"/>
          <w:szCs w:val="18"/>
        </w:rPr>
        <w:t>Feminista</w:t>
      </w:r>
      <w:r w:rsidRPr="006A733C">
        <w:rPr>
          <w:color w:val="21145F"/>
          <w:sz w:val="18"/>
          <w:szCs w:val="18"/>
        </w:rPr>
        <w:t>, The Children’s Society and more.</w:t>
      </w:r>
    </w:p>
  </w:footnote>
  <w:footnote w:id="14">
    <w:p w:rsidR="00DC2317" w:rsidP="00046B77">
      <w:pPr>
        <w:pStyle w:val="FootnoteText"/>
      </w:pPr>
      <w:r w:rsidRPr="006A733C">
        <w:rPr>
          <w:rStyle w:val="FootnoteReference"/>
          <w:color w:val="21145F"/>
        </w:rPr>
        <w:footnoteRef/>
      </w:r>
      <w:r w:rsidRPr="006A733C">
        <w:rPr>
          <w:color w:val="21145F"/>
        </w:rPr>
        <w:t xml:space="preserve"> </w:t>
      </w:r>
      <w:r w:rsidRPr="006A733C">
        <w:rPr>
          <w:color w:val="21145F"/>
          <w:sz w:val="18"/>
          <w:szCs w:val="18"/>
        </w:rPr>
        <w:t xml:space="preserve">Sims, S. (2025). </w:t>
      </w:r>
      <w:r>
        <w:fldChar w:fldCharType="begin"/>
      </w:r>
      <w:r>
        <w:instrText xml:space="preserve"> HYPERLINK "https://econpapers.repec.org/RePEc:ucl:cepeow:25-17" \t "_blank" </w:instrText>
      </w:r>
      <w:r>
        <w:fldChar w:fldCharType="separate"/>
      </w:r>
      <w:r w:rsidRPr="00191957">
        <w:rPr>
          <w:rStyle w:val="Hyperlink"/>
          <w:sz w:val="18"/>
          <w:szCs w:val="18"/>
        </w:rPr>
        <w:t>Improving Gender Balance in uptake of physics qualifications aged 16-18: a cluster randomised controlled trial in England</w:t>
      </w:r>
      <w:r>
        <w:fldChar w:fldCharType="end"/>
      </w:r>
      <w:r w:rsidRPr="006A733C">
        <w:rPr>
          <w:color w:val="21145F"/>
          <w:sz w:val="18"/>
          <w:szCs w:val="18"/>
        </w:rPr>
        <w:t>. (CEPEO Working Paper No. 25-17). UCL Centre for Education Policy and Equalising Opportunities.</w:t>
      </w:r>
    </w:p>
  </w:footnote>
  <w:footnote w:id="15">
    <w:p w:rsidR="00DC2317" w:rsidRPr="006F4583" w:rsidP="00046B77">
      <w:pPr>
        <w:pStyle w:val="FootnoteText"/>
        <w:rPr>
          <w:sz w:val="18"/>
          <w:szCs w:val="18"/>
        </w:rPr>
      </w:pPr>
      <w:r w:rsidRPr="006A733C">
        <w:rPr>
          <w:rStyle w:val="FootnoteReference"/>
          <w:color w:val="21145F"/>
          <w:sz w:val="18"/>
          <w:szCs w:val="18"/>
        </w:rPr>
        <w:footnoteRef/>
      </w:r>
      <w:r w:rsidRPr="006A733C">
        <w:rPr>
          <w:color w:val="21145F"/>
          <w:sz w:val="18"/>
          <w:szCs w:val="18"/>
        </w:rPr>
        <w:t xml:space="preserve"> </w:t>
      </w:r>
      <w:r w:rsidRPr="006A733C">
        <w:rPr>
          <w:color w:val="21145F"/>
          <w:sz w:val="18"/>
          <w:szCs w:val="18"/>
        </w:rPr>
        <w:t>EngineeringUK</w:t>
      </w:r>
      <w:r w:rsidRPr="006A733C">
        <w:rPr>
          <w:color w:val="21145F"/>
          <w:sz w:val="18"/>
          <w:szCs w:val="18"/>
        </w:rPr>
        <w:t xml:space="preserve"> – Tomorrow’s Engineers Code, </w:t>
      </w:r>
      <w:r>
        <w:fldChar w:fldCharType="begin"/>
      </w:r>
      <w:r>
        <w:instrText xml:space="preserve"> HYPERLINK "https://code.tomorrowsengineers.org.uk/media/5dte1z0q/the-code-check-in-2024-2025.pdf" </w:instrText>
      </w:r>
      <w:r>
        <w:fldChar w:fldCharType="separate"/>
      </w:r>
      <w:r w:rsidRPr="006F4583">
        <w:rPr>
          <w:rStyle w:val="Hyperlink"/>
          <w:sz w:val="18"/>
          <w:szCs w:val="18"/>
        </w:rPr>
        <w:t>The Code check-in findings: 2024/2025</w:t>
      </w:r>
      <w:r>
        <w:fldChar w:fldCharType="end"/>
      </w:r>
    </w:p>
  </w:footnote>
  <w:footnote w:id="16">
    <w:p w:rsidR="00DC2317" w:rsidRPr="003509FB" w:rsidP="00046B77">
      <w:pPr>
        <w:pStyle w:val="FootnoteText"/>
        <w:rPr>
          <w:sz w:val="18"/>
          <w:szCs w:val="18"/>
        </w:rPr>
      </w:pPr>
      <w:r w:rsidRPr="006A733C">
        <w:rPr>
          <w:rStyle w:val="FootnoteReference"/>
          <w:color w:val="21145F"/>
        </w:rPr>
        <w:footnoteRef/>
      </w:r>
      <w:r w:rsidRPr="006A733C">
        <w:rPr>
          <w:color w:val="21145F"/>
        </w:rPr>
        <w:t xml:space="preserve"> </w:t>
      </w:r>
      <w:r w:rsidRPr="006A733C">
        <w:rPr>
          <w:color w:val="21145F"/>
          <w:sz w:val="18"/>
          <w:szCs w:val="18"/>
        </w:rPr>
        <w:t xml:space="preserve">NFER, </w:t>
      </w:r>
      <w:r>
        <w:fldChar w:fldCharType="begin"/>
      </w:r>
      <w:r>
        <w:instrText xml:space="preserve"> HYPERLINK "https://www.nfer.ac.uk/media/idcdsseo/the_school_teacher_workforce_in_england_annual_report_2026.pdf" </w:instrText>
      </w:r>
      <w:r>
        <w:fldChar w:fldCharType="separate"/>
      </w:r>
      <w:r w:rsidRPr="003509FB">
        <w:rPr>
          <w:rStyle w:val="Hyperlink"/>
          <w:sz w:val="18"/>
          <w:szCs w:val="18"/>
        </w:rPr>
        <w:t>NFER’s eighth annual Teacher Labour Market report</w:t>
      </w:r>
      <w:r>
        <w:fldChar w:fldCharType="end"/>
      </w:r>
      <w:r w:rsidRPr="003509FB">
        <w:rPr>
          <w:sz w:val="18"/>
          <w:szCs w:val="18"/>
        </w:rPr>
        <w:t xml:space="preserve"> </w:t>
      </w:r>
      <w:r w:rsidRPr="006A733C">
        <w:rPr>
          <w:color w:val="21145F"/>
          <w:sz w:val="18"/>
          <w:szCs w:val="18"/>
        </w:rPr>
        <w:t>(2026)</w:t>
      </w:r>
    </w:p>
  </w:footnote>
  <w:footnote w:id="17">
    <w:p w:rsidR="00DC2317" w:rsidRPr="00A54BE1" w:rsidP="00046B77">
      <w:pPr>
        <w:pStyle w:val="FootnoteText"/>
        <w:rPr>
          <w:sz w:val="18"/>
          <w:szCs w:val="18"/>
        </w:rPr>
      </w:pPr>
      <w:r w:rsidRPr="006A733C">
        <w:rPr>
          <w:rStyle w:val="FootnoteReference"/>
          <w:color w:val="21145F"/>
        </w:rPr>
        <w:footnoteRef/>
      </w:r>
      <w:r w:rsidRPr="006A733C">
        <w:rPr>
          <w:color w:val="21145F"/>
        </w:rPr>
        <w:t xml:space="preserve"> </w:t>
      </w:r>
      <w:r w:rsidRPr="006A733C">
        <w:rPr>
          <w:color w:val="21145F"/>
          <w:sz w:val="18"/>
          <w:szCs w:val="18"/>
        </w:rPr>
        <w:t xml:space="preserve">NFER, </w:t>
      </w:r>
      <w:r>
        <w:fldChar w:fldCharType="begin"/>
      </w:r>
      <w:r>
        <w:instrText xml:space="preserve"> HYPERLINK "https://www.nfer.ac.uk/media/idcdsseo/the_school_teacher_workforce_in_england_annual_report_2026.pdf" </w:instrText>
      </w:r>
      <w:r>
        <w:fldChar w:fldCharType="separate"/>
      </w:r>
      <w:r w:rsidRPr="003509FB">
        <w:rPr>
          <w:rStyle w:val="Hyperlink"/>
          <w:sz w:val="18"/>
          <w:szCs w:val="18"/>
        </w:rPr>
        <w:t>NFER’s eighth annual Teacher Labour Market report</w:t>
      </w:r>
      <w:r>
        <w:fldChar w:fldCharType="end"/>
      </w:r>
      <w:r w:rsidRPr="003509FB">
        <w:rPr>
          <w:sz w:val="18"/>
          <w:szCs w:val="18"/>
        </w:rPr>
        <w:t xml:space="preserve"> </w:t>
      </w:r>
      <w:r w:rsidRPr="006A733C">
        <w:rPr>
          <w:color w:val="21145F"/>
          <w:sz w:val="18"/>
          <w:szCs w:val="18"/>
        </w:rPr>
        <w:t>(2026)</w:t>
      </w:r>
    </w:p>
  </w:footnote>
  <w:footnote w:id="18">
    <w:p w:rsidR="00DC2317" w:rsidP="00046B77">
      <w:pPr>
        <w:pStyle w:val="FootnoteText"/>
      </w:pPr>
      <w:r w:rsidRPr="006A733C">
        <w:rPr>
          <w:rStyle w:val="FootnoteReference"/>
          <w:color w:val="21145F"/>
        </w:rPr>
        <w:footnoteRef/>
      </w:r>
      <w:r w:rsidRPr="006A733C">
        <w:rPr>
          <w:color w:val="21145F"/>
          <w:sz w:val="18"/>
          <w:szCs w:val="18"/>
        </w:rPr>
        <w:t xml:space="preserve"> NFER, </w:t>
      </w:r>
      <w:r>
        <w:fldChar w:fldCharType="begin"/>
      </w:r>
      <w:r>
        <w:instrText xml:space="preserve"> HYPERLINK "https://www.nfer.ac.uk/media/idcdsseo/the_school_teacher_workforce_in_england_annual_report_2026.pdf" </w:instrText>
      </w:r>
      <w:r>
        <w:fldChar w:fldCharType="separate"/>
      </w:r>
      <w:r w:rsidRPr="00A54BE1">
        <w:rPr>
          <w:rStyle w:val="Hyperlink"/>
          <w:sz w:val="18"/>
          <w:szCs w:val="18"/>
        </w:rPr>
        <w:t>NFER’s eighth annual Teacher Labour Market report</w:t>
      </w:r>
      <w:r>
        <w:fldChar w:fldCharType="end"/>
      </w:r>
      <w:r w:rsidRPr="00A54BE1">
        <w:rPr>
          <w:sz w:val="18"/>
          <w:szCs w:val="18"/>
        </w:rPr>
        <w:t xml:space="preserve"> </w:t>
      </w:r>
      <w:r w:rsidRPr="006A733C">
        <w:rPr>
          <w:color w:val="21145F"/>
          <w:sz w:val="18"/>
          <w:szCs w:val="18"/>
        </w:rPr>
        <w:t>(2026)</w:t>
      </w:r>
    </w:p>
  </w:footnote>
  <w:footnote w:id="19">
    <w:p w:rsidR="00DC2317" w:rsidP="00046B77">
      <w:pPr>
        <w:pStyle w:val="FootnoteText"/>
      </w:pPr>
      <w:r w:rsidRPr="006A733C">
        <w:rPr>
          <w:rStyle w:val="FootnoteReference"/>
          <w:color w:val="21145F"/>
        </w:rPr>
        <w:footnoteRef/>
      </w:r>
      <w:r w:rsidRPr="006A733C">
        <w:rPr>
          <w:color w:val="21145F"/>
        </w:rPr>
        <w:t xml:space="preserve"> </w:t>
      </w:r>
      <w:r w:rsidRPr="006A733C">
        <w:rPr>
          <w:color w:val="21145F"/>
          <w:sz w:val="18"/>
          <w:szCs w:val="18"/>
        </w:rPr>
        <w:t xml:space="preserve">DfE, </w:t>
      </w:r>
      <w:r>
        <w:fldChar w:fldCharType="begin"/>
      </w:r>
      <w:r>
        <w:instrText xml:space="preserve"> HYPERLINK "https://explore-education-statistics.service.gov.uk/find-statistics/initial-teacher-training-census/2024-25" </w:instrText>
      </w:r>
      <w:r>
        <w:fldChar w:fldCharType="separate"/>
      </w:r>
      <w:r w:rsidRPr="00A54BE1">
        <w:rPr>
          <w:rStyle w:val="Hyperlink"/>
          <w:sz w:val="18"/>
          <w:szCs w:val="18"/>
        </w:rPr>
        <w:t>Initial Teacher Training Census</w:t>
      </w:r>
      <w:r>
        <w:fldChar w:fldCharType="end"/>
      </w:r>
      <w:r w:rsidRPr="00A54BE1">
        <w:rPr>
          <w:sz w:val="18"/>
          <w:szCs w:val="18"/>
        </w:rPr>
        <w:t xml:space="preserve"> </w:t>
      </w:r>
      <w:r w:rsidRPr="006A733C">
        <w:rPr>
          <w:color w:val="21145F"/>
          <w:sz w:val="18"/>
          <w:szCs w:val="18"/>
        </w:rPr>
        <w:t>(Dec 2024)</w:t>
      </w:r>
    </w:p>
  </w:footnote>
  <w:footnote w:id="20">
    <w:p w:rsidR="00DC2317" w:rsidRPr="003A1E2A" w:rsidP="00046B77">
      <w:pPr>
        <w:pStyle w:val="FootnoteText"/>
        <w:rPr>
          <w:sz w:val="18"/>
          <w:szCs w:val="18"/>
        </w:rPr>
      </w:pPr>
      <w:r w:rsidRPr="006A733C">
        <w:rPr>
          <w:rStyle w:val="FootnoteReference"/>
          <w:color w:val="21145F"/>
          <w:sz w:val="18"/>
          <w:szCs w:val="18"/>
        </w:rPr>
        <w:footnoteRef/>
      </w:r>
      <w:r w:rsidRPr="006A733C">
        <w:rPr>
          <w:color w:val="21145F"/>
          <w:sz w:val="18"/>
          <w:szCs w:val="18"/>
        </w:rPr>
        <w:t xml:space="preserve"> </w:t>
      </w:r>
      <w:r w:rsidRPr="006A733C">
        <w:rPr>
          <w:color w:val="21145F"/>
          <w:sz w:val="18"/>
          <w:szCs w:val="18"/>
        </w:rPr>
        <w:t>EngineeringUK</w:t>
      </w:r>
      <w:r w:rsidRPr="006A733C">
        <w:rPr>
          <w:color w:val="21145F"/>
          <w:sz w:val="18"/>
          <w:szCs w:val="18"/>
        </w:rPr>
        <w:t xml:space="preserve"> </w:t>
      </w:r>
      <w:r>
        <w:fldChar w:fldCharType="begin"/>
      </w:r>
      <w:r>
        <w:instrText xml:space="preserve"> HYPERLINK "https://www.engineeringuk.com/media/4rwlitac/school-report-stem-teacher-recruitment-and-retention-engineeringuk-june-25.pdf" </w:instrText>
      </w:r>
      <w:r>
        <w:fldChar w:fldCharType="separate"/>
      </w:r>
      <w:r w:rsidRPr="003A1E2A">
        <w:rPr>
          <w:rStyle w:val="Hyperlink"/>
          <w:sz w:val="18"/>
          <w:szCs w:val="18"/>
        </w:rPr>
        <w:t>School report: The challenge of STEM teacher recruitment and retention</w:t>
      </w:r>
      <w:r>
        <w:fldChar w:fldCharType="end"/>
      </w:r>
      <w:r>
        <w:rPr>
          <w:sz w:val="18"/>
          <w:szCs w:val="18"/>
        </w:rPr>
        <w:t xml:space="preserve"> </w:t>
      </w:r>
      <w:r w:rsidRPr="006A733C">
        <w:rPr>
          <w:color w:val="21145F"/>
          <w:sz w:val="18"/>
          <w:szCs w:val="18"/>
        </w:rPr>
        <w:t>(2025)</w:t>
      </w:r>
    </w:p>
  </w:footnote>
  <w:footnote w:id="21">
    <w:p w:rsidR="00DC2317" w:rsidRPr="00617A14" w:rsidP="00046B77">
      <w:pPr>
        <w:pStyle w:val="FootnoteText"/>
        <w:rPr>
          <w:sz w:val="18"/>
          <w:szCs w:val="18"/>
        </w:rPr>
      </w:pPr>
      <w:r w:rsidRPr="006A733C">
        <w:rPr>
          <w:rStyle w:val="FootnoteReference"/>
          <w:color w:val="21145F"/>
          <w:sz w:val="18"/>
          <w:szCs w:val="18"/>
        </w:rPr>
        <w:footnoteRef/>
      </w:r>
      <w:r w:rsidRPr="006A733C">
        <w:rPr>
          <w:color w:val="21145F"/>
          <w:sz w:val="18"/>
          <w:szCs w:val="18"/>
        </w:rPr>
        <w:t xml:space="preserve"> NFER, </w:t>
      </w:r>
      <w:r>
        <w:fldChar w:fldCharType="begin"/>
      </w:r>
      <w:r>
        <w:instrText xml:space="preserve"> HYPERLINK "https://www.nfer.ac.uk/media/idcdsseo/the_school_teacher_workforce_in_england_annual_report_2026.pdf" </w:instrText>
      </w:r>
      <w:r>
        <w:fldChar w:fldCharType="separate"/>
      </w:r>
      <w:r w:rsidRPr="00A37F0C">
        <w:rPr>
          <w:rStyle w:val="Hyperlink"/>
          <w:sz w:val="18"/>
          <w:szCs w:val="18"/>
        </w:rPr>
        <w:t>NFER’s eighth annual Teacher Labour Market report</w:t>
      </w:r>
      <w:r>
        <w:fldChar w:fldCharType="end"/>
      </w:r>
      <w:r w:rsidRPr="00A37F0C">
        <w:rPr>
          <w:sz w:val="18"/>
          <w:szCs w:val="18"/>
        </w:rPr>
        <w:t xml:space="preserve"> </w:t>
      </w:r>
      <w:r w:rsidRPr="006A733C">
        <w:rPr>
          <w:color w:val="21145F"/>
          <w:sz w:val="18"/>
          <w:szCs w:val="18"/>
        </w:rPr>
        <w:t>(2026)</w:t>
      </w:r>
    </w:p>
  </w:footnote>
  <w:footnote w:id="22">
    <w:p w:rsidR="00DC2317" w:rsidRPr="00617A14" w:rsidP="00046B77">
      <w:pPr>
        <w:pStyle w:val="FootnoteText"/>
        <w:rPr>
          <w:sz w:val="18"/>
          <w:szCs w:val="18"/>
        </w:rPr>
      </w:pPr>
      <w:r w:rsidRPr="006A733C">
        <w:rPr>
          <w:rStyle w:val="FootnoteReference"/>
          <w:color w:val="21145F"/>
          <w:sz w:val="18"/>
          <w:szCs w:val="18"/>
        </w:rPr>
        <w:footnoteRef/>
      </w:r>
      <w:r w:rsidRPr="006A733C">
        <w:rPr>
          <w:color w:val="21145F"/>
          <w:sz w:val="18"/>
          <w:szCs w:val="18"/>
        </w:rPr>
        <w:t xml:space="preserve"> Verian for the Royal Society and </w:t>
      </w:r>
      <w:r w:rsidRPr="006A733C">
        <w:rPr>
          <w:color w:val="21145F"/>
          <w:sz w:val="18"/>
          <w:szCs w:val="18"/>
        </w:rPr>
        <w:t>EngineeringUK</w:t>
      </w:r>
      <w:r w:rsidRPr="006A733C">
        <w:rPr>
          <w:color w:val="21145F"/>
          <w:sz w:val="18"/>
          <w:szCs w:val="18"/>
        </w:rPr>
        <w:t xml:space="preserve"> </w:t>
      </w:r>
      <w:r>
        <w:fldChar w:fldCharType="begin"/>
      </w:r>
      <w:r>
        <w:instrText xml:space="preserve"> HYPERLINK "http://www.engineeringuk.com/set" </w:instrText>
      </w:r>
      <w:r>
        <w:fldChar w:fldCharType="separate"/>
      </w:r>
      <w:r w:rsidRPr="00A37F0C">
        <w:rPr>
          <w:rStyle w:val="Hyperlink"/>
          <w:sz w:val="18"/>
          <w:szCs w:val="18"/>
        </w:rPr>
        <w:t>Science Education Tracker 2023</w:t>
      </w:r>
      <w:r>
        <w:fldChar w:fldCharType="end"/>
      </w:r>
      <w:r>
        <w:rPr>
          <w:sz w:val="18"/>
          <w:szCs w:val="18"/>
        </w:rPr>
        <w:t xml:space="preserve"> </w:t>
      </w:r>
      <w:r w:rsidRPr="006A733C">
        <w:rPr>
          <w:color w:val="21145F"/>
          <w:sz w:val="18"/>
          <w:szCs w:val="18"/>
        </w:rPr>
        <w:t>(2024)</w:t>
      </w:r>
    </w:p>
  </w:footnote>
  <w:footnote w:id="23">
    <w:p w:rsidR="00DC2317" w:rsidRPr="00617A14" w:rsidP="00046B77">
      <w:pPr>
        <w:pStyle w:val="FootnoteText"/>
        <w:rPr>
          <w:sz w:val="18"/>
          <w:szCs w:val="18"/>
        </w:rPr>
      </w:pPr>
      <w:r w:rsidRPr="006A733C">
        <w:rPr>
          <w:rStyle w:val="FootnoteReference"/>
          <w:color w:val="21145F"/>
          <w:sz w:val="18"/>
          <w:szCs w:val="18"/>
        </w:rPr>
        <w:footnoteRef/>
      </w:r>
      <w:r w:rsidRPr="006A733C">
        <w:rPr>
          <w:color w:val="21145F"/>
          <w:sz w:val="18"/>
          <w:szCs w:val="18"/>
        </w:rPr>
        <w:t xml:space="preserve"> </w:t>
      </w:r>
      <w:r w:rsidRPr="006A733C">
        <w:rPr>
          <w:color w:val="21145F"/>
          <w:sz w:val="18"/>
          <w:szCs w:val="18"/>
        </w:rPr>
        <w:t>EngineeringUK</w:t>
      </w:r>
      <w:r w:rsidRPr="006A733C">
        <w:rPr>
          <w:color w:val="21145F"/>
          <w:sz w:val="18"/>
          <w:szCs w:val="18"/>
        </w:rPr>
        <w:t xml:space="preserve"> </w:t>
      </w:r>
      <w:r>
        <w:fldChar w:fldCharType="begin"/>
      </w:r>
      <w:r>
        <w:instrText xml:space="preserve"> HYPERLINK "https://www.engineeringuk.com/media/4rwlitac/school-report-stem-teacher-recruitment-and-retention-engineeringuk-june-25.pdf" </w:instrText>
      </w:r>
      <w:r>
        <w:fldChar w:fldCharType="separate"/>
      </w:r>
      <w:r w:rsidRPr="00A37F0C">
        <w:rPr>
          <w:rStyle w:val="Hyperlink"/>
          <w:sz w:val="18"/>
          <w:szCs w:val="18"/>
        </w:rPr>
        <w:t>School report: The challenge of STEM teacher recruitment and retention</w:t>
      </w:r>
      <w:r>
        <w:fldChar w:fldCharType="end"/>
      </w:r>
      <w:r>
        <w:rPr>
          <w:sz w:val="18"/>
          <w:szCs w:val="18"/>
        </w:rPr>
        <w:t xml:space="preserve"> </w:t>
      </w:r>
      <w:r w:rsidRPr="006A733C">
        <w:rPr>
          <w:color w:val="21145F"/>
          <w:sz w:val="18"/>
          <w:szCs w:val="18"/>
        </w:rPr>
        <w:t>(2025)</w:t>
      </w:r>
    </w:p>
  </w:footnote>
  <w:footnote w:id="24">
    <w:p w:rsidR="00DC2317" w:rsidRPr="00617A14" w:rsidP="00046B77">
      <w:pPr>
        <w:pStyle w:val="FootnoteText"/>
        <w:rPr>
          <w:sz w:val="18"/>
          <w:szCs w:val="18"/>
        </w:rPr>
      </w:pPr>
      <w:r w:rsidRPr="006A733C">
        <w:rPr>
          <w:rStyle w:val="FootnoteReference"/>
          <w:color w:val="21145F"/>
          <w:sz w:val="18"/>
          <w:szCs w:val="18"/>
        </w:rPr>
        <w:footnoteRef/>
      </w:r>
      <w:r w:rsidRPr="006A733C">
        <w:rPr>
          <w:color w:val="21145F"/>
          <w:sz w:val="18"/>
          <w:szCs w:val="18"/>
        </w:rPr>
        <w:t xml:space="preserve"> Gatsby </w:t>
      </w:r>
      <w:r>
        <w:fldChar w:fldCharType="begin"/>
      </w:r>
      <w:r>
        <w:instrText xml:space="preserve"> HYPERLINK "https://www.gatsby.org.uk/app/uploads/sites/2/2025/07/good-practical-science-report.pdf" </w:instrText>
      </w:r>
      <w:r>
        <w:fldChar w:fldCharType="separate"/>
      </w:r>
      <w:r w:rsidRPr="00A37F0C">
        <w:rPr>
          <w:rStyle w:val="Hyperlink"/>
          <w:sz w:val="18"/>
          <w:szCs w:val="18"/>
        </w:rPr>
        <w:t>Good practical science</w:t>
      </w:r>
      <w:r>
        <w:fldChar w:fldCharType="end"/>
      </w:r>
      <w:r>
        <w:rPr>
          <w:sz w:val="18"/>
          <w:szCs w:val="18"/>
        </w:rPr>
        <w:t xml:space="preserve"> </w:t>
      </w:r>
      <w:r w:rsidRPr="006A733C">
        <w:rPr>
          <w:color w:val="21145F"/>
          <w:sz w:val="18"/>
          <w:szCs w:val="18"/>
        </w:rPr>
        <w:t>(2017)</w:t>
      </w:r>
    </w:p>
  </w:footnote>
  <w:footnote w:id="25">
    <w:p w:rsidR="00DC2317" w:rsidP="00046B77">
      <w:pPr>
        <w:pStyle w:val="FootnoteText"/>
      </w:pPr>
      <w:r w:rsidRPr="006A733C">
        <w:rPr>
          <w:rStyle w:val="FootnoteReference"/>
          <w:color w:val="21145F"/>
          <w:sz w:val="18"/>
          <w:szCs w:val="18"/>
        </w:rPr>
        <w:footnoteRef/>
      </w:r>
      <w:r w:rsidRPr="006A733C">
        <w:rPr>
          <w:color w:val="21145F"/>
          <w:sz w:val="18"/>
          <w:szCs w:val="18"/>
        </w:rPr>
        <w:t xml:space="preserve"> Verian for the Royal Society and </w:t>
      </w:r>
      <w:r w:rsidRPr="006A733C">
        <w:rPr>
          <w:color w:val="21145F"/>
          <w:sz w:val="18"/>
          <w:szCs w:val="18"/>
        </w:rPr>
        <w:t>EngineeringUK</w:t>
      </w:r>
      <w:r w:rsidRPr="006A733C">
        <w:rPr>
          <w:color w:val="21145F"/>
          <w:sz w:val="18"/>
          <w:szCs w:val="18"/>
        </w:rPr>
        <w:t xml:space="preserve"> (2024), </w:t>
      </w:r>
      <w:r>
        <w:fldChar w:fldCharType="begin"/>
      </w:r>
      <w:r>
        <w:instrText xml:space="preserve"> HYPERLINK "http://www.engineeringuk.com/set" </w:instrText>
      </w:r>
      <w:r>
        <w:fldChar w:fldCharType="separate"/>
      </w:r>
      <w:r w:rsidRPr="00A37F0C">
        <w:rPr>
          <w:rStyle w:val="Hyperlink"/>
          <w:sz w:val="18"/>
          <w:szCs w:val="18"/>
        </w:rPr>
        <w:t>Science Education Tracker 2023</w:t>
      </w:r>
      <w:r>
        <w:fldChar w:fldCharType="end"/>
      </w:r>
      <w:r>
        <w:rPr>
          <w:sz w:val="18"/>
          <w:szCs w:val="18"/>
        </w:rPr>
        <w:t xml:space="preserve"> </w:t>
      </w:r>
      <w:r w:rsidRPr="006A733C">
        <w:rPr>
          <w:color w:val="21145F"/>
          <w:sz w:val="18"/>
          <w:szCs w:val="18"/>
        </w:rPr>
        <w:t>(2024)</w:t>
      </w:r>
    </w:p>
  </w:footnote>
  <w:footnote w:id="26">
    <w:p w:rsidR="00DC2317" w:rsidRPr="00A37F0C" w:rsidP="00046B77">
      <w:pPr>
        <w:pStyle w:val="FootnoteText"/>
        <w:rPr>
          <w:sz w:val="18"/>
          <w:szCs w:val="18"/>
        </w:rPr>
      </w:pPr>
      <w:r w:rsidRPr="006A733C">
        <w:rPr>
          <w:rStyle w:val="FootnoteReference"/>
          <w:color w:val="21145F"/>
          <w:sz w:val="18"/>
          <w:szCs w:val="18"/>
        </w:rPr>
        <w:footnoteRef/>
      </w:r>
      <w:r w:rsidRPr="006A733C">
        <w:rPr>
          <w:color w:val="21145F"/>
          <w:sz w:val="18"/>
          <w:szCs w:val="18"/>
        </w:rPr>
        <w:t xml:space="preserve"> Verian for the Royal Society and </w:t>
      </w:r>
      <w:r w:rsidRPr="006A733C">
        <w:rPr>
          <w:color w:val="21145F"/>
          <w:sz w:val="18"/>
          <w:szCs w:val="18"/>
        </w:rPr>
        <w:t>EngineeringUK</w:t>
      </w:r>
      <w:r w:rsidRPr="006A733C">
        <w:rPr>
          <w:color w:val="21145F"/>
          <w:sz w:val="18"/>
          <w:szCs w:val="18"/>
        </w:rPr>
        <w:t xml:space="preserve"> (2024), </w:t>
      </w:r>
      <w:r>
        <w:fldChar w:fldCharType="begin"/>
      </w:r>
      <w:r>
        <w:instrText xml:space="preserve"> HYPERLINK "http://www.engineeringuk.com/set" </w:instrText>
      </w:r>
      <w:r>
        <w:fldChar w:fldCharType="separate"/>
      </w:r>
      <w:r w:rsidRPr="00A37F0C">
        <w:rPr>
          <w:rStyle w:val="Hyperlink"/>
          <w:sz w:val="18"/>
          <w:szCs w:val="18"/>
        </w:rPr>
        <w:t>Science Education Tracker 2023</w:t>
      </w:r>
      <w:r>
        <w:fldChar w:fldCharType="end"/>
      </w:r>
      <w:r>
        <w:rPr>
          <w:sz w:val="18"/>
          <w:szCs w:val="18"/>
        </w:rPr>
        <w:t xml:space="preserve"> </w:t>
      </w:r>
      <w:r w:rsidRPr="006A733C">
        <w:rPr>
          <w:color w:val="21145F"/>
          <w:sz w:val="18"/>
          <w:szCs w:val="18"/>
        </w:rPr>
        <w:t>(2024)</w:t>
      </w:r>
    </w:p>
  </w:footnote>
  <w:footnote w:id="27">
    <w:p w:rsidR="00DC2317" w:rsidRPr="00617A14" w:rsidP="00046B77">
      <w:pPr>
        <w:pStyle w:val="FootnoteText"/>
        <w:rPr>
          <w:sz w:val="18"/>
          <w:szCs w:val="18"/>
        </w:rPr>
      </w:pPr>
      <w:r w:rsidRPr="006A733C">
        <w:rPr>
          <w:rStyle w:val="FootnoteReference"/>
          <w:color w:val="21145F"/>
          <w:sz w:val="18"/>
          <w:szCs w:val="18"/>
        </w:rPr>
        <w:footnoteRef/>
      </w:r>
      <w:r w:rsidRPr="006A733C">
        <w:rPr>
          <w:color w:val="21145F"/>
          <w:sz w:val="18"/>
          <w:szCs w:val="18"/>
        </w:rPr>
        <w:t xml:space="preserve"> Institute of Physics </w:t>
      </w:r>
      <w:r>
        <w:fldChar w:fldCharType="begin"/>
      </w:r>
      <w:r>
        <w:instrText xml:space="preserve"> HYPERLINK "https://www.iop.org/about/news/iop-responds-bleak-news-teacher-recruitment-numbers" </w:instrText>
      </w:r>
      <w:r>
        <w:fldChar w:fldCharType="separate"/>
      </w:r>
      <w:r w:rsidRPr="00A37F0C">
        <w:rPr>
          <w:rStyle w:val="Hyperlink"/>
          <w:sz w:val="18"/>
          <w:szCs w:val="18"/>
        </w:rPr>
        <w:t>IoP</w:t>
      </w:r>
      <w:r w:rsidRPr="00A37F0C">
        <w:rPr>
          <w:rStyle w:val="Hyperlink"/>
          <w:sz w:val="18"/>
          <w:szCs w:val="18"/>
        </w:rPr>
        <w:t xml:space="preserve"> responds to ‘bleak’ news on teacher recruitment numbers</w:t>
      </w:r>
      <w:r>
        <w:fldChar w:fldCharType="end"/>
      </w:r>
      <w:r>
        <w:rPr>
          <w:sz w:val="18"/>
          <w:szCs w:val="18"/>
        </w:rPr>
        <w:t xml:space="preserve"> </w:t>
      </w:r>
      <w:r w:rsidRPr="006A733C">
        <w:rPr>
          <w:color w:val="21145F"/>
          <w:sz w:val="18"/>
          <w:szCs w:val="18"/>
        </w:rPr>
        <w:t>(2022)</w:t>
      </w:r>
    </w:p>
  </w:footnote>
  <w:footnote w:id="28">
    <w:p w:rsidR="00DC2317" w:rsidP="00046B77">
      <w:pPr>
        <w:pStyle w:val="FootnoteText"/>
      </w:pPr>
      <w:r w:rsidRPr="006A733C">
        <w:rPr>
          <w:rStyle w:val="FootnoteReference"/>
          <w:color w:val="21145F"/>
        </w:rPr>
        <w:footnoteRef/>
      </w:r>
      <w:r w:rsidRPr="006A733C">
        <w:rPr>
          <w:color w:val="21145F"/>
          <w:sz w:val="18"/>
          <w:szCs w:val="18"/>
        </w:rPr>
        <w:t>EngineeringUK</w:t>
      </w:r>
      <w:r w:rsidRPr="006A733C">
        <w:rPr>
          <w:color w:val="21145F"/>
          <w:sz w:val="18"/>
          <w:szCs w:val="18"/>
        </w:rPr>
        <w:t xml:space="preserve"> </w:t>
      </w:r>
      <w:r>
        <w:fldChar w:fldCharType="begin"/>
      </w:r>
      <w:r>
        <w:instrText xml:space="preserve"> HYPERLINK "https://www.engineeringuk.com/media/4rwlitac/school-report-stem-teacher-recruitment-and-retention-engineeringuk-june-25.pdf" </w:instrText>
      </w:r>
      <w:r>
        <w:fldChar w:fldCharType="separate"/>
      </w:r>
      <w:r w:rsidRPr="008E6242">
        <w:rPr>
          <w:rStyle w:val="Hyperlink"/>
          <w:sz w:val="18"/>
          <w:szCs w:val="18"/>
        </w:rPr>
        <w:t>School report: The challenge of STEM teacher recruitment and retention</w:t>
      </w:r>
      <w:r>
        <w:fldChar w:fldCharType="end"/>
      </w:r>
      <w:r w:rsidRPr="008E6242">
        <w:rPr>
          <w:sz w:val="18"/>
          <w:szCs w:val="18"/>
        </w:rPr>
        <w:t xml:space="preserve"> </w:t>
      </w:r>
      <w:r w:rsidRPr="006A733C">
        <w:rPr>
          <w:color w:val="21145F"/>
          <w:sz w:val="18"/>
          <w:szCs w:val="18"/>
        </w:rPr>
        <w:t>(2025)</w:t>
      </w:r>
    </w:p>
  </w:footnote>
  <w:footnote w:id="29">
    <w:p w:rsidR="00DC2317" w:rsidRPr="00617A14" w:rsidP="00046B77">
      <w:pPr>
        <w:pStyle w:val="FootnoteText"/>
        <w:rPr>
          <w:sz w:val="18"/>
          <w:szCs w:val="18"/>
        </w:rPr>
      </w:pPr>
      <w:r w:rsidRPr="006A733C">
        <w:rPr>
          <w:rStyle w:val="FootnoteReference"/>
          <w:color w:val="21145F"/>
          <w:sz w:val="18"/>
          <w:szCs w:val="18"/>
        </w:rPr>
        <w:footnoteRef/>
      </w:r>
      <w:r w:rsidRPr="006A733C">
        <w:rPr>
          <w:color w:val="21145F"/>
          <w:sz w:val="18"/>
          <w:szCs w:val="18"/>
        </w:rPr>
        <w:t xml:space="preserve"> NFER, </w:t>
      </w:r>
      <w:r>
        <w:fldChar w:fldCharType="begin"/>
      </w:r>
      <w:r>
        <w:instrText xml:space="preserve"> HYPERLINK "https://www.nfer.ac.uk/media/idcdsseo/the_school_teacher_workforce_in_england_annual_report_2026.pdf" </w:instrText>
      </w:r>
      <w:r>
        <w:fldChar w:fldCharType="separate"/>
      </w:r>
      <w:r w:rsidRPr="008E6242">
        <w:rPr>
          <w:rStyle w:val="Hyperlink"/>
          <w:sz w:val="18"/>
          <w:szCs w:val="18"/>
        </w:rPr>
        <w:t>NFER’s eighth annual Teacher Labour Market report</w:t>
      </w:r>
      <w:r>
        <w:fldChar w:fldCharType="end"/>
      </w:r>
      <w:r>
        <w:rPr>
          <w:sz w:val="18"/>
          <w:szCs w:val="18"/>
        </w:rPr>
        <w:t xml:space="preserve"> </w:t>
      </w:r>
      <w:r w:rsidRPr="006A733C">
        <w:rPr>
          <w:color w:val="21145F"/>
          <w:sz w:val="18"/>
          <w:szCs w:val="18"/>
        </w:rPr>
        <w:t>(2026)</w:t>
      </w:r>
    </w:p>
  </w:footnote>
  <w:footnote w:id="30">
    <w:p w:rsidR="00DC2317" w:rsidP="00046B77">
      <w:pPr>
        <w:pStyle w:val="FootnoteText"/>
      </w:pPr>
      <w:r w:rsidRPr="006A733C">
        <w:rPr>
          <w:rStyle w:val="FootnoteReference"/>
          <w:color w:val="21145F"/>
        </w:rPr>
        <w:footnoteRef/>
      </w:r>
      <w:r w:rsidRPr="006A733C">
        <w:rPr>
          <w:color w:val="21145F"/>
          <w:sz w:val="18"/>
          <w:szCs w:val="18"/>
        </w:rPr>
        <w:t>EngineeringUK</w:t>
      </w:r>
      <w:r w:rsidRPr="006A733C">
        <w:rPr>
          <w:color w:val="21145F"/>
          <w:sz w:val="18"/>
          <w:szCs w:val="18"/>
        </w:rPr>
        <w:t>,</w:t>
      </w:r>
      <w:r w:rsidRPr="008C5023">
        <w:rPr>
          <w:sz w:val="18"/>
          <w:szCs w:val="18"/>
        </w:rPr>
        <w:t xml:space="preserve"> </w:t>
      </w:r>
      <w:r>
        <w:fldChar w:fldCharType="begin"/>
      </w:r>
      <w:r>
        <w:instrText xml:space="preserve"> HYPERLINK "https://www.engineeringuk.com/research-and-insights/young-people-insights/what-teachers-think-about-engineering-and-technology-careers/" </w:instrText>
      </w:r>
      <w:r>
        <w:fldChar w:fldCharType="separate"/>
      </w:r>
      <w:r w:rsidRPr="008C5023">
        <w:rPr>
          <w:rStyle w:val="Hyperlink"/>
          <w:sz w:val="18"/>
          <w:szCs w:val="18"/>
        </w:rPr>
        <w:t>School Report: The challenge of STEM Recruitment and Retention</w:t>
      </w:r>
      <w:r>
        <w:fldChar w:fldCharType="end"/>
      </w:r>
    </w:p>
  </w:footnote>
  <w:footnote w:id="31">
    <w:p w:rsidR="00DC2317" w:rsidRPr="008C5023" w:rsidP="00046B77">
      <w:pPr>
        <w:pStyle w:val="FootnoteText"/>
        <w:rPr>
          <w:sz w:val="18"/>
          <w:szCs w:val="18"/>
        </w:rPr>
      </w:pPr>
      <w:r w:rsidRPr="006A733C">
        <w:rPr>
          <w:rStyle w:val="FootnoteReference"/>
          <w:color w:val="21145F"/>
          <w:sz w:val="18"/>
          <w:szCs w:val="18"/>
        </w:rPr>
        <w:footnoteRef/>
      </w:r>
      <w:r w:rsidRPr="006A733C">
        <w:rPr>
          <w:color w:val="21145F"/>
          <w:sz w:val="18"/>
          <w:szCs w:val="18"/>
        </w:rPr>
        <w:t xml:space="preserve"> EEF, </w:t>
      </w:r>
      <w:r>
        <w:fldChar w:fldCharType="begin"/>
      </w:r>
      <w:r>
        <w:instrText xml:space="preserve"> HYPERLINK "https://educationendowmentfoundation.org.uk/education-evidence/evidence-reviews/flexible-working-approaches" </w:instrText>
      </w:r>
      <w:r>
        <w:fldChar w:fldCharType="separate"/>
      </w:r>
      <w:r w:rsidRPr="008C5023">
        <w:rPr>
          <w:rStyle w:val="Hyperlink"/>
          <w:sz w:val="18"/>
          <w:szCs w:val="18"/>
        </w:rPr>
        <w:t>Flexible working approaches | EEF</w:t>
      </w:r>
      <w:r>
        <w:fldChar w:fldCharType="end"/>
      </w:r>
      <w:r w:rsidRPr="008C5023">
        <w:rPr>
          <w:sz w:val="18"/>
          <w:szCs w:val="18"/>
        </w:rPr>
        <w:t xml:space="preserve"> </w:t>
      </w:r>
      <w:r w:rsidRPr="006A733C">
        <w:rPr>
          <w:color w:val="21145F"/>
          <w:sz w:val="18"/>
          <w:szCs w:val="18"/>
        </w:rPr>
        <w:t>(2023)</w:t>
      </w:r>
    </w:p>
  </w:footnote>
  <w:footnote w:id="32">
    <w:p w:rsidR="00DC2317" w:rsidP="00046B77">
      <w:pPr>
        <w:pStyle w:val="FootnoteText"/>
      </w:pPr>
      <w:r w:rsidRPr="006A733C">
        <w:rPr>
          <w:rStyle w:val="FootnoteReference"/>
          <w:color w:val="21145F"/>
        </w:rPr>
        <w:footnoteRef/>
      </w:r>
      <w:r w:rsidRPr="006A733C">
        <w:rPr>
          <w:color w:val="21145F"/>
        </w:rPr>
        <w:t xml:space="preserve"> </w:t>
      </w:r>
      <w:r w:rsidRPr="006A733C">
        <w:rPr>
          <w:color w:val="21145F"/>
          <w:sz w:val="18"/>
          <w:szCs w:val="18"/>
        </w:rPr>
        <w:t xml:space="preserve">DfE, </w:t>
      </w:r>
      <w:r>
        <w:fldChar w:fldCharType="begin"/>
      </w:r>
      <w:r>
        <w:instrText xml:space="preserve"> HYPERLINK "https://assets.publishing.service.gov.uk/media/693bdc426a12691d48491e9b/Working_lives_of_teachers_and_leaders_wave_4_summary_report.pdf" </w:instrText>
      </w:r>
      <w:r>
        <w:fldChar w:fldCharType="separate"/>
      </w:r>
      <w:r w:rsidRPr="005827A0">
        <w:rPr>
          <w:rStyle w:val="Hyperlink"/>
          <w:sz w:val="18"/>
          <w:szCs w:val="18"/>
        </w:rPr>
        <w:t>Working lives of teachers and leaders: wave 4 summary report</w:t>
      </w:r>
      <w:r>
        <w:fldChar w:fldCharType="end"/>
      </w:r>
      <w:r w:rsidRPr="005827A0">
        <w:rPr>
          <w:sz w:val="18"/>
          <w:szCs w:val="18"/>
        </w:rPr>
        <w:t xml:space="preserve"> </w:t>
      </w:r>
      <w:r w:rsidRPr="006A733C">
        <w:rPr>
          <w:color w:val="21145F"/>
          <w:sz w:val="18"/>
          <w:szCs w:val="18"/>
        </w:rPr>
        <w:t>(2025)</w:t>
      </w:r>
    </w:p>
  </w:footnote>
  <w:footnote w:id="33">
    <w:p w:rsidR="00DC2317" w:rsidP="00046B77">
      <w:pPr>
        <w:pStyle w:val="FootnoteText"/>
      </w:pPr>
      <w:r w:rsidRPr="006A733C">
        <w:rPr>
          <w:rStyle w:val="FootnoteReference"/>
          <w:color w:val="21145F"/>
          <w:sz w:val="18"/>
          <w:szCs w:val="18"/>
        </w:rPr>
        <w:footnoteRef/>
      </w:r>
      <w:r w:rsidRPr="006A733C">
        <w:rPr>
          <w:color w:val="21145F"/>
          <w:sz w:val="18"/>
          <w:szCs w:val="18"/>
        </w:rPr>
        <w:t xml:space="preserve"> </w:t>
      </w:r>
      <w:r w:rsidRPr="006A733C">
        <w:rPr>
          <w:rFonts w:cs="Calibri"/>
          <w:color w:val="21145F"/>
          <w:sz w:val="18"/>
          <w:szCs w:val="18"/>
        </w:rPr>
        <w:t xml:space="preserve">NFER, </w:t>
      </w:r>
      <w:r>
        <w:fldChar w:fldCharType="begin"/>
      </w:r>
      <w:r>
        <w:instrText xml:space="preserve"> HYPERLINK "https://www.nfer.ac.uk/publications/teacher-labour-market-in-england-annual-report-2025/" </w:instrText>
      </w:r>
      <w:r>
        <w:fldChar w:fldCharType="separate"/>
      </w:r>
      <w:r w:rsidRPr="008C5023">
        <w:rPr>
          <w:rStyle w:val="Hyperlink"/>
          <w:rFonts w:cs="Calibri"/>
          <w:sz w:val="18"/>
          <w:szCs w:val="18"/>
        </w:rPr>
        <w:t>Teacher Labour Market in England Annual Report</w:t>
      </w:r>
      <w:r>
        <w:fldChar w:fldCharType="end"/>
      </w:r>
      <w:r w:rsidRPr="008C5023">
        <w:rPr>
          <w:rFonts w:cs="Calibri"/>
          <w:sz w:val="18"/>
          <w:szCs w:val="18"/>
        </w:rPr>
        <w:t xml:space="preserve">, </w:t>
      </w:r>
      <w:r w:rsidRPr="006A733C">
        <w:rPr>
          <w:rFonts w:cs="Calibri"/>
          <w:color w:val="21145F"/>
          <w:sz w:val="18"/>
          <w:szCs w:val="18"/>
        </w:rPr>
        <w:t>(Mar 2025)</w:t>
      </w:r>
    </w:p>
  </w:footnote>
  <w:footnote w:id="34">
    <w:p w:rsidR="00DC2317" w:rsidP="00046B77">
      <w:pPr>
        <w:pStyle w:val="FootnoteText"/>
      </w:pPr>
      <w:r w:rsidRPr="006A733C">
        <w:rPr>
          <w:rStyle w:val="FootnoteReference"/>
          <w:color w:val="21145F"/>
        </w:rPr>
        <w:footnoteRef/>
      </w:r>
      <w:r w:rsidRPr="006A733C">
        <w:rPr>
          <w:color w:val="21145F"/>
        </w:rPr>
        <w:t xml:space="preserve"> </w:t>
      </w:r>
      <w:r w:rsidRPr="006A733C">
        <w:rPr>
          <w:color w:val="21145F"/>
          <w:sz w:val="18"/>
          <w:szCs w:val="18"/>
        </w:rPr>
        <w:t xml:space="preserve">Institute of Physics, </w:t>
      </w:r>
      <w:r>
        <w:fldChar w:fldCharType="begin"/>
      </w:r>
      <w:r>
        <w:instrText xml:space="preserve"> HYPERLINK "https://www.iop.org/sites/default/files/2025-09/The-physics-teacher-shortage-and-addressing-it-through-the-3Rs-Retention-Recruitment-and-Retraining-England.pdf" </w:instrText>
      </w:r>
      <w:r>
        <w:fldChar w:fldCharType="separate"/>
      </w:r>
      <w:r w:rsidRPr="008C5023">
        <w:rPr>
          <w:rStyle w:val="Hyperlink"/>
          <w:sz w:val="18"/>
          <w:szCs w:val="18"/>
        </w:rPr>
        <w:t>The physics teacher shortage and addressing it through the 3Rs: Retention, Recruitment and Retraining (England)</w:t>
      </w:r>
      <w:r>
        <w:fldChar w:fldCharType="end"/>
      </w:r>
      <w:r w:rsidRPr="008C5023">
        <w:rPr>
          <w:sz w:val="18"/>
          <w:szCs w:val="18"/>
        </w:rPr>
        <w:t xml:space="preserve"> </w:t>
      </w:r>
      <w:r w:rsidRPr="006A733C">
        <w:rPr>
          <w:color w:val="21145F"/>
          <w:sz w:val="18"/>
          <w:szCs w:val="18"/>
        </w:rPr>
        <w:t>(2025)</w:t>
      </w:r>
    </w:p>
  </w:footnote>
  <w:footnote w:id="35">
    <w:p w:rsidR="00DC2317" w:rsidP="00046B77">
      <w:pPr>
        <w:pStyle w:val="FootnoteText"/>
      </w:pPr>
      <w:r w:rsidRPr="006A733C">
        <w:rPr>
          <w:rStyle w:val="FootnoteReference"/>
          <w:color w:val="21145F"/>
        </w:rPr>
        <w:footnoteRef/>
      </w:r>
      <w:r w:rsidRPr="006A733C">
        <w:rPr>
          <w:color w:val="21145F"/>
        </w:rPr>
        <w:t xml:space="preserve"> </w:t>
      </w:r>
      <w:r w:rsidRPr="006A733C">
        <w:rPr>
          <w:rFonts w:eastAsia="Calibri Light" w:cs="Calibri"/>
          <w:color w:val="21145F"/>
          <w:sz w:val="18"/>
          <w:szCs w:val="18"/>
        </w:rPr>
        <w:t>Wellcome</w:t>
      </w:r>
      <w:r w:rsidRPr="006A733C">
        <w:rPr>
          <w:rFonts w:eastAsia="Calibri Light" w:cs="Calibri"/>
          <w:color w:val="21145F"/>
          <w:sz w:val="18"/>
          <w:szCs w:val="18"/>
        </w:rPr>
        <w:t xml:space="preserve"> Trust, </w:t>
      </w:r>
      <w:r>
        <w:fldChar w:fldCharType="begin"/>
      </w:r>
      <w:r>
        <w:instrText xml:space="preserve"> HYPERLINK </w:instrText>
      </w:r>
      <w:r>
        <w:fldChar w:fldCharType="separate"/>
      </w:r>
      <w:r w:rsidRPr="0065729D">
        <w:rPr>
          <w:rStyle w:val="Hyperlink"/>
          <w:rFonts w:eastAsia="Calibri Light" w:cs="Calibri"/>
          <w:sz w:val="18"/>
          <w:szCs w:val="18"/>
        </w:rPr>
        <w:t>’Solving the STEM shortage: CPD improves science teacher retention</w:t>
      </w:r>
      <w:r>
        <w:fldChar w:fldCharType="end"/>
      </w:r>
      <w:r w:rsidRPr="0065729D">
        <w:rPr>
          <w:rFonts w:eastAsia="Calibri Light" w:cs="Calibri"/>
          <w:sz w:val="18"/>
          <w:szCs w:val="18"/>
        </w:rPr>
        <w:t xml:space="preserve">’ </w:t>
      </w:r>
      <w:r w:rsidRPr="006A733C">
        <w:rPr>
          <w:rFonts w:eastAsia="Calibri Light" w:cs="Calibri"/>
          <w:color w:val="21145F"/>
          <w:sz w:val="18"/>
          <w:szCs w:val="18"/>
        </w:rPr>
        <w:t>(2017)</w:t>
      </w:r>
    </w:p>
  </w:footnote>
  <w:footnote w:id="36">
    <w:p w:rsidR="00DC2317" w:rsidP="00046B77">
      <w:pPr>
        <w:pStyle w:val="FootnoteText"/>
      </w:pPr>
      <w:r w:rsidRPr="006A733C">
        <w:rPr>
          <w:rStyle w:val="FootnoteReference"/>
          <w:color w:val="21145F"/>
        </w:rPr>
        <w:footnoteRef/>
      </w:r>
      <w:r w:rsidRPr="006A733C">
        <w:rPr>
          <w:color w:val="21145F"/>
        </w:rPr>
        <w:t xml:space="preserve"> </w:t>
      </w:r>
      <w:r w:rsidRPr="006A733C">
        <w:rPr>
          <w:color w:val="21145F"/>
          <w:sz w:val="18"/>
          <w:szCs w:val="18"/>
        </w:rPr>
        <w:t xml:space="preserve">Girlguiding </w:t>
      </w:r>
      <w:r>
        <w:fldChar w:fldCharType="begin"/>
      </w:r>
      <w:r>
        <w:instrText xml:space="preserve"> HYPERLINK "https://www.girlguiding.org.uk/globalassets/docs-and-resources/blogs-and-case-studies/gas/girlguiding-girls-attitudes-survey-2025.pdf" \t "_blank" </w:instrText>
      </w:r>
      <w:r>
        <w:fldChar w:fldCharType="separate"/>
      </w:r>
      <w:r w:rsidRPr="0065729D">
        <w:rPr>
          <w:rStyle w:val="Hyperlink"/>
          <w:sz w:val="18"/>
          <w:szCs w:val="18"/>
        </w:rPr>
        <w:t>Girls’ attitudes survey 2025</w:t>
      </w:r>
      <w:r>
        <w:fldChar w:fldCharType="end"/>
      </w:r>
      <w:r w:rsidRPr="0065729D">
        <w:rPr>
          <w:sz w:val="18"/>
          <w:szCs w:val="18"/>
        </w:rPr>
        <w:t xml:space="preserve"> </w:t>
      </w:r>
      <w:r w:rsidRPr="006A733C">
        <w:rPr>
          <w:color w:val="21145F"/>
          <w:sz w:val="18"/>
          <w:szCs w:val="18"/>
        </w:rPr>
        <w:t>(2025)</w:t>
      </w:r>
    </w:p>
  </w:footnote>
  <w:footnote w:id="37">
    <w:p w:rsidR="00DC2317" w:rsidRPr="006F4583" w:rsidP="00046B77">
      <w:pPr>
        <w:pStyle w:val="FootnoteText"/>
        <w:rPr>
          <w:sz w:val="18"/>
          <w:szCs w:val="18"/>
        </w:rPr>
      </w:pPr>
      <w:r w:rsidRPr="006A733C">
        <w:rPr>
          <w:rStyle w:val="FootnoteReference"/>
          <w:color w:val="21145F"/>
          <w:sz w:val="18"/>
          <w:szCs w:val="18"/>
        </w:rPr>
        <w:footnoteRef/>
      </w:r>
      <w:r w:rsidRPr="006A733C">
        <w:rPr>
          <w:color w:val="21145F"/>
          <w:sz w:val="18"/>
          <w:szCs w:val="18"/>
        </w:rPr>
        <w:t xml:space="preserve"> </w:t>
      </w:r>
      <w:r w:rsidRPr="006A733C">
        <w:rPr>
          <w:color w:val="21145F"/>
          <w:sz w:val="18"/>
          <w:szCs w:val="18"/>
        </w:rPr>
        <w:t>EngineeringUK</w:t>
      </w:r>
      <w:r w:rsidRPr="006A733C">
        <w:rPr>
          <w:color w:val="21145F"/>
          <w:sz w:val="18"/>
          <w:szCs w:val="18"/>
        </w:rPr>
        <w:t xml:space="preserve"> </w:t>
      </w:r>
      <w:r>
        <w:fldChar w:fldCharType="begin"/>
      </w:r>
      <w:r>
        <w:instrText xml:space="preserve"> HYPERLINK "https://www.engineeringuk.com/research-and-insights/our-research-and-evaluation-reports/advancing-stem-careers-provision-in-england/" </w:instrText>
      </w:r>
      <w:r>
        <w:fldChar w:fldCharType="separate"/>
      </w:r>
      <w:r w:rsidRPr="00022A61">
        <w:rPr>
          <w:rStyle w:val="Hyperlink"/>
          <w:sz w:val="18"/>
          <w:szCs w:val="18"/>
        </w:rPr>
        <w:t>Advancing STEM careers provision in England</w:t>
      </w:r>
      <w:r>
        <w:fldChar w:fldCharType="end"/>
      </w:r>
      <w:r w:rsidRPr="00022A61">
        <w:rPr>
          <w:sz w:val="18"/>
          <w:szCs w:val="18"/>
        </w:rPr>
        <w:t xml:space="preserve"> </w:t>
      </w:r>
      <w:r w:rsidRPr="006A733C">
        <w:rPr>
          <w:color w:val="21145F"/>
          <w:sz w:val="18"/>
          <w:szCs w:val="18"/>
        </w:rPr>
        <w:t>(2024)</w:t>
      </w:r>
    </w:p>
  </w:footnote>
  <w:footnote w:id="38">
    <w:p w:rsidR="00DC2317" w:rsidP="00046B77">
      <w:pPr>
        <w:pStyle w:val="FootnoteText"/>
      </w:pPr>
      <w:r w:rsidRPr="006A733C">
        <w:rPr>
          <w:rStyle w:val="FootnoteReference"/>
          <w:color w:val="21145F"/>
          <w:sz w:val="18"/>
          <w:szCs w:val="18"/>
        </w:rPr>
        <w:footnoteRef/>
      </w:r>
      <w:r w:rsidRPr="006A733C">
        <w:rPr>
          <w:color w:val="21145F"/>
          <w:sz w:val="18"/>
          <w:szCs w:val="18"/>
        </w:rPr>
        <w:t xml:space="preserve"> </w:t>
      </w:r>
      <w:r>
        <w:fldChar w:fldCharType="begin"/>
      </w:r>
      <w:r>
        <w:instrText xml:space="preserve"> HYPERLINK "https://www.careersandenterprise.co.uk/evidence-and-reports/careers-education-202223-now-next" </w:instrText>
      </w:r>
      <w:r>
        <w:fldChar w:fldCharType="separate"/>
      </w:r>
      <w:r w:rsidRPr="00022A61">
        <w:rPr>
          <w:rStyle w:val="Hyperlink"/>
          <w:sz w:val="18"/>
          <w:szCs w:val="18"/>
        </w:rPr>
        <w:t>Careers Education 2022/23: Now &amp; next | CEC Corporate Web</w:t>
      </w:r>
      <w:r>
        <w:fldChar w:fldCharType="end"/>
      </w:r>
    </w:p>
  </w:footnote>
  <w:footnote w:id="39">
    <w:p w:rsidR="00DC2317" w:rsidP="00046B77">
      <w:pPr>
        <w:pStyle w:val="FootnoteText"/>
      </w:pPr>
      <w:r w:rsidRPr="006A733C">
        <w:rPr>
          <w:rStyle w:val="FootnoteReference"/>
          <w:color w:val="21145F"/>
        </w:rPr>
        <w:footnoteRef/>
      </w:r>
      <w:r w:rsidRPr="006A733C">
        <w:rPr>
          <w:color w:val="21145F"/>
        </w:rPr>
        <w:t xml:space="preserve"> </w:t>
      </w:r>
      <w:r w:rsidRPr="006A733C">
        <w:rPr>
          <w:color w:val="21145F"/>
          <w:sz w:val="18"/>
          <w:szCs w:val="18"/>
        </w:rPr>
        <w:t>EngineeringUK</w:t>
      </w:r>
      <w:r w:rsidRPr="006A733C">
        <w:rPr>
          <w:color w:val="21145F"/>
          <w:sz w:val="18"/>
          <w:szCs w:val="18"/>
        </w:rPr>
        <w:t xml:space="preserve"> (2025) </w:t>
      </w:r>
      <w:r>
        <w:fldChar w:fldCharType="begin"/>
      </w:r>
      <w:r>
        <w:instrText xml:space="preserve"> HYPERLINK "https://www.engineeringuk.com/research-and-insights/our-research-and-evaluation-reports/gcse-and-scottish-national-5-results-2025/" \t "_blank" </w:instrText>
      </w:r>
      <w:r>
        <w:fldChar w:fldCharType="separate"/>
      </w:r>
      <w:r w:rsidRPr="00F16A67">
        <w:rPr>
          <w:rStyle w:val="Hyperlink"/>
          <w:sz w:val="18"/>
          <w:szCs w:val="18"/>
        </w:rPr>
        <w:t>GCSE and Scottish National 5 results day briefing 2025</w:t>
      </w:r>
      <w:r>
        <w:fldChar w:fldCharType="end"/>
      </w:r>
    </w:p>
  </w:footnote>
  <w:footnote w:id="40">
    <w:p w:rsidR="00DC2317" w:rsidP="00046B77">
      <w:pPr>
        <w:pStyle w:val="FootnoteText"/>
      </w:pPr>
      <w:r w:rsidRPr="006A733C">
        <w:rPr>
          <w:rStyle w:val="FootnoteReference"/>
          <w:color w:val="21145F"/>
        </w:rPr>
        <w:footnoteRef/>
      </w:r>
      <w:r w:rsidRPr="006A733C">
        <w:rPr>
          <w:color w:val="21145F"/>
        </w:rPr>
        <w:t xml:space="preserve"> </w:t>
      </w:r>
      <w:r w:rsidRPr="006A733C">
        <w:rPr>
          <w:color w:val="21145F"/>
          <w:sz w:val="18"/>
          <w:szCs w:val="18"/>
        </w:rPr>
        <w:t>EngineeringUK</w:t>
      </w:r>
      <w:r w:rsidRPr="006A733C">
        <w:rPr>
          <w:color w:val="21145F"/>
          <w:sz w:val="18"/>
          <w:szCs w:val="18"/>
        </w:rPr>
        <w:t xml:space="preserve"> (2025) </w:t>
      </w:r>
      <w:r>
        <w:fldChar w:fldCharType="begin"/>
      </w:r>
      <w:r>
        <w:instrText xml:space="preserve"> HYPERLINK "https://www.engineeringuk.com/research-and-insights/our-research-and-evaluation-reports/a-level-and-scottish-highers-results-2025/" \t "_blank" </w:instrText>
      </w:r>
      <w:r>
        <w:fldChar w:fldCharType="separate"/>
      </w:r>
      <w:r w:rsidRPr="00F16A67">
        <w:rPr>
          <w:rStyle w:val="Hyperlink"/>
          <w:sz w:val="18"/>
          <w:szCs w:val="18"/>
        </w:rPr>
        <w:t>A level and Scottish Highers results 2025 report</w:t>
      </w:r>
      <w:r>
        <w:fldChar w:fldCharType="end"/>
      </w:r>
    </w:p>
  </w:footnote>
  <w:footnote w:id="41">
    <w:p w:rsidR="00DC2317" w:rsidP="00046B77">
      <w:pPr>
        <w:pStyle w:val="FootnoteText"/>
      </w:pPr>
      <w:r w:rsidRPr="006A733C">
        <w:rPr>
          <w:rStyle w:val="FootnoteReference"/>
          <w:color w:val="21145F"/>
        </w:rPr>
        <w:footnoteRef/>
      </w:r>
      <w:r w:rsidRPr="006A733C">
        <w:rPr>
          <w:color w:val="21145F"/>
        </w:rPr>
        <w:t xml:space="preserve"> </w:t>
      </w:r>
      <w:r w:rsidRPr="006A733C">
        <w:rPr>
          <w:color w:val="21145F"/>
          <w:sz w:val="18"/>
          <w:szCs w:val="18"/>
        </w:rPr>
        <w:t>EngineeringUK</w:t>
      </w:r>
      <w:r w:rsidRPr="006A733C">
        <w:rPr>
          <w:color w:val="21145F"/>
          <w:sz w:val="18"/>
          <w:szCs w:val="18"/>
        </w:rPr>
        <w:t xml:space="preserve"> (2025) </w:t>
      </w:r>
      <w:r>
        <w:fldChar w:fldCharType="begin"/>
      </w:r>
      <w:r>
        <w:instrText xml:space="preserve"> HYPERLINK "https://www.engineeringuk.com/research-and-insights/our-research-and-evaluation-reports/a-level-and-scottish-highers-results-2025/" \t "_blank" </w:instrText>
      </w:r>
      <w:r>
        <w:fldChar w:fldCharType="separate"/>
      </w:r>
      <w:r w:rsidRPr="00F16A67">
        <w:rPr>
          <w:rStyle w:val="Hyperlink"/>
          <w:sz w:val="18"/>
          <w:szCs w:val="18"/>
        </w:rPr>
        <w:t>A level and Scottish Highers results 2025 report</w:t>
      </w:r>
      <w:r>
        <w:fldChar w:fldCharType="end"/>
      </w:r>
    </w:p>
  </w:footnote>
  <w:footnote w:id="42">
    <w:p w:rsidR="00DC2317" w:rsidP="00046B77">
      <w:pPr>
        <w:pStyle w:val="FootnoteText"/>
      </w:pPr>
      <w:r w:rsidRPr="006A733C">
        <w:rPr>
          <w:rStyle w:val="FootnoteReference"/>
          <w:color w:val="21145F"/>
        </w:rPr>
        <w:footnoteRef/>
      </w:r>
      <w:r w:rsidRPr="006A733C">
        <w:rPr>
          <w:color w:val="21145F"/>
        </w:rPr>
        <w:t xml:space="preserve"> </w:t>
      </w:r>
      <w:r w:rsidRPr="006A733C">
        <w:rPr>
          <w:color w:val="21145F"/>
          <w:sz w:val="18"/>
          <w:szCs w:val="18"/>
        </w:rPr>
        <w:t>EngineeringUK</w:t>
      </w:r>
      <w:r w:rsidRPr="006A733C">
        <w:rPr>
          <w:color w:val="21145F"/>
          <w:sz w:val="18"/>
          <w:szCs w:val="18"/>
        </w:rPr>
        <w:t xml:space="preserve"> (2026)</w:t>
      </w:r>
      <w:r w:rsidRPr="00F16A67">
        <w:rPr>
          <w:sz w:val="18"/>
          <w:szCs w:val="18"/>
        </w:rPr>
        <w:t xml:space="preserve">, </w:t>
      </w:r>
      <w:r>
        <w:fldChar w:fldCharType="begin"/>
      </w:r>
      <w:r>
        <w:instrText xml:space="preserve"> HYPERLINK "https://www.engineeringuk.com/media/s3jb2d1q/context-setting-gender-and-pathways-into-engineering-and-technology-engineeringuk-march-2026.pdf" \t "_blank" </w:instrText>
      </w:r>
      <w:r>
        <w:fldChar w:fldCharType="separate"/>
      </w:r>
      <w:r w:rsidRPr="00F16A67">
        <w:rPr>
          <w:rStyle w:val="Hyperlink"/>
          <w:sz w:val="18"/>
          <w:szCs w:val="18"/>
        </w:rPr>
        <w:t>Context setting paper: gender pathways into engineering and technology</w:t>
      </w:r>
      <w:r>
        <w:fldChar w:fldCharType="end"/>
      </w:r>
      <w:r w:rsidRPr="00F16A67">
        <w:rPr>
          <w:sz w:val="18"/>
          <w:szCs w:val="18"/>
        </w:rPr>
        <w:t> </w:t>
      </w:r>
    </w:p>
  </w:footnote>
  <w:footnote w:id="43">
    <w:p w:rsidR="00DC2317" w:rsidP="00046B77">
      <w:pPr>
        <w:pStyle w:val="FootnoteText"/>
      </w:pPr>
      <w:r w:rsidRPr="006A733C">
        <w:rPr>
          <w:rStyle w:val="FootnoteReference"/>
          <w:color w:val="21145F"/>
        </w:rPr>
        <w:footnoteRef/>
      </w:r>
      <w:r w:rsidRPr="006A733C">
        <w:rPr>
          <w:color w:val="21145F"/>
        </w:rPr>
        <w:t xml:space="preserve"> </w:t>
      </w:r>
      <w:r w:rsidRPr="006A733C">
        <w:rPr>
          <w:color w:val="21145F"/>
          <w:sz w:val="18"/>
          <w:szCs w:val="18"/>
        </w:rPr>
        <w:t>EngineeringUK</w:t>
      </w:r>
      <w:r w:rsidRPr="006A733C">
        <w:rPr>
          <w:color w:val="21145F"/>
          <w:sz w:val="18"/>
          <w:szCs w:val="18"/>
        </w:rPr>
        <w:t xml:space="preserve"> (2025), </w:t>
      </w:r>
      <w:r>
        <w:fldChar w:fldCharType="begin"/>
      </w:r>
      <w:r>
        <w:instrText xml:space="preserve"> HYPERLINK "https://www.engineeringuk.com/research-and-insights/our-research-and-evaluation-reports/t-levels-results-2025/" \t "_blank" </w:instrText>
      </w:r>
      <w:r>
        <w:fldChar w:fldCharType="separate"/>
      </w:r>
      <w:r w:rsidRPr="00F16A67">
        <w:rPr>
          <w:rStyle w:val="Hyperlink"/>
          <w:sz w:val="18"/>
          <w:szCs w:val="18"/>
        </w:rPr>
        <w:t>T Levels results 2025</w:t>
      </w:r>
      <w:r>
        <w:fldChar w:fldCharType="end"/>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74B242B"/>
    <w:multiLevelType w:val="hybridMultilevel"/>
    <w:tmpl w:val="81040CB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5D927D8D"/>
    <w:multiLevelType w:val="multilevel"/>
    <w:tmpl w:val="DDF477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E577A88"/>
    <w:multiLevelType w:val="hybridMultilevel"/>
    <w:tmpl w:val="09DEE53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5FA33645"/>
    <w:multiLevelType w:val="hybridMultilevel"/>
    <w:tmpl w:val="8CDC651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66C13F40"/>
    <w:multiLevelType w:val="hybridMultilevel"/>
    <w:tmpl w:val="6F48888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697E5C92"/>
    <w:multiLevelType w:val="hybridMultilevel"/>
    <w:tmpl w:val="1CE4AB2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nsid w:val="729759B3"/>
    <w:multiLevelType w:val="hybridMultilevel"/>
    <w:tmpl w:val="DAAA5DB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7D893EF5"/>
    <w:multiLevelType w:val="hybridMultilevel"/>
    <w:tmpl w:val="03181EB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nsid w:val="7D8B095C"/>
    <w:multiLevelType w:val="hybridMultilevel"/>
    <w:tmpl w:val="68A0421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0"/>
  </w:num>
  <w:num w:numId="4">
    <w:abstractNumId w:val="8"/>
  </w:num>
  <w:num w:numId="5">
    <w:abstractNumId w:val="3"/>
  </w:num>
  <w:num w:numId="6">
    <w:abstractNumId w:val="5"/>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oNotTrackMoves/>
  <w:defaultTabStop w:val="720"/>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mathPr>
  <w:themeFontLang w:val="en-GB"/>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EUK Text"/>
    <w:qFormat/>
    <w:rsid w:val="00046B77"/>
    <w:pPr>
      <w:spacing w:line="256" w:lineRule="auto"/>
    </w:pPr>
    <w:rPr>
      <w:color w:val="000000" w:themeColor="text1"/>
      <w:kern w:val="0"/>
      <w:sz w:val="22"/>
      <w:szCs w:val="22"/>
    </w:rPr>
  </w:style>
  <w:style w:type="paragraph" w:styleId="Heading1">
    <w:name w:val="heading 1"/>
    <w:basedOn w:val="Normal"/>
    <w:next w:val="Normal"/>
    <w:link w:val="Heading1Char"/>
    <w:uiPriority w:val="9"/>
    <w:qFormat/>
    <w:rsid w:val="00046B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6B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46B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6B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6B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6B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6B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6B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6B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6B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46B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46B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6B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6B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6B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6B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6B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6B77"/>
    <w:rPr>
      <w:rFonts w:eastAsiaTheme="majorEastAsia" w:cstheme="majorBidi"/>
      <w:color w:val="272727" w:themeColor="text1" w:themeTint="D8"/>
    </w:rPr>
  </w:style>
  <w:style w:type="paragraph" w:styleId="Title">
    <w:name w:val="Title"/>
    <w:basedOn w:val="Normal"/>
    <w:next w:val="Normal"/>
    <w:link w:val="TitleChar"/>
    <w:uiPriority w:val="10"/>
    <w:qFormat/>
    <w:rsid w:val="00046B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6B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6B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6B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6B77"/>
    <w:pPr>
      <w:spacing w:before="160"/>
      <w:jc w:val="center"/>
    </w:pPr>
    <w:rPr>
      <w:i/>
      <w:iCs/>
      <w:color w:val="404040" w:themeColor="text1" w:themeTint="BF"/>
    </w:rPr>
  </w:style>
  <w:style w:type="character" w:customStyle="1" w:styleId="QuoteChar">
    <w:name w:val="Quote Char"/>
    <w:basedOn w:val="DefaultParagraphFont"/>
    <w:link w:val="Quote"/>
    <w:uiPriority w:val="29"/>
    <w:rsid w:val="00046B77"/>
    <w:rPr>
      <w:i/>
      <w:iCs/>
      <w:color w:val="404040" w:themeColor="text1" w:themeTint="BF"/>
    </w:rPr>
  </w:style>
  <w:style w:type="paragraph" w:styleId="ListParagraph">
    <w:name w:val="List Paragraph"/>
    <w:aliases w:val="Bulletpoint EUK Education,Bulletpoint EUK EducationCxSpLast,EUK B1"/>
    <w:basedOn w:val="Normal"/>
    <w:uiPriority w:val="34"/>
    <w:qFormat/>
    <w:rsid w:val="00046B77"/>
    <w:pPr>
      <w:ind w:left="720"/>
      <w:contextualSpacing/>
    </w:pPr>
  </w:style>
  <w:style w:type="character" w:styleId="IntenseEmphasis">
    <w:name w:val="Intense Emphasis"/>
    <w:basedOn w:val="DefaultParagraphFont"/>
    <w:uiPriority w:val="21"/>
    <w:qFormat/>
    <w:rsid w:val="00046B77"/>
    <w:rPr>
      <w:i/>
      <w:iCs/>
      <w:color w:val="0F4761" w:themeColor="accent1" w:themeShade="BF"/>
    </w:rPr>
  </w:style>
  <w:style w:type="paragraph" w:styleId="IntenseQuote">
    <w:name w:val="Intense Quote"/>
    <w:basedOn w:val="Normal"/>
    <w:next w:val="Normal"/>
    <w:link w:val="IntenseQuoteChar"/>
    <w:uiPriority w:val="30"/>
    <w:qFormat/>
    <w:rsid w:val="00046B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6B77"/>
    <w:rPr>
      <w:i/>
      <w:iCs/>
      <w:color w:val="0F4761" w:themeColor="accent1" w:themeShade="BF"/>
    </w:rPr>
  </w:style>
  <w:style w:type="character" w:styleId="IntenseReference">
    <w:name w:val="Intense Reference"/>
    <w:basedOn w:val="DefaultParagraphFont"/>
    <w:uiPriority w:val="32"/>
    <w:qFormat/>
    <w:rsid w:val="00046B77"/>
    <w:rPr>
      <w:b/>
      <w:bCs/>
      <w:smallCaps/>
      <w:color w:val="0F4761" w:themeColor="accent1" w:themeShade="BF"/>
      <w:spacing w:val="5"/>
    </w:rPr>
  </w:style>
  <w:style w:type="paragraph" w:customStyle="1" w:styleId="EUKH2Title">
    <w:name w:val="EUK H2 Title"/>
    <w:basedOn w:val="Normal"/>
    <w:next w:val="Normal"/>
    <w:qFormat/>
    <w:rsid w:val="00046B77"/>
    <w:pPr>
      <w:outlineLvl w:val="1"/>
    </w:pPr>
    <w:rPr>
      <w:rFonts w:asciiTheme="majorHAnsi" w:hAnsiTheme="majorHAnsi" w:cstheme="majorHAnsi"/>
      <w:b/>
      <w:bCs/>
      <w:sz w:val="28"/>
      <w:szCs w:val="28"/>
    </w:rPr>
  </w:style>
  <w:style w:type="character" w:styleId="Hyperlink">
    <w:name w:val="Hyperlink"/>
    <w:basedOn w:val="DefaultParagraphFont"/>
    <w:uiPriority w:val="99"/>
    <w:rsid w:val="00046B77"/>
    <w:rPr>
      <w:color w:val="00AFAB"/>
      <w:u w:val="single"/>
    </w:rPr>
  </w:style>
  <w:style w:type="paragraph" w:styleId="FootnoteText">
    <w:name w:val="footnote text"/>
    <w:aliases w:val="Footer text"/>
    <w:basedOn w:val="Normal"/>
    <w:link w:val="FootnoteTextChar"/>
    <w:uiPriority w:val="99"/>
    <w:unhideWhenUsed/>
    <w:qFormat/>
    <w:rsid w:val="00046B77"/>
    <w:pPr>
      <w:spacing w:after="0" w:line="240" w:lineRule="auto"/>
    </w:pPr>
    <w:rPr>
      <w:sz w:val="20"/>
      <w:szCs w:val="20"/>
    </w:rPr>
  </w:style>
  <w:style w:type="character" w:customStyle="1" w:styleId="FootnoteTextChar">
    <w:name w:val="Footnote Text Char"/>
    <w:aliases w:val="Footer text Char"/>
    <w:basedOn w:val="DefaultParagraphFont"/>
    <w:link w:val="FootnoteText"/>
    <w:uiPriority w:val="99"/>
    <w:rsid w:val="00046B77"/>
    <w:rPr>
      <w:color w:val="000000" w:themeColor="text1"/>
      <w:kern w:val="0"/>
      <w:sz w:val="20"/>
      <w:szCs w:val="20"/>
    </w:rPr>
  </w:style>
  <w:style w:type="character" w:styleId="FootnoteReference">
    <w:name w:val="footnote reference"/>
    <w:basedOn w:val="DefaultParagraphFont"/>
    <w:uiPriority w:val="99"/>
    <w:semiHidden/>
    <w:unhideWhenUsed/>
    <w:rsid w:val="00046B77"/>
    <w:rPr>
      <w:vertAlign w:val="superscript"/>
    </w:rPr>
  </w:style>
  <w:style w:type="character" w:customStyle="1" w:styleId="UnresolvedMention1">
    <w:name w:val="Unresolved Mention1"/>
    <w:basedOn w:val="DefaultParagraphFont"/>
    <w:uiPriority w:val="99"/>
    <w:semiHidden/>
    <w:unhideWhenUsed/>
    <w:rsid w:val="00CD7F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customXml" Target="../customXml/item3.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&#65279;<?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E161B56D108E46812BBAB04F4ACD50" ma:contentTypeVersion="13" ma:contentTypeDescription="Create a new document." ma:contentTypeScope="" ma:versionID="fe5c573ac9590e615cfe7c0b536be2c8">
  <xsd:schema xmlns:xsd="http://www.w3.org/2001/XMLSchema" xmlns:xs="http://www.w3.org/2001/XMLSchema" xmlns:p="http://schemas.microsoft.com/office/2006/metadata/properties" xmlns:ns2="0a0865ba-be47-48f4-aac8-b567c94377de" xmlns:ns3="461ba81c-1398-458d-96d4-9a8e9f5a1467" targetNamespace="http://schemas.microsoft.com/office/2006/metadata/properties" ma:root="true" ma:fieldsID="4b94b748184fc3805849bf31c6f5e040" ns2:_="" ns3:_="">
    <xsd:import namespace="0a0865ba-be47-48f4-aac8-b567c94377de"/>
    <xsd:import namespace="461ba81c-1398-458d-96d4-9a8e9f5a14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0865ba-be47-48f4-aac8-b567c94377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8243dfa-4154-4670-946c-2a8ca41de34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61ba81c-1398-458d-96d4-9a8e9f5a146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c8184da-496a-4f83-9738-c138e18db64f}" ma:internalName="TaxCatchAll" ma:showField="CatchAllData" ma:web="461ba81c-1398-458d-96d4-9a8e9f5a14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61ba81c-1398-458d-96d4-9a8e9f5a1467" xsi:nil="true"/>
    <lcf76f155ced4ddcb4097134ff3c332f xmlns="0a0865ba-be47-48f4-aac8-b567c94377d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91F1537-2C96-4BB9-9811-9993A6EAE0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0865ba-be47-48f4-aac8-b567c94377de"/>
    <ds:schemaRef ds:uri="461ba81c-1398-458d-96d4-9a8e9f5a14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94CE1C-4D1A-4FBC-B319-A29F5DEC9060}">
  <ds:schemaRefs>
    <ds:schemaRef ds:uri="http://schemas.microsoft.com/sharepoint/v3/contenttype/forms"/>
  </ds:schemaRefs>
</ds:datastoreItem>
</file>

<file path=customXml/itemProps3.xml><?xml version="1.0" encoding="utf-8"?>
<ds:datastoreItem xmlns:ds="http://schemas.openxmlformats.org/officeDocument/2006/customXml" ds:itemID="{7BBE44F5-C671-4715-AEA0-6EE94BA89CD4}">
  <ds:schemaRefs>
    <ds:schemaRef ds:uri="http://schemas.microsoft.com/office/2006/metadata/properties"/>
    <ds:schemaRef ds:uri="http://schemas.microsoft.com/office/infopath/2007/PartnerControls"/>
    <ds:schemaRef ds:uri="461ba81c-1398-458d-96d4-9a8e9f5a1467"/>
    <ds:schemaRef ds:uri="0a0865ba-be47-48f4-aac8-b567c94377de"/>
  </ds:schemaRefs>
</ds:datastoreItem>
</file>

<file path=docMetadata/LabelInfo.xml><?xml version="1.0" encoding="utf-8"?>
<clbl:labelList xmlns:clbl="http://schemas.microsoft.com/office/2020/mipLabelMetadata">
  <clbl:label id="{a8f77787-5df4-43b6-a2a8-8d8b678a318b}" enabled="1" method="Standard" siteId="{1ce6dd9e-b337-4088-be5e-8dbbec04b34a}" contentBits="0" removed="0"/>
</clbl:labelList>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evidence - ECA0059</dc:title>
  <cp:revision>0</cp:revision>
</cp:coreProperties>
</file>