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81D33" w:rsidRPr="00B81D33" w:rsidP="00B81D33">
      <w:pPr>
        <w:pStyle w:val="MainHeading"/>
        <w:jc w:val="center"/>
        <w:rPr>
          <w:color w:val="auto"/>
        </w:rPr>
      </w:pPr>
      <w:r w:rsidRPr="00B81D33">
        <w:rPr>
          <w:color w:val="auto"/>
        </w:rPr>
        <w:t xml:space="preserve">Written evidence by </w:t>
      </w:r>
      <w:r w:rsidRPr="00B81D33">
        <w:rPr>
          <w:bCs/>
          <w:color w:val="auto"/>
        </w:rPr>
        <w:t>National Foundation for Educational Research</w:t>
      </w:r>
      <w:r w:rsidRPr="00B81D33">
        <w:rPr>
          <w:bCs/>
          <w:color w:val="auto"/>
        </w:rPr>
        <w:t xml:space="preserve"> (ECA0058)</w:t>
      </w:r>
    </w:p>
    <w:p w:rsidR="00E67019" w:rsidRPr="00975A5C" w:rsidP="7AFBF8B9">
      <w:pPr>
        <w:pStyle w:val="MainHeading"/>
        <w:rPr>
          <w:rFonts w:ascii="Arial" w:eastAsia="Arial" w:hAnsi="Arial"/>
          <w:sz w:val="22"/>
        </w:rPr>
      </w:pPr>
      <w:r w:rsidRPr="7AFBF8B9">
        <w:t>Education Select Committee inquiry: ‘Every Child Achieving and Thriving’ White Paper</w:t>
      </w:r>
    </w:p>
    <w:p w:rsidR="00E67019" w:rsidP="7AFBF8B9">
      <w:pPr>
        <w:rPr>
          <w:b/>
          <w:bCs/>
        </w:rPr>
      </w:pPr>
      <w:r w:rsidRPr="7AFBF8B9">
        <w:rPr>
          <w:b/>
          <w:bCs/>
        </w:rPr>
        <w:t>Deadline 30</w:t>
      </w:r>
      <w:r w:rsidRPr="7AFBF8B9">
        <w:rPr>
          <w:b/>
          <w:bCs/>
          <w:vertAlign w:val="superscript"/>
        </w:rPr>
        <w:t>th</w:t>
      </w:r>
      <w:r w:rsidRPr="7AFBF8B9">
        <w:rPr>
          <w:b/>
          <w:bCs/>
        </w:rPr>
        <w:t xml:space="preserve"> July 2026</w:t>
      </w:r>
    </w:p>
    <w:p w:rsidR="00E67019" w:rsidP="7AFBF8B9">
      <w:r>
        <w:fldChar w:fldCharType="begin"/>
      </w:r>
      <w:r>
        <w:instrText xml:space="preserve"> HYPERLINK "https://committees.parliament.uk/submission/3933/" \l "/evidence/3933/call-for-evidence" </w:instrText>
      </w:r>
      <w:r>
        <w:fldChar w:fldCharType="separate"/>
      </w:r>
      <w:r w:rsidRPr="0C23D04F">
        <w:rPr>
          <w:rStyle w:val="Hyperlink"/>
        </w:rPr>
        <w:t>Terms of reference</w:t>
      </w:r>
      <w:r>
        <w:fldChar w:fldCharType="end"/>
      </w:r>
    </w:p>
    <w:p w:rsidR="00E67019" w:rsidP="7AFBF8B9"/>
    <w:p w:rsidR="00E67019" w:rsidP="00001EE7">
      <w:pPr>
        <w:pStyle w:val="Heading1"/>
        <w:ind w:left="426" w:hanging="426"/>
      </w:pPr>
      <w:r>
        <w:t>Raising attainment</w:t>
      </w:r>
    </w:p>
    <w:p w:rsidR="00E67019" w:rsidRPr="004D0853" w:rsidP="00035EE7">
      <w:pPr>
        <w:rPr>
          <w:b/>
        </w:rPr>
      </w:pPr>
      <w:r>
        <w:rPr>
          <w:b/>
        </w:rPr>
        <w:t>Government a</w:t>
      </w:r>
      <w:r w:rsidRPr="004D0853">
        <w:rPr>
          <w:b/>
        </w:rPr>
        <w:t>mbition to reduc</w:t>
      </w:r>
      <w:r>
        <w:rPr>
          <w:b/>
        </w:rPr>
        <w:t>e</w:t>
      </w:r>
      <w:r w:rsidRPr="004D0853">
        <w:rPr>
          <w:b/>
        </w:rPr>
        <w:t xml:space="preserve"> the disadvantage gap</w:t>
      </w:r>
    </w:p>
    <w:p w:rsidR="00E67019" w:rsidRPr="004D0853" w:rsidP="00A61D3D">
      <w:pPr>
        <w:pStyle w:val="ListParagraph"/>
        <w:numPr>
          <w:ilvl w:val="0"/>
          <w:numId w:val="19"/>
        </w:numPr>
        <w:contextualSpacing w:val="0"/>
      </w:pPr>
      <w:r w:rsidRPr="004D0853">
        <w:t>NFER strongly support</w:t>
      </w:r>
      <w:r>
        <w:t>s</w:t>
      </w:r>
      <w:r w:rsidRPr="004D0853">
        <w:t xml:space="preserve"> the Government’s</w:t>
      </w:r>
      <w:r w:rsidRPr="004D0853">
        <w:t xml:space="preserve"> ambition to reduce the disadvantaged attainment gap. However, </w:t>
      </w:r>
      <w:r w:rsidRPr="004D0853">
        <w:t>unless the commensurate resources are provided to support this</w:t>
      </w:r>
      <w:r w:rsidRPr="004D0853">
        <w:t xml:space="preserve"> ambition, it is high</w:t>
      </w:r>
      <w:r>
        <w:t>ly</w:t>
      </w:r>
      <w:r w:rsidRPr="004D0853">
        <w:t xml:space="preserve"> unlikely </w:t>
      </w:r>
      <w:r>
        <w:t>this</w:t>
      </w:r>
      <w:r w:rsidRPr="004D0853">
        <w:t xml:space="preserve"> will be achieved. </w:t>
      </w:r>
    </w:p>
    <w:p w:rsidR="00E67019" w:rsidRPr="004D0853" w:rsidP="00A61D3D">
      <w:pPr>
        <w:pStyle w:val="ListParagraph"/>
        <w:numPr>
          <w:ilvl w:val="0"/>
          <w:numId w:val="19"/>
        </w:numPr>
        <w:contextualSpacing w:val="0"/>
      </w:pPr>
      <w:r>
        <w:t>U</w:t>
      </w:r>
      <w:r w:rsidRPr="00E800A1">
        <w:t>nless the Government makes changes to how the</w:t>
      </w:r>
      <w:r>
        <w:t xml:space="preserve"> attainment</w:t>
      </w:r>
      <w:r w:rsidRPr="00E800A1">
        <w:t xml:space="preserve"> gap is measured, it will not be able to accurately assess its progress in reducing the gap</w:t>
      </w:r>
      <w:r>
        <w:t xml:space="preserve"> as the </w:t>
      </w:r>
      <w:r w:rsidRPr="004D0853">
        <w:t xml:space="preserve">transitional arrangements introduced to smooth the roll-out of </w:t>
      </w:r>
      <w:r w:rsidRPr="004D0853">
        <w:t>U</w:t>
      </w:r>
      <w:r w:rsidRPr="004D0853">
        <w:t xml:space="preserve">niversal </w:t>
      </w:r>
      <w:r w:rsidRPr="004D0853">
        <w:t>C</w:t>
      </w:r>
      <w:r w:rsidRPr="004D0853">
        <w:t>redit</w:t>
      </w:r>
      <w:r>
        <w:t xml:space="preserve"> </w:t>
      </w:r>
      <w:r>
        <w:t xml:space="preserve">means the </w:t>
      </w:r>
      <w:r w:rsidRPr="004D0853">
        <w:t>disadvantaged cohort var</w:t>
      </w:r>
      <w:r>
        <w:t>ies</w:t>
      </w:r>
      <w:r w:rsidRPr="004D0853">
        <w:t xml:space="preserve"> significantly from year to year. </w:t>
      </w:r>
      <w:r w:rsidRPr="004D0853">
        <w:t>This is set to continue until 20</w:t>
      </w:r>
      <w:r w:rsidRPr="004D0853">
        <w:t>32</w:t>
      </w:r>
      <w:r w:rsidRPr="004D0853">
        <w:t xml:space="preserve">/33. </w:t>
      </w:r>
    </w:p>
    <w:p w:rsidR="00E67019" w:rsidRPr="004D0853" w:rsidP="00A61D3D">
      <w:pPr>
        <w:pStyle w:val="ListParagraph"/>
        <w:numPr>
          <w:ilvl w:val="0"/>
          <w:numId w:val="19"/>
        </w:numPr>
        <w:contextualSpacing w:val="0"/>
      </w:pPr>
      <w:r w:rsidRPr="004D0853">
        <w:t>NFER recommends</w:t>
      </w:r>
      <w:r>
        <w:t xml:space="preserve"> </w:t>
      </w:r>
      <w:r w:rsidRPr="004D0853">
        <w:t xml:space="preserve">the </w:t>
      </w:r>
      <w:r w:rsidRPr="004D0853">
        <w:t>Government makes</w:t>
      </w:r>
      <w:r w:rsidRPr="004D0853">
        <w:t xml:space="preserve"> the</w:t>
      </w:r>
      <w:r w:rsidRPr="004D0853">
        <w:t xml:space="preserve"> Pupil Parent Matched Dataset </w:t>
      </w:r>
      <w:r w:rsidRPr="004D0853">
        <w:t>(PPMD)</w:t>
      </w:r>
      <w:r>
        <w:t xml:space="preserve"> - </w:t>
      </w:r>
      <w:r w:rsidRPr="004D0853">
        <w:t>which enables analys</w:t>
      </w:r>
      <w:r>
        <w:t>e</w:t>
      </w:r>
      <w:r w:rsidRPr="004D0853">
        <w:t>s of family circumstances and education by matching parent and pupil data</w:t>
      </w:r>
      <w:r>
        <w:t xml:space="preserve"> - </w:t>
      </w:r>
      <w:r w:rsidRPr="004D0853">
        <w:t xml:space="preserve">available to </w:t>
      </w:r>
      <w:r>
        <w:t xml:space="preserve">external </w:t>
      </w:r>
      <w:r w:rsidRPr="004D0853">
        <w:t xml:space="preserve">researchers </w:t>
      </w:r>
      <w:r>
        <w:t>so they can construct</w:t>
      </w:r>
      <w:r>
        <w:t xml:space="preserve">/propose </w:t>
      </w:r>
      <w:r w:rsidRPr="004D0853">
        <w:t xml:space="preserve">alternative measures of the gap. </w:t>
      </w:r>
    </w:p>
    <w:p w:rsidR="00E67019" w:rsidRPr="004D0853" w:rsidP="00035EE7">
      <w:pPr>
        <w:rPr>
          <w:b/>
        </w:rPr>
      </w:pPr>
      <w:r>
        <w:rPr>
          <w:b/>
        </w:rPr>
        <w:t xml:space="preserve">Effective integration of </w:t>
      </w:r>
      <w:r w:rsidRPr="004D0853">
        <w:rPr>
          <w:b/>
        </w:rPr>
        <w:t>essential skills into the curriculum</w:t>
      </w:r>
      <w:r>
        <w:rPr>
          <w:b/>
        </w:rPr>
        <w:t>:</w:t>
      </w:r>
    </w:p>
    <w:p w:rsidR="00E67019" w:rsidP="00A61D3D">
      <w:pPr>
        <w:pStyle w:val="ListParagraph"/>
        <w:numPr>
          <w:ilvl w:val="0"/>
          <w:numId w:val="20"/>
        </w:numPr>
        <w:ind w:left="714" w:hanging="357"/>
        <w:contextualSpacing w:val="0"/>
      </w:pPr>
      <w:r w:rsidRPr="00035EE7">
        <w:t>Research from NFER’s </w:t>
      </w:r>
      <w:r>
        <w:fldChar w:fldCharType="begin"/>
      </w:r>
      <w:r>
        <w:instrText xml:space="preserve"> HYPERLINK "https://www.nfer.ac.uk/key-topics-expertise/education-to-employment/the-skills-imperative-2035/" \t "_blank" </w:instrText>
      </w:r>
      <w:r>
        <w:fldChar w:fldCharType="separate"/>
      </w:r>
      <w:r w:rsidRPr="007665DB">
        <w:rPr>
          <w:rStyle w:val="Hyperlink"/>
          <w:rFonts w:cstheme="minorBidi"/>
          <w:i/>
          <w:iCs/>
          <w:szCs w:val="22"/>
        </w:rPr>
        <w:t>The Skills Imperative 2035</w:t>
      </w:r>
      <w:r>
        <w:fldChar w:fldCharType="end"/>
      </w:r>
      <w:r w:rsidRPr="00035EE7">
        <w:t> </w:t>
      </w:r>
      <w:r w:rsidRPr="00035EE7">
        <w:t>programme indicates that the labour market is changing </w:t>
      </w:r>
      <w:r w:rsidRPr="00035EE7">
        <w:t xml:space="preserve">because </w:t>
      </w:r>
      <w:r w:rsidRPr="00035EE7">
        <w:t>of mega</w:t>
      </w:r>
      <w:r>
        <w:t>-</w:t>
      </w:r>
      <w:r w:rsidRPr="00035EE7">
        <w:t xml:space="preserve">trends such as the growing adoption of technology, </w:t>
      </w:r>
      <w:r>
        <w:t xml:space="preserve">demographics and </w:t>
      </w:r>
      <w:r w:rsidRPr="00035EE7">
        <w:t>environmental changes. This will affect the jobs that will be available in future and the level of skills needed to do them.</w:t>
      </w:r>
      <w:r>
        <w:t xml:space="preserve"> </w:t>
      </w:r>
      <w:r w:rsidRPr="00035EE7">
        <w:t>Our research has identified </w:t>
      </w:r>
      <w:r>
        <w:t>the</w:t>
      </w:r>
      <w:r w:rsidRPr="00035EE7">
        <w:t> </w:t>
      </w:r>
      <w:r>
        <w:fldChar w:fldCharType="begin"/>
      </w:r>
      <w:r>
        <w:instrText xml:space="preserve"> HYPERLINK "https://www.nfer.ac.uk/publications/the-skills-imperative-2035-an-analysis-of-the-demand-for-skills-in-the-labour-market-in-2035/" \t "_blank" </w:instrText>
      </w:r>
      <w:r>
        <w:fldChar w:fldCharType="separate"/>
      </w:r>
      <w:r w:rsidRPr="007665DB">
        <w:rPr>
          <w:rStyle w:val="Hyperlink"/>
          <w:rFonts w:cstheme="minorBidi"/>
          <w:szCs w:val="22"/>
        </w:rPr>
        <w:t>Essential Employment Skills</w:t>
      </w:r>
      <w:r>
        <w:fldChar w:fldCharType="end"/>
      </w:r>
      <w:r w:rsidRPr="00035EE7">
        <w:t> </w:t>
      </w:r>
      <w:r w:rsidRPr="00035EE7">
        <w:t xml:space="preserve">(EES) which will be especially vital in future. </w:t>
      </w:r>
      <w:r>
        <w:t>They are:</w:t>
      </w:r>
      <w:r>
        <w:t xml:space="preserve"> communication, collaboration, information literacy, organising, planning and prioritising, problem solving and decision making, and creative thinking. </w:t>
      </w:r>
    </w:p>
    <w:p w:rsidR="00E67019" w:rsidP="00A61D3D">
      <w:pPr>
        <w:pStyle w:val="ListParagraph"/>
        <w:numPr>
          <w:ilvl w:val="0"/>
          <w:numId w:val="20"/>
        </w:numPr>
        <w:ind w:left="714" w:hanging="357"/>
        <w:contextualSpacing w:val="0"/>
      </w:pPr>
      <w:r>
        <w:t>I</w:t>
      </w:r>
      <w:r w:rsidRPr="00035EE7">
        <w:t xml:space="preserve">t is essential that more young people entering the labour market in </w:t>
      </w:r>
      <w:r>
        <w:t xml:space="preserve">the </w:t>
      </w:r>
      <w:r>
        <w:t xml:space="preserve">future </w:t>
      </w:r>
      <w:r w:rsidRPr="00035EE7">
        <w:t>acquire the</w:t>
      </w:r>
      <w:r>
        <w:t>se skills</w:t>
      </w:r>
      <w:r w:rsidRPr="00035EE7">
        <w:t>, especially as </w:t>
      </w:r>
      <w:r>
        <w:fldChar w:fldCharType="begin"/>
      </w:r>
      <w:r>
        <w:instrText xml:space="preserve"> HYPERLINK "https://www.nfer.ac.uk/publications/the-skills-imperative-2035-shifting-sands-anticipating-changes-in-the-future-labour-market-and-supporting-the-workers-at-greatest-risk/" \t "_blank" </w:instrText>
      </w:r>
      <w:r>
        <w:fldChar w:fldCharType="separate"/>
      </w:r>
      <w:r w:rsidRPr="00E23A96">
        <w:rPr>
          <w:rStyle w:val="Hyperlink"/>
          <w:rFonts w:cstheme="minorBidi"/>
          <w:szCs w:val="22"/>
        </w:rPr>
        <w:t>opportunities in low-skilled occupations</w:t>
      </w:r>
      <w:r>
        <w:fldChar w:fldCharType="end"/>
      </w:r>
      <w:r w:rsidRPr="00035EE7">
        <w:t> </w:t>
      </w:r>
      <w:r>
        <w:t xml:space="preserve">are forecast to </w:t>
      </w:r>
      <w:r>
        <w:t xml:space="preserve">decline </w:t>
      </w:r>
      <w:r w:rsidRPr="00035EE7">
        <w:t xml:space="preserve">over the </w:t>
      </w:r>
      <w:r>
        <w:t>decade</w:t>
      </w:r>
      <w:r w:rsidRPr="00035EE7">
        <w:t>. This is likely to make it harder for young people without sufficient EES</w:t>
      </w:r>
      <w:r>
        <w:t>/</w:t>
      </w:r>
      <w:r>
        <w:t xml:space="preserve">qualifications </w:t>
      </w:r>
      <w:r w:rsidRPr="00035EE7">
        <w:t>to enter the labour market, putting them a greater risk of becoming NEET.    </w:t>
      </w:r>
    </w:p>
    <w:p w:rsidR="00E67019" w:rsidP="00A61D3D">
      <w:pPr>
        <w:pStyle w:val="ListParagraph"/>
        <w:numPr>
          <w:ilvl w:val="0"/>
          <w:numId w:val="20"/>
        </w:numPr>
        <w:ind w:left="714" w:hanging="357"/>
        <w:contextualSpacing w:val="0"/>
      </w:pPr>
      <w:r>
        <w:fldChar w:fldCharType="begin"/>
      </w:r>
      <w:r>
        <w:instrText xml:space="preserve"> HYPERLINK "https://www.nfer.ac.uk/media/4lrdmrrl/skills_imperative_2035_final_report.pdf" </w:instrText>
      </w:r>
      <w:r>
        <w:fldChar w:fldCharType="separate"/>
      </w:r>
      <w:r w:rsidRPr="00A712AB">
        <w:rPr>
          <w:rStyle w:val="Hyperlink"/>
          <w:rFonts w:cstheme="minorBidi"/>
          <w:szCs w:val="22"/>
        </w:rPr>
        <w:t>Our final report</w:t>
      </w:r>
      <w:r>
        <w:fldChar w:fldCharType="end"/>
      </w:r>
      <w:r>
        <w:t xml:space="preserve"> called for the </w:t>
      </w:r>
      <w:r>
        <w:t>G</w:t>
      </w:r>
      <w:r>
        <w:t xml:space="preserve">overnment to acknowledge EES as a vital part of education - for both life and work - and clearly articulate how </w:t>
      </w:r>
      <w:r>
        <w:t xml:space="preserve">these skills </w:t>
      </w:r>
      <w:r>
        <w:t xml:space="preserve">can be effectively developed as part of teaching </w:t>
      </w:r>
      <w:r>
        <w:t xml:space="preserve">in </w:t>
      </w:r>
      <w:r>
        <w:t xml:space="preserve">a knowledge-rich curriculum. </w:t>
      </w:r>
      <w:r>
        <w:t xml:space="preserve">NFER also </w:t>
      </w:r>
      <w:r>
        <w:t xml:space="preserve">called for a policy response which promotes a common skills framework </w:t>
      </w:r>
      <w:r>
        <w:t xml:space="preserve">and tools which educators can use to assess </w:t>
      </w:r>
      <w:r>
        <w:t>young peoples’</w:t>
      </w:r>
      <w:r>
        <w:t xml:space="preserve"> progress</w:t>
      </w:r>
      <w:r>
        <w:t xml:space="preserve"> in developing EES</w:t>
      </w:r>
      <w:r>
        <w:t xml:space="preserve">, and well as training </w:t>
      </w:r>
      <w:r>
        <w:t>teachers</w:t>
      </w:r>
      <w:r>
        <w:t xml:space="preserve"> to </w:t>
      </w:r>
      <w:r>
        <w:t xml:space="preserve">help them to do </w:t>
      </w:r>
      <w:r>
        <w:t>this.</w:t>
      </w:r>
    </w:p>
    <w:p w:rsidR="00E67019" w:rsidP="00001EE7">
      <w:pPr>
        <w:pStyle w:val="Heading1"/>
        <w:ind w:left="426" w:hanging="426"/>
        <w:rPr>
          <w:rFonts w:ascii="Arial" w:eastAsia="Arial" w:hAnsi="Arial"/>
          <w:b w:val="0"/>
          <w:sz w:val="22"/>
          <w:szCs w:val="22"/>
        </w:rPr>
      </w:pPr>
      <w:r>
        <w:t>Improving attendance</w:t>
      </w:r>
    </w:p>
    <w:p w:rsidR="00E67019" w:rsidP="00A61D3D">
      <w:pPr>
        <w:numPr>
          <w:ilvl w:val="0"/>
          <w:numId w:val="17"/>
        </w:numPr>
        <w:tabs>
          <w:tab w:val="clear" w:pos="720"/>
        </w:tabs>
        <w:ind w:left="714" w:hanging="357"/>
        <w:rPr>
          <w:rFonts w:cstheme="minorHAnsi"/>
          <w:lang w:val="en-US"/>
        </w:rPr>
      </w:pPr>
      <w:r>
        <w:t xml:space="preserve">NFER welcomes the sustained focus on improving attendance. However, based on our evidence </w:t>
      </w:r>
      <w:r>
        <w:rPr>
          <w:rFonts w:cstheme="minorHAnsi"/>
        </w:rPr>
        <w:t>(summarised below, see</w:t>
      </w:r>
      <w:r>
        <w:fldChar w:fldCharType="begin"/>
      </w:r>
      <w:r>
        <w:instrText xml:space="preserve"> HYPERLINK "https://www.nfer.ac.uk/publications/voices-from-the-classroom-understanding-how-secondary-schools-support-pupils-returning-from-absence/" </w:instrText>
      </w:r>
      <w:r>
        <w:fldChar w:fldCharType="separate"/>
      </w:r>
      <w:r w:rsidRPr="00685B38">
        <w:rPr>
          <w:rStyle w:val="Hyperlink"/>
          <w:rFonts w:cstheme="minorHAnsi"/>
          <w:szCs w:val="22"/>
        </w:rPr>
        <w:t xml:space="preserve"> </w:t>
      </w:r>
      <w:r w:rsidRPr="00235F6B">
        <w:rPr>
          <w:rStyle w:val="Hyperlink"/>
          <w:rFonts w:cstheme="minorHAnsi"/>
          <w:szCs w:val="22"/>
        </w:rPr>
        <w:t>here</w:t>
      </w:r>
      <w:r>
        <w:fldChar w:fldCharType="end"/>
      </w:r>
      <w:r>
        <w:rPr>
          <w:rFonts w:cstheme="minorHAnsi"/>
        </w:rPr>
        <w:t xml:space="preserve">, </w:t>
      </w:r>
      <w:r>
        <w:fldChar w:fldCharType="begin"/>
      </w:r>
      <w:r>
        <w:instrText xml:space="preserve"> HYPERLINK "https://www.nfer.ac.uk/media/0txl12wy/nabs_interimreport_july2026_final.pdf" </w:instrText>
      </w:r>
      <w:r>
        <w:fldChar w:fldCharType="separate"/>
      </w:r>
      <w:r w:rsidRPr="00C14204">
        <w:rPr>
          <w:rStyle w:val="Hyperlink"/>
          <w:rFonts w:cstheme="minorHAnsi"/>
          <w:szCs w:val="22"/>
        </w:rPr>
        <w:t>here</w:t>
      </w:r>
      <w:r>
        <w:fldChar w:fldCharType="end"/>
      </w:r>
      <w:r>
        <w:rPr>
          <w:rFonts w:cstheme="minorHAnsi"/>
        </w:rPr>
        <w:t xml:space="preserve"> and </w:t>
      </w:r>
      <w:r>
        <w:fldChar w:fldCharType="begin"/>
      </w:r>
      <w:r>
        <w:instrText xml:space="preserve"> HYPERLINK "https://www.nfer.ac.uk/blogs/school-belonging-and-attendance-how-much-difference-can-it-make/" </w:instrText>
      </w:r>
      <w:r>
        <w:fldChar w:fldCharType="separate"/>
      </w:r>
      <w:r w:rsidRPr="002C67CC">
        <w:rPr>
          <w:rStyle w:val="Hyperlink"/>
          <w:rFonts w:cstheme="minorHAnsi"/>
          <w:szCs w:val="22"/>
        </w:rPr>
        <w:t>here</w:t>
      </w:r>
      <w:r>
        <w:fldChar w:fldCharType="end"/>
      </w:r>
      <w:r>
        <w:rPr>
          <w:rFonts w:cstheme="minorHAnsi"/>
        </w:rPr>
        <w:t>)</w:t>
      </w:r>
      <w:r>
        <w:t>, we do not expect the White Paper proposals alone to be sufficient for addressing attendance challenges. A</w:t>
      </w:r>
      <w:r w:rsidRPr="00E800A1">
        <w:t xml:space="preserve">longside school-led efforts to improve attendance, </w:t>
      </w:r>
      <w:r>
        <w:t xml:space="preserve">we recommend </w:t>
      </w:r>
      <w:r w:rsidRPr="00E800A1">
        <w:t xml:space="preserve">the Government ensures that wider public services—such as family support and mental health provision—are adequately resourced and staffed to work in partnership with schools. </w:t>
      </w:r>
    </w:p>
    <w:p w:rsidR="00E67019" w:rsidP="00A61D3D">
      <w:pPr>
        <w:numPr>
          <w:ilvl w:val="0"/>
          <w:numId w:val="17"/>
        </w:numPr>
        <w:tabs>
          <w:tab w:val="clear" w:pos="720"/>
        </w:tabs>
        <w:ind w:left="714" w:hanging="357"/>
        <w:rPr>
          <w:rFonts w:cstheme="minorHAnsi"/>
          <w:lang w:val="en-US"/>
        </w:rPr>
      </w:pPr>
      <w:r w:rsidRPr="004D0853">
        <w:rPr>
          <w:rFonts w:cstheme="minorHAnsi"/>
        </w:rPr>
        <w:t>Our research suggests a</w:t>
      </w:r>
      <w:r w:rsidRPr="004D0853">
        <w:rPr>
          <w:rFonts w:cstheme="minorHAnsi"/>
        </w:rPr>
        <w:t>ttendance is typically shaped by interconnected factors at the pupil, school, family and local context levels, with parents and carers indicating that the increasing cost of holidays outside of school term-time, and declining pupil mental health and wellbeing</w:t>
      </w:r>
      <w:r w:rsidRPr="004D0853">
        <w:rPr>
          <w:rFonts w:cstheme="minorHAnsi"/>
        </w:rPr>
        <w:t>,</w:t>
      </w:r>
      <w:r w:rsidRPr="004D0853">
        <w:rPr>
          <w:rFonts w:cstheme="minorHAnsi"/>
        </w:rPr>
        <w:t xml:space="preserve"> are key drivers of increased absence.</w:t>
      </w:r>
    </w:p>
    <w:p w:rsidR="00E67019" w:rsidP="00A61D3D">
      <w:pPr>
        <w:numPr>
          <w:ilvl w:val="0"/>
          <w:numId w:val="17"/>
        </w:numPr>
        <w:tabs>
          <w:tab w:val="clear" w:pos="720"/>
        </w:tabs>
        <w:ind w:left="714" w:hanging="357"/>
        <w:rPr>
          <w:rFonts w:cstheme="minorHAnsi"/>
          <w:lang w:val="en-US"/>
        </w:rPr>
      </w:pPr>
      <w:r w:rsidRPr="004D0853">
        <w:rPr>
          <w:rFonts w:cstheme="minorHAnsi"/>
          <w:lang w:val="en-US"/>
        </w:rPr>
        <w:t>The relationship between pupil wellbeing and attendance appears to be viewed as bi-directional. School absence could support wellbeing in the short</w:t>
      </w:r>
      <w:r w:rsidRPr="004D0853">
        <w:rPr>
          <w:rFonts w:cstheme="minorHAnsi"/>
          <w:lang w:val="en-US"/>
        </w:rPr>
        <w:t>-</w:t>
      </w:r>
      <w:r w:rsidRPr="004D0853">
        <w:rPr>
          <w:rFonts w:cstheme="minorHAnsi"/>
          <w:lang w:val="en-US"/>
        </w:rPr>
        <w:t>term</w:t>
      </w:r>
      <w:r w:rsidRPr="004D0853">
        <w:rPr>
          <w:rFonts w:cstheme="minorHAnsi"/>
          <w:lang w:val="en-US"/>
        </w:rPr>
        <w:t xml:space="preserve"> but could also contribute to a reinforcing cycle of poor wellbeing and non-attendance, and lead to longer-term barriers to attendance and re-engagement. </w:t>
      </w:r>
    </w:p>
    <w:p w:rsidR="00E67019" w:rsidP="00A61D3D">
      <w:pPr>
        <w:numPr>
          <w:ilvl w:val="0"/>
          <w:numId w:val="17"/>
        </w:numPr>
        <w:tabs>
          <w:tab w:val="clear" w:pos="720"/>
        </w:tabs>
        <w:ind w:left="714" w:hanging="357"/>
        <w:rPr>
          <w:rFonts w:cstheme="minorHAnsi"/>
          <w:lang w:val="en-US"/>
        </w:rPr>
      </w:pPr>
      <w:r w:rsidRPr="004D0853">
        <w:rPr>
          <w:rFonts w:cstheme="minorHAnsi"/>
          <w:lang w:val="en-US"/>
        </w:rPr>
        <w:t xml:space="preserve">Schools report using a wide range of </w:t>
      </w:r>
      <w:r w:rsidRPr="004D0853">
        <w:rPr>
          <w:rFonts w:cstheme="minorHAnsi"/>
        </w:rPr>
        <w:t>strategies to support attendance including curriculum and timetable adjustments, pastoral support, specialist provision and whole</w:t>
      </w:r>
      <w:r w:rsidRPr="004D0853">
        <w:rPr>
          <w:rFonts w:cstheme="minorHAnsi"/>
        </w:rPr>
        <w:noBreakHyphen/>
        <w:t xml:space="preserve">school approaches and processes. </w:t>
      </w:r>
      <w:r w:rsidRPr="004D0853">
        <w:rPr>
          <w:rFonts w:cstheme="minorHAnsi"/>
        </w:rPr>
        <w:t xml:space="preserve">School case-studies suggested that parents, carers and pupils identified relational aspects of support, rather than specific interventions or strategies, as having the greatest impact. </w:t>
      </w:r>
      <w:r w:rsidRPr="004D0853">
        <w:rPr>
          <w:rFonts w:cstheme="minorHAnsi"/>
        </w:rPr>
        <w:t>There were</w:t>
      </w:r>
      <w:r w:rsidRPr="004D0853">
        <w:rPr>
          <w:rFonts w:cstheme="minorHAnsi"/>
        </w:rPr>
        <w:t xml:space="preserve"> mixed views about government strategies for improving attendance, with fines for non-attendance generally considered unhelpful</w:t>
      </w:r>
      <w:r w:rsidRPr="004D0853">
        <w:rPr>
          <w:rFonts w:cstheme="minorHAnsi"/>
        </w:rPr>
        <w:t>.</w:t>
      </w:r>
    </w:p>
    <w:p w:rsidR="00E67019" w:rsidRPr="004D0853" w:rsidP="00A61D3D">
      <w:pPr>
        <w:numPr>
          <w:ilvl w:val="0"/>
          <w:numId w:val="17"/>
        </w:numPr>
        <w:tabs>
          <w:tab w:val="clear" w:pos="720"/>
        </w:tabs>
        <w:ind w:left="714" w:hanging="357"/>
        <w:rPr>
          <w:rFonts w:cstheme="minorHAnsi"/>
          <w:lang w:val="en-US"/>
        </w:rPr>
      </w:pPr>
      <w:r w:rsidRPr="004D0853">
        <w:rPr>
          <w:rFonts w:cstheme="minorHAnsi"/>
        </w:rPr>
        <w:t>I</w:t>
      </w:r>
      <w:r w:rsidRPr="004D0853">
        <w:rPr>
          <w:rFonts w:cstheme="minorHAnsi"/>
        </w:rPr>
        <w:t xml:space="preserve">mproving sense of school belonging </w:t>
      </w:r>
      <w:r w:rsidRPr="004D0853">
        <w:rPr>
          <w:rFonts w:cstheme="minorHAnsi"/>
        </w:rPr>
        <w:t>is a key focus</w:t>
      </w:r>
      <w:r w:rsidRPr="004D0853">
        <w:rPr>
          <w:rFonts w:cstheme="minorHAnsi"/>
        </w:rPr>
        <w:t xml:space="preserve"> of the Government’s strategy for tackling attendance challenges. However,</w:t>
      </w:r>
      <w:r w:rsidRPr="004D0853">
        <w:rPr>
          <w:rFonts w:cstheme="minorHAnsi"/>
        </w:rPr>
        <w:t xml:space="preserve"> </w:t>
      </w:r>
      <w:r w:rsidRPr="000E5B8B">
        <w:t>NFER</w:t>
      </w:r>
      <w:r w:rsidRPr="000E5B8B">
        <w:t xml:space="preserve"> </w:t>
      </w:r>
      <w:r>
        <w:fldChar w:fldCharType="begin"/>
      </w:r>
      <w:r>
        <w:instrText xml:space="preserve"> HYPERLINK "https://www.nfer.ac.uk/blogs/school-belonging-and-attendance-how-much-difference-can-it-make/" </w:instrText>
      </w:r>
      <w:r>
        <w:fldChar w:fldCharType="separate"/>
      </w:r>
      <w:r w:rsidRPr="004D0853">
        <w:rPr>
          <w:rStyle w:val="Hyperlink"/>
          <w:rFonts w:cstheme="minorBidi"/>
          <w:szCs w:val="22"/>
        </w:rPr>
        <w:t>research</w:t>
      </w:r>
      <w:r>
        <w:fldChar w:fldCharType="end"/>
      </w:r>
      <w:r w:rsidRPr="000E5B8B">
        <w:t xml:space="preserve"> looking at school belonging, wellbeing and attendance highlighted </w:t>
      </w:r>
      <w:r w:rsidRPr="000E5B8B">
        <w:t xml:space="preserve">that </w:t>
      </w:r>
      <w:r>
        <w:t xml:space="preserve">an </w:t>
      </w:r>
      <w:r w:rsidRPr="000E5B8B">
        <w:t>improve</w:t>
      </w:r>
      <w:r>
        <w:t>d</w:t>
      </w:r>
      <w:r w:rsidRPr="000E5B8B">
        <w:t xml:space="preserve"> sense of belonging alone </w:t>
      </w:r>
      <w:r w:rsidRPr="000E5B8B">
        <w:t xml:space="preserve">is unlikely </w:t>
      </w:r>
      <w:r>
        <w:t>to ‘solve’</w:t>
      </w:r>
      <w:r w:rsidRPr="000E5B8B">
        <w:t xml:space="preserve"> the attendance crisis. </w:t>
      </w:r>
      <w:r>
        <w:t>Th</w:t>
      </w:r>
      <w:r>
        <w:t>ere</w:t>
      </w:r>
      <w:r w:rsidRPr="000E5B8B">
        <w:t xml:space="preserve"> </w:t>
      </w:r>
      <w:r>
        <w:t>is a n</w:t>
      </w:r>
      <w:r w:rsidRPr="000E5B8B">
        <w:t xml:space="preserve">eed to </w:t>
      </w:r>
      <w:r w:rsidRPr="004D0853">
        <w:rPr>
          <w:rFonts w:eastAsia="Arial"/>
        </w:rPr>
        <w:t>build the evidence base about the causal impacts of improving school belonging on pupil outcomes including school attendance and attainment. For example, by generating evidence via What Works Centres.</w:t>
      </w:r>
    </w:p>
    <w:p w:rsidR="00E67019" w:rsidRPr="001B709C" w:rsidP="002842FC">
      <w:pPr>
        <w:pStyle w:val="paragraph0"/>
        <w:spacing w:line="300" w:lineRule="atLeast"/>
        <w:ind w:left="720"/>
        <w:contextualSpacing/>
      </w:pPr>
    </w:p>
    <w:p w:rsidR="00E67019" w:rsidP="00001EE7">
      <w:pPr>
        <w:pStyle w:val="Heading1"/>
        <w:ind w:left="426" w:hanging="426"/>
        <w:rPr>
          <w:rFonts w:ascii="Arial" w:eastAsia="Arial" w:hAnsi="Arial"/>
          <w:b w:val="0"/>
          <w:sz w:val="22"/>
          <w:szCs w:val="22"/>
        </w:rPr>
      </w:pPr>
      <w:r>
        <w:t>Moving to a trust-led school system</w:t>
      </w:r>
    </w:p>
    <w:p w:rsidR="00E67019" w:rsidP="00A61D3D">
      <w:pPr>
        <w:pStyle w:val="ListParagraph"/>
        <w:numPr>
          <w:ilvl w:val="0"/>
          <w:numId w:val="9"/>
        </w:numPr>
        <w:tabs>
          <w:tab w:val="clear" w:pos="720"/>
        </w:tabs>
        <w:contextualSpacing w:val="0"/>
      </w:pPr>
      <w:r>
        <w:t>E</w:t>
      </w:r>
      <w:r w:rsidRPr="002842FC">
        <w:t xml:space="preserve">vidence highlights that academisation is not a silver bullet for school improvement. </w:t>
      </w:r>
      <w:r w:rsidRPr="002842FC">
        <w:t xml:space="preserve">Research from </w:t>
      </w:r>
      <w:r>
        <w:fldChar w:fldCharType="begin"/>
      </w:r>
      <w:r>
        <w:instrText xml:space="preserve"> HYPERLINK "https://www.nuffieldfoundation.org/project/understanding-the-self-improving-school-led-system" </w:instrText>
      </w:r>
      <w:r>
        <w:fldChar w:fldCharType="separate"/>
      </w:r>
      <w:r>
        <w:rPr>
          <w:rStyle w:val="Hyperlink"/>
          <w:rFonts w:cstheme="minorBidi"/>
          <w:szCs w:val="22"/>
        </w:rPr>
        <w:t>NFER with the Institute for Education (2018)</w:t>
      </w:r>
      <w:r>
        <w:fldChar w:fldCharType="end"/>
      </w:r>
      <w:r w:rsidRPr="002842FC">
        <w:t xml:space="preserve"> is </w:t>
      </w:r>
      <w:r w:rsidRPr="00777B42">
        <w:t>consistent with other evidence,</w:t>
      </w:r>
      <w:r w:rsidRPr="00777B42">
        <w:t xml:space="preserve"> in finding</w:t>
      </w:r>
      <w:r w:rsidRPr="00777B42">
        <w:t xml:space="preserve"> </w:t>
      </w:r>
      <w:r w:rsidRPr="00777B42">
        <w:t xml:space="preserve">no </w:t>
      </w:r>
      <w:r>
        <w:t xml:space="preserve">overall </w:t>
      </w:r>
      <w:r w:rsidRPr="00777B42">
        <w:t xml:space="preserve">positive impact </w:t>
      </w:r>
      <w:r>
        <w:t xml:space="preserve">on attainment </w:t>
      </w:r>
      <w:r w:rsidRPr="00777B42">
        <w:t>from trust status</w:t>
      </w:r>
      <w:r>
        <w:t>.</w:t>
      </w:r>
    </w:p>
    <w:p w:rsidR="00E67019" w:rsidP="00A61D3D">
      <w:pPr>
        <w:pStyle w:val="ListParagraph"/>
        <w:numPr>
          <w:ilvl w:val="0"/>
          <w:numId w:val="9"/>
        </w:numPr>
        <w:tabs>
          <w:tab w:val="clear" w:pos="720"/>
        </w:tabs>
        <w:contextualSpacing w:val="0"/>
      </w:pPr>
      <w:r w:rsidRPr="002842FC">
        <w:t xml:space="preserve">Our previous research on </w:t>
      </w:r>
      <w:r w:rsidRPr="002842FC">
        <w:t xml:space="preserve">the </w:t>
      </w:r>
      <w:r>
        <w:fldChar w:fldCharType="begin"/>
      </w:r>
      <w:r>
        <w:instrText xml:space="preserve"> HYPERLINK "https://www.nfer.ac.uk/media/oh4njha5/transitioning_to_a_multi_academy_trust_led_system_what_does_the_evidence_tell_us.pdf" </w:instrText>
      </w:r>
      <w:r>
        <w:fldChar w:fldCharType="separate"/>
      </w:r>
      <w:r w:rsidRPr="002842FC">
        <w:rPr>
          <w:rStyle w:val="Hyperlink"/>
          <w:rFonts w:cstheme="minorBidi"/>
          <w:szCs w:val="22"/>
        </w:rPr>
        <w:t>transition to all trust system</w:t>
      </w:r>
      <w:r>
        <w:fldChar w:fldCharType="end"/>
      </w:r>
      <w:r w:rsidRPr="002842FC">
        <w:t xml:space="preserve"> highlighted </w:t>
      </w:r>
      <w:r w:rsidRPr="002842FC">
        <w:t>several</w:t>
      </w:r>
      <w:r w:rsidRPr="002842FC">
        <w:t xml:space="preserve"> important considerations for moving to an </w:t>
      </w:r>
      <w:r w:rsidRPr="002842FC">
        <w:t>all-trust</w:t>
      </w:r>
      <w:r w:rsidRPr="002842FC">
        <w:t xml:space="preserve"> model including the complex regional picture, </w:t>
      </w:r>
      <w:r w:rsidRPr="002842FC">
        <w:t xml:space="preserve">the funding and time required to </w:t>
      </w:r>
      <w:r w:rsidRPr="002842FC">
        <w:t>join a</w:t>
      </w:r>
      <w:r w:rsidRPr="002842FC">
        <w:t xml:space="preserve"> trust</w:t>
      </w:r>
      <w:r w:rsidRPr="002842FC">
        <w:t xml:space="preserve"> and the role and responsibilities for LAs in an all-trust system. </w:t>
      </w:r>
      <w:r w:rsidRPr="002842FC">
        <w:t>This includes addressing the issue</w:t>
      </w:r>
      <w:r>
        <w:t>s</w:t>
      </w:r>
      <w:r w:rsidRPr="002842FC">
        <w:t xml:space="preserve"> </w:t>
      </w:r>
      <w:r w:rsidRPr="002842FC">
        <w:t xml:space="preserve">facing </w:t>
      </w:r>
      <w:r>
        <w:t>particular</w:t>
      </w:r>
      <w:r w:rsidRPr="002842FC">
        <w:t xml:space="preserve"> schools</w:t>
      </w:r>
      <w:r w:rsidRPr="002842FC">
        <w:t xml:space="preserve"> in joining trusts (e.g., faith schools) and how to ensure no schools are left </w:t>
      </w:r>
      <w:r w:rsidRPr="002842FC">
        <w:t>behind. Our research also underlined the need to</w:t>
      </w:r>
      <w:r w:rsidRPr="002842FC">
        <w:t xml:space="preserve"> impro</w:t>
      </w:r>
      <w:r w:rsidRPr="002842FC">
        <w:t>ve</w:t>
      </w:r>
      <w:r w:rsidRPr="002842FC">
        <w:t xml:space="preserve"> the evidence on what makes a </w:t>
      </w:r>
      <w:r>
        <w:t>‘</w:t>
      </w:r>
      <w:r w:rsidRPr="002842FC">
        <w:t>successful</w:t>
      </w:r>
      <w:r>
        <w:t xml:space="preserve">’ </w:t>
      </w:r>
      <w:r w:rsidRPr="002842FC">
        <w:t xml:space="preserve">school trust. </w:t>
      </w:r>
    </w:p>
    <w:p w:rsidR="00E67019" w:rsidRPr="002842FC" w:rsidP="00726C0B"/>
    <w:p w:rsidR="00E67019" w:rsidRPr="00A330C9" w:rsidP="00001EE7">
      <w:pPr>
        <w:pStyle w:val="Heading1"/>
        <w:ind w:left="426" w:hanging="426"/>
        <w:rPr>
          <w:rFonts w:cstheme="minorHAnsi"/>
        </w:rPr>
      </w:pPr>
      <w:r>
        <w:t>Enrichment, belonging and behaviour</w:t>
      </w:r>
    </w:p>
    <w:p w:rsidR="00E67019" w:rsidP="00A61D3D">
      <w:pPr>
        <w:pStyle w:val="paragraph0"/>
        <w:numPr>
          <w:ilvl w:val="0"/>
          <w:numId w:val="13"/>
        </w:numPr>
        <w:tabs>
          <w:tab w:val="clear" w:pos="720"/>
        </w:tabs>
        <w:spacing w:line="300" w:lineRule="atLeast"/>
        <w:ind w:right="-255"/>
        <w:rPr>
          <w:rFonts w:asciiTheme="minorHAnsi" w:hAnsiTheme="minorHAnsi" w:cstheme="minorHAnsi"/>
          <w:sz w:val="22"/>
          <w:szCs w:val="22"/>
        </w:rPr>
      </w:pPr>
      <w:r w:rsidRPr="00A330C9">
        <w:rPr>
          <w:rFonts w:asciiTheme="minorHAnsi" w:hAnsiTheme="minorHAnsi" w:cstheme="minorHAnsi"/>
          <w:sz w:val="22"/>
          <w:szCs w:val="22"/>
        </w:rPr>
        <w:t>Schools’ primary focus is on academic attainment, but they can also provide a broader range of experiences and enrichment activities. The literature highlights that these activities have the potential to offer a wide range of benefits to pupils such as improving resilience, motivation, attendance, social skills, making new friends, developing appreciation for cultural and/or social issues and encouraging the explor</w:t>
      </w:r>
      <w:r>
        <w:rPr>
          <w:rFonts w:asciiTheme="minorHAnsi" w:hAnsiTheme="minorHAnsi" w:cstheme="minorHAnsi"/>
          <w:sz w:val="22"/>
          <w:szCs w:val="22"/>
        </w:rPr>
        <w:t>ation</w:t>
      </w:r>
      <w:r>
        <w:rPr>
          <w:rFonts w:asciiTheme="minorHAnsi" w:hAnsiTheme="minorHAnsi" w:cstheme="minorHAnsi"/>
          <w:sz w:val="22"/>
          <w:szCs w:val="22"/>
        </w:rPr>
        <w:t>/</w:t>
      </w:r>
      <w:r w:rsidRPr="00A330C9">
        <w:rPr>
          <w:rFonts w:asciiTheme="minorHAnsi" w:hAnsiTheme="minorHAnsi" w:cstheme="minorHAnsi"/>
          <w:sz w:val="22"/>
          <w:szCs w:val="22"/>
        </w:rPr>
        <w:t>pursu</w:t>
      </w:r>
      <w:r>
        <w:rPr>
          <w:rFonts w:asciiTheme="minorHAnsi" w:hAnsiTheme="minorHAnsi" w:cstheme="minorHAnsi"/>
          <w:sz w:val="22"/>
          <w:szCs w:val="22"/>
        </w:rPr>
        <w:t>it</w:t>
      </w:r>
      <w:r w:rsidRPr="00A330C9">
        <w:rPr>
          <w:rFonts w:asciiTheme="minorHAnsi" w:hAnsiTheme="minorHAnsi" w:cstheme="minorHAnsi"/>
          <w:sz w:val="22"/>
          <w:szCs w:val="22"/>
        </w:rPr>
        <w:t xml:space="preserve"> </w:t>
      </w:r>
      <w:r>
        <w:rPr>
          <w:rFonts w:asciiTheme="minorHAnsi" w:hAnsiTheme="minorHAnsi" w:cstheme="minorHAnsi"/>
          <w:sz w:val="22"/>
          <w:szCs w:val="22"/>
        </w:rPr>
        <w:t xml:space="preserve">of </w:t>
      </w:r>
      <w:r w:rsidRPr="00A330C9">
        <w:rPr>
          <w:rFonts w:asciiTheme="minorHAnsi" w:hAnsiTheme="minorHAnsi" w:cstheme="minorHAnsi"/>
          <w:sz w:val="22"/>
          <w:szCs w:val="22"/>
        </w:rPr>
        <w:t>new goals</w:t>
      </w:r>
      <w:r>
        <w:rPr>
          <w:rFonts w:asciiTheme="minorHAnsi" w:hAnsiTheme="minorHAnsi" w:cstheme="minorHAnsi"/>
          <w:sz w:val="22"/>
          <w:szCs w:val="22"/>
        </w:rPr>
        <w:t>/</w:t>
      </w:r>
      <w:r w:rsidRPr="00A330C9">
        <w:rPr>
          <w:rFonts w:asciiTheme="minorHAnsi" w:hAnsiTheme="minorHAnsi" w:cstheme="minorHAnsi"/>
          <w:sz w:val="22"/>
          <w:szCs w:val="22"/>
        </w:rPr>
        <w:t>interests.</w:t>
      </w:r>
      <w:r>
        <w:rPr>
          <w:rFonts w:asciiTheme="minorHAnsi" w:hAnsiTheme="minorHAnsi" w:cstheme="minorHAnsi"/>
          <w:sz w:val="22"/>
          <w:szCs w:val="22"/>
        </w:rPr>
        <w:t xml:space="preserve"> </w:t>
      </w:r>
    </w:p>
    <w:p w:rsidR="00E67019" w:rsidRPr="00895EB8" w:rsidP="00A61D3D">
      <w:pPr>
        <w:pStyle w:val="paragraph0"/>
        <w:numPr>
          <w:ilvl w:val="0"/>
          <w:numId w:val="13"/>
        </w:numPr>
        <w:tabs>
          <w:tab w:val="clear" w:pos="720"/>
        </w:tabs>
        <w:spacing w:line="300" w:lineRule="atLeast"/>
        <w:ind w:right="-255"/>
        <w:rPr>
          <w:rFonts w:asciiTheme="minorHAnsi" w:hAnsiTheme="minorHAnsi" w:cstheme="minorHAnsi"/>
          <w:sz w:val="22"/>
          <w:szCs w:val="22"/>
        </w:rPr>
      </w:pPr>
      <w:r>
        <w:rPr>
          <w:rFonts w:asciiTheme="minorHAnsi" w:hAnsiTheme="minorHAnsi" w:cstheme="minorHAnsi"/>
          <w:sz w:val="22"/>
          <w:szCs w:val="22"/>
        </w:rPr>
        <w:t xml:space="preserve">For example, </w:t>
      </w:r>
      <w:r>
        <w:fldChar w:fldCharType="begin"/>
      </w:r>
      <w:r>
        <w:instrText xml:space="preserve"> HYPERLINK "https://www.nfer.ac.uk/publications/a-brighter-future-the-impact-of-the-dofe-on-young-people-s-mental-health-and-wellbeing/" </w:instrText>
      </w:r>
      <w:r>
        <w:fldChar w:fldCharType="separate"/>
      </w:r>
      <w:r w:rsidRPr="00A92929">
        <w:rPr>
          <w:rStyle w:val="Hyperlink"/>
          <w:rFonts w:cstheme="minorHAnsi"/>
          <w:szCs w:val="22"/>
        </w:rPr>
        <w:t>NFER’s research</w:t>
      </w:r>
      <w:r>
        <w:fldChar w:fldCharType="end"/>
      </w:r>
      <w:r>
        <w:rPr>
          <w:rFonts w:asciiTheme="minorHAnsi" w:hAnsiTheme="minorHAnsi" w:cstheme="minorHAnsi"/>
          <w:sz w:val="22"/>
          <w:szCs w:val="22"/>
        </w:rPr>
        <w:t xml:space="preserve"> for the </w:t>
      </w:r>
      <w:r w:rsidRPr="00634172">
        <w:rPr>
          <w:rFonts w:asciiTheme="minorHAnsi" w:hAnsiTheme="minorHAnsi" w:cstheme="minorHAnsi"/>
          <w:sz w:val="22"/>
          <w:szCs w:val="22"/>
        </w:rPr>
        <w:t xml:space="preserve">Duke of Edinburgh’s Award highlighted </w:t>
      </w:r>
      <w:r>
        <w:rPr>
          <w:rFonts w:asciiTheme="minorHAnsi" w:hAnsiTheme="minorHAnsi" w:cstheme="minorHAnsi"/>
          <w:sz w:val="22"/>
          <w:szCs w:val="22"/>
        </w:rPr>
        <w:t xml:space="preserve">its </w:t>
      </w:r>
      <w:r w:rsidRPr="00634172">
        <w:rPr>
          <w:rFonts w:asciiTheme="minorHAnsi" w:hAnsiTheme="minorHAnsi" w:cstheme="minorHAnsi"/>
          <w:sz w:val="22"/>
          <w:szCs w:val="22"/>
        </w:rPr>
        <w:t>positive effects on young people’s mental health</w:t>
      </w:r>
      <w:r>
        <w:rPr>
          <w:rFonts w:asciiTheme="minorHAnsi" w:hAnsiTheme="minorHAnsi" w:cstheme="minorHAnsi"/>
          <w:sz w:val="22"/>
          <w:szCs w:val="22"/>
        </w:rPr>
        <w:t>/</w:t>
      </w:r>
      <w:r w:rsidRPr="00634172">
        <w:rPr>
          <w:rFonts w:asciiTheme="minorHAnsi" w:hAnsiTheme="minorHAnsi" w:cstheme="minorHAnsi"/>
          <w:sz w:val="22"/>
          <w:szCs w:val="22"/>
        </w:rPr>
        <w:t>wellbeing.</w:t>
      </w:r>
      <w:r>
        <w:rPr>
          <w:rFonts w:asciiTheme="minorHAnsi" w:hAnsiTheme="minorHAnsi" w:cstheme="minorHAnsi"/>
          <w:sz w:val="22"/>
          <w:szCs w:val="22"/>
        </w:rPr>
        <w:t xml:space="preserve"> Similarly, </w:t>
      </w:r>
      <w:r w:rsidRPr="00A92929">
        <w:rPr>
          <w:rFonts w:asciiTheme="minorHAnsi" w:hAnsiTheme="minorHAnsi" w:cstheme="minorHAnsi"/>
          <w:sz w:val="22"/>
          <w:szCs w:val="22"/>
        </w:rPr>
        <w:t>i</w:t>
      </w:r>
      <w:r w:rsidRPr="00A92929">
        <w:rPr>
          <w:rFonts w:asciiTheme="minorHAnsi" w:hAnsiTheme="minorHAnsi" w:cstheme="minorHAnsi"/>
          <w:sz w:val="22"/>
          <w:szCs w:val="22"/>
        </w:rPr>
        <w:t>n the</w:t>
      </w:r>
      <w:r>
        <w:rPr>
          <w:rFonts w:asciiTheme="minorHAnsi" w:hAnsiTheme="minorHAnsi" w:cstheme="minorHAnsi"/>
          <w:sz w:val="22"/>
          <w:szCs w:val="22"/>
        </w:rPr>
        <w:t xml:space="preserve"> DfE</w:t>
      </w:r>
      <w:r w:rsidRPr="00A92929">
        <w:rPr>
          <w:rFonts w:asciiTheme="minorHAnsi" w:hAnsiTheme="minorHAnsi" w:cstheme="minorHAnsi"/>
          <w:sz w:val="22"/>
          <w:szCs w:val="22"/>
        </w:rPr>
        <w:t xml:space="preserve"> </w:t>
      </w:r>
      <w:r>
        <w:fldChar w:fldCharType="begin"/>
      </w:r>
      <w:r>
        <w:instrText xml:space="preserve"> HYPERLINK "https://assets.publishing.service.gov.uk/media/5fd0c218d3bf7f5d02b21962/ELS_Process_Evaluation.pdf" </w:instrText>
      </w:r>
      <w:r>
        <w:fldChar w:fldCharType="separate"/>
      </w:r>
      <w:r w:rsidRPr="00A92929">
        <w:rPr>
          <w:rStyle w:val="Hyperlink"/>
          <w:rFonts w:cstheme="minorHAnsi"/>
          <w:szCs w:val="22"/>
        </w:rPr>
        <w:t>evaluation of the Essential Life Skills programme</w:t>
      </w:r>
      <w:r>
        <w:fldChar w:fldCharType="end"/>
      </w:r>
      <w:r w:rsidRPr="00A92929">
        <w:rPr>
          <w:rFonts w:asciiTheme="minorHAnsi" w:hAnsiTheme="minorHAnsi" w:cstheme="minorHAnsi"/>
          <w:sz w:val="22"/>
          <w:szCs w:val="22"/>
        </w:rPr>
        <w:t>, young people reported a range of benefits including increased confidence, resilience, school attendance and social</w:t>
      </w:r>
      <w:r>
        <w:rPr>
          <w:rFonts w:asciiTheme="minorHAnsi" w:hAnsiTheme="minorHAnsi" w:cstheme="minorHAnsi"/>
          <w:sz w:val="22"/>
          <w:szCs w:val="22"/>
        </w:rPr>
        <w:t>/</w:t>
      </w:r>
      <w:r w:rsidRPr="00A92929">
        <w:rPr>
          <w:rFonts w:asciiTheme="minorHAnsi" w:hAnsiTheme="minorHAnsi" w:cstheme="minorHAnsi"/>
          <w:sz w:val="22"/>
          <w:szCs w:val="22"/>
        </w:rPr>
        <w:t xml:space="preserve">emotional intelligence. </w:t>
      </w:r>
      <w:r>
        <w:rPr>
          <w:rFonts w:asciiTheme="minorHAnsi" w:hAnsiTheme="minorHAnsi" w:cstheme="minorHAnsi"/>
          <w:sz w:val="22"/>
          <w:szCs w:val="22"/>
        </w:rPr>
        <w:t>Further</w:t>
      </w:r>
      <w:r w:rsidRPr="00A92929">
        <w:rPr>
          <w:rFonts w:asciiTheme="minorHAnsi" w:hAnsiTheme="minorHAnsi" w:cstheme="minorHAnsi"/>
          <w:sz w:val="22"/>
          <w:szCs w:val="22"/>
        </w:rPr>
        <w:t xml:space="preserve">, enrichment activities may help tackle some key challenges facing young people, </w:t>
      </w:r>
      <w:r>
        <w:fldChar w:fldCharType="begin"/>
      </w:r>
      <w:r>
        <w:instrText xml:space="preserve"> HYPERLINK "https://www.centreforsocialjustice.org.uk/wp-content/uploads/2021/08/CSJ-A_Level_Playing_Field.pdf" </w:instrText>
      </w:r>
      <w:r>
        <w:fldChar w:fldCharType="separate"/>
      </w:r>
      <w:r w:rsidRPr="00A92929">
        <w:rPr>
          <w:rStyle w:val="Hyperlink"/>
          <w:rFonts w:cstheme="minorHAnsi"/>
          <w:szCs w:val="22"/>
        </w:rPr>
        <w:t>such as by supporting positive mental health, improving physical health and lowering obesity levels, reducing exposure to gangs and improving school absence rates</w:t>
      </w:r>
      <w:r>
        <w:fldChar w:fldCharType="end"/>
      </w:r>
      <w:r w:rsidRPr="00A92929">
        <w:rPr>
          <w:rFonts w:asciiTheme="minorHAnsi" w:hAnsiTheme="minorHAnsi" w:cstheme="minorHAnsi"/>
          <w:sz w:val="22"/>
          <w:szCs w:val="22"/>
        </w:rPr>
        <w:t xml:space="preserve">. </w:t>
      </w:r>
      <w:r w:rsidRPr="00A330C9">
        <w:rPr>
          <w:rFonts w:asciiTheme="minorHAnsi" w:hAnsiTheme="minorHAnsi" w:cstheme="minorHAnsi"/>
          <w:sz w:val="22"/>
          <w:szCs w:val="22"/>
        </w:rPr>
        <w:t>However</w:t>
      </w:r>
      <w:r>
        <w:rPr>
          <w:rFonts w:asciiTheme="minorHAnsi" w:hAnsiTheme="minorHAnsi" w:cstheme="minorHAnsi"/>
          <w:sz w:val="22"/>
          <w:szCs w:val="22"/>
        </w:rPr>
        <w:t>,</w:t>
      </w:r>
      <w:r w:rsidRPr="00A330C9">
        <w:rPr>
          <w:rFonts w:asciiTheme="minorHAnsi" w:hAnsiTheme="minorHAnsi" w:cstheme="minorHAnsi"/>
          <w:sz w:val="22"/>
          <w:szCs w:val="22"/>
        </w:rPr>
        <w:t xml:space="preserve"> not all pupils have these opportunities. More </w:t>
      </w:r>
      <w:r>
        <w:fldChar w:fldCharType="begin"/>
      </w:r>
      <w:r>
        <w:instrText xml:space="preserve"> HYPERLINK "https://digitalcommons.bucknell.edu/fac_journ/919/" </w:instrText>
      </w:r>
      <w:r>
        <w:fldChar w:fldCharType="separate"/>
      </w:r>
      <w:r w:rsidRPr="00A330C9">
        <w:rPr>
          <w:rStyle w:val="Hyperlink"/>
          <w:rFonts w:cstheme="minorHAnsi"/>
          <w:szCs w:val="22"/>
        </w:rPr>
        <w:t>socially advantaged schools</w:t>
      </w:r>
      <w:r>
        <w:fldChar w:fldCharType="end"/>
      </w:r>
      <w:r w:rsidRPr="00A330C9">
        <w:rPr>
          <w:rFonts w:asciiTheme="minorHAnsi" w:hAnsiTheme="minorHAnsi" w:cstheme="minorHAnsi"/>
          <w:sz w:val="22"/>
          <w:szCs w:val="22"/>
        </w:rPr>
        <w:t xml:space="preserve"> offer more activities</w:t>
      </w:r>
      <w:r>
        <w:rPr>
          <w:rFonts w:asciiTheme="minorHAnsi" w:hAnsiTheme="minorHAnsi" w:cstheme="minorHAnsi"/>
          <w:sz w:val="22"/>
          <w:szCs w:val="22"/>
        </w:rPr>
        <w:t>, while p</w:t>
      </w:r>
      <w:r w:rsidRPr="00A330C9">
        <w:rPr>
          <w:rFonts w:asciiTheme="minorHAnsi" w:hAnsiTheme="minorHAnsi" w:cstheme="minorHAnsi"/>
          <w:sz w:val="22"/>
          <w:szCs w:val="22"/>
        </w:rPr>
        <w:t xml:space="preserve">upils from lower income backgrounds are less likely to participate in activities such as music lessons or sports than </w:t>
      </w:r>
      <w:r>
        <w:rPr>
          <w:rFonts w:asciiTheme="minorHAnsi" w:hAnsiTheme="minorHAnsi" w:cstheme="minorHAnsi"/>
          <w:sz w:val="22"/>
          <w:szCs w:val="22"/>
        </w:rPr>
        <w:t xml:space="preserve">their </w:t>
      </w:r>
      <w:r w:rsidRPr="00A330C9">
        <w:rPr>
          <w:rFonts w:asciiTheme="minorHAnsi" w:hAnsiTheme="minorHAnsi" w:cstheme="minorHAnsi"/>
          <w:sz w:val="22"/>
          <w:szCs w:val="22"/>
        </w:rPr>
        <w:t xml:space="preserve">more affluent </w:t>
      </w:r>
      <w:r>
        <w:rPr>
          <w:rFonts w:asciiTheme="minorHAnsi" w:hAnsiTheme="minorHAnsi" w:cstheme="minorHAnsi"/>
          <w:sz w:val="22"/>
          <w:szCs w:val="22"/>
        </w:rPr>
        <w:t>peers</w:t>
      </w:r>
      <w:r w:rsidRPr="00A330C9">
        <w:rPr>
          <w:rFonts w:asciiTheme="minorHAnsi" w:hAnsiTheme="minorHAnsi" w:cstheme="minorHAnsi"/>
          <w:sz w:val="22"/>
          <w:szCs w:val="22"/>
        </w:rPr>
        <w:t xml:space="preserve">. </w:t>
      </w:r>
    </w:p>
    <w:p w:rsidR="00E67019" w:rsidRPr="002377DE" w:rsidP="002377DE">
      <w:pPr>
        <w:pStyle w:val="ListParagraph"/>
        <w:rPr>
          <w:rFonts w:ascii="Arial" w:eastAsia="Arial" w:hAnsi="Arial"/>
        </w:rPr>
      </w:pPr>
    </w:p>
    <w:p w:rsidR="00E67019" w:rsidP="00001EE7">
      <w:pPr>
        <w:pStyle w:val="Heading1"/>
        <w:ind w:left="426" w:hanging="426"/>
        <w:rPr>
          <w:rFonts w:ascii="Arial" w:eastAsia="Arial" w:hAnsi="Arial"/>
          <w:b w:val="0"/>
          <w:sz w:val="22"/>
          <w:szCs w:val="22"/>
        </w:rPr>
      </w:pPr>
      <w:r>
        <w:t>Reducing disadvantage gaps</w:t>
      </w:r>
    </w:p>
    <w:p w:rsidR="00E67019" w:rsidRPr="00EB6E68" w:rsidP="230355B2">
      <w:pPr>
        <w:rPr>
          <w:b/>
        </w:rPr>
      </w:pPr>
      <w:r w:rsidRPr="00EB6E68">
        <w:rPr>
          <w:b/>
        </w:rPr>
        <w:t>Proposed reform to disadvantage funding:</w:t>
      </w:r>
    </w:p>
    <w:p w:rsidR="00E67019" w:rsidRPr="00C50ACE" w:rsidP="00A61D3D">
      <w:pPr>
        <w:pStyle w:val="ListParagraph"/>
        <w:numPr>
          <w:ilvl w:val="0"/>
          <w:numId w:val="18"/>
        </w:numPr>
        <w:tabs>
          <w:tab w:val="clear" w:pos="720"/>
        </w:tabs>
        <w:ind w:left="714" w:hanging="357"/>
        <w:contextualSpacing w:val="0"/>
      </w:pPr>
      <w:r w:rsidRPr="00DC14CC">
        <w:t xml:space="preserve">As outlined in </w:t>
      </w:r>
      <w:r>
        <w:fldChar w:fldCharType="begin"/>
      </w:r>
      <w:r>
        <w:instrText xml:space="preserve"> HYPERLINK "https://www.nfer.ac.uk/publications/investigating-the-changing-landscape-of-pupil-disadvantage/" </w:instrText>
      </w:r>
      <w:r>
        <w:fldChar w:fldCharType="separate"/>
      </w:r>
      <w:r w:rsidRPr="00DC14CC">
        <w:rPr>
          <w:rStyle w:val="Hyperlink"/>
          <w:rFonts w:cstheme="minorBidi"/>
          <w:szCs w:val="22"/>
        </w:rPr>
        <w:t>our research</w:t>
      </w:r>
      <w:r>
        <w:fldChar w:fldCharType="end"/>
      </w:r>
      <w:r w:rsidRPr="00DC14CC">
        <w:t>, s</w:t>
      </w:r>
      <w:r w:rsidRPr="00637080">
        <w:t xml:space="preserve">chool funding for disadvantage is currently targeted through both the pupil premium </w:t>
      </w:r>
      <w:r>
        <w:t xml:space="preserve">(PP) </w:t>
      </w:r>
      <w:r w:rsidRPr="00637080">
        <w:t xml:space="preserve">and the National Funding Formula (NFF). </w:t>
      </w:r>
      <w:r w:rsidRPr="00637080">
        <w:t xml:space="preserve">This highlights the need to consider both together in how </w:t>
      </w:r>
      <w:r>
        <w:t xml:space="preserve">disadvantaged </w:t>
      </w:r>
      <w:r w:rsidRPr="00637080">
        <w:t>funding is targeted towards schools</w:t>
      </w:r>
      <w:r>
        <w:t>.</w:t>
      </w:r>
    </w:p>
    <w:p w:rsidR="00E67019" w:rsidP="00A61D3D">
      <w:pPr>
        <w:pStyle w:val="ListParagraph"/>
        <w:numPr>
          <w:ilvl w:val="0"/>
          <w:numId w:val="18"/>
        </w:numPr>
        <w:tabs>
          <w:tab w:val="clear" w:pos="720"/>
        </w:tabs>
        <w:ind w:left="714" w:hanging="357"/>
        <w:contextualSpacing w:val="0"/>
      </w:pPr>
      <w:r w:rsidRPr="00637080">
        <w:t xml:space="preserve">Our </w:t>
      </w:r>
      <w:r>
        <w:fldChar w:fldCharType="begin"/>
      </w:r>
      <w:r>
        <w:instrText xml:space="preserve"> HYPERLINK "https://www.nfer.ac.uk/publications/measuring-pupil-disadvantage-the-case-for-change/" </w:instrText>
      </w:r>
      <w:r>
        <w:fldChar w:fldCharType="separate"/>
      </w:r>
      <w:r w:rsidRPr="00637080">
        <w:rPr>
          <w:rStyle w:val="Hyperlink"/>
          <w:rFonts w:cstheme="minorBidi"/>
          <w:szCs w:val="22"/>
        </w:rPr>
        <w:t>previous research</w:t>
      </w:r>
      <w:r>
        <w:fldChar w:fldCharType="end"/>
      </w:r>
      <w:r w:rsidRPr="00637080">
        <w:t xml:space="preserve"> </w:t>
      </w:r>
      <w:r w:rsidRPr="00637080">
        <w:t xml:space="preserve">highlighted </w:t>
      </w:r>
      <w:r w:rsidRPr="00637080">
        <w:t>several</w:t>
      </w:r>
      <w:r w:rsidRPr="00637080">
        <w:t xml:space="preserve"> limitations of using FSM eligibility to allocate funding, including that it is</w:t>
      </w:r>
      <w:r>
        <w:t xml:space="preserve"> a</w:t>
      </w:r>
      <w:r w:rsidRPr="00637080">
        <w:t xml:space="preserve"> binary measure </w:t>
      </w:r>
      <w:r w:rsidRPr="00637080">
        <w:t xml:space="preserve">and not all eligible pupils claim FSM. </w:t>
      </w:r>
      <w:r>
        <w:t>We previously</w:t>
      </w:r>
      <w:r>
        <w:t xml:space="preserve"> </w:t>
      </w:r>
      <w:r>
        <w:fldChar w:fldCharType="begin"/>
      </w:r>
      <w:r>
        <w:instrText xml:space="preserve"> HYPERLINK "https://www.nfer.ac.uk/publications/measuring-pupil-disadvantage-the-case-for-change/" </w:instrText>
      </w:r>
      <w:r>
        <w:fldChar w:fldCharType="separate"/>
      </w:r>
      <w:r w:rsidRPr="00A537C6">
        <w:rPr>
          <w:rStyle w:val="Hyperlink"/>
          <w:rFonts w:cstheme="minorBidi"/>
          <w:szCs w:val="22"/>
        </w:rPr>
        <w:t>recommended</w:t>
      </w:r>
      <w:r>
        <w:fldChar w:fldCharType="end"/>
      </w:r>
      <w:r>
        <w:t xml:space="preserve"> </w:t>
      </w:r>
      <w:r>
        <w:t>t</w:t>
      </w:r>
      <w:r w:rsidRPr="00327962">
        <w:t>he Government explore the feasibility of establishing a household income-based measure of disadvantage</w:t>
      </w:r>
      <w:r>
        <w:t xml:space="preserve"> </w:t>
      </w:r>
      <w:r w:rsidRPr="00637080">
        <w:t>to overcome some</w:t>
      </w:r>
      <w:r>
        <w:t xml:space="preserve"> of these challenges</w:t>
      </w:r>
      <w:r w:rsidRPr="00637080">
        <w:t xml:space="preserve">. </w:t>
      </w:r>
      <w:r>
        <w:t>O</w:t>
      </w:r>
      <w:r w:rsidRPr="00637080">
        <w:t>ur research</w:t>
      </w:r>
      <w:r w:rsidRPr="00637080">
        <w:t xml:space="preserve"> highlighted the</w:t>
      </w:r>
      <w:r w:rsidRPr="00637080">
        <w:t xml:space="preserve"> potential</w:t>
      </w:r>
      <w:r w:rsidRPr="00637080">
        <w:t xml:space="preserve"> for this measure</w:t>
      </w:r>
      <w:r w:rsidRPr="00637080">
        <w:t xml:space="preserve"> to enable</w:t>
      </w:r>
      <w:r>
        <w:t xml:space="preserve"> the Government to target greater support </w:t>
      </w:r>
      <w:r>
        <w:t>toward</w:t>
      </w:r>
      <w:r>
        <w:t xml:space="preserve"> pupils whose attainment is most profoundly affected by economic disadvantage, </w:t>
      </w:r>
      <w:r>
        <w:t>if desired</w:t>
      </w:r>
      <w:r>
        <w:t>.</w:t>
      </w:r>
    </w:p>
    <w:p w:rsidR="00E67019" w:rsidRPr="00637080" w:rsidP="00A61D3D">
      <w:pPr>
        <w:pStyle w:val="ListParagraph"/>
        <w:numPr>
          <w:ilvl w:val="0"/>
          <w:numId w:val="18"/>
        </w:numPr>
        <w:tabs>
          <w:tab w:val="clear" w:pos="720"/>
        </w:tabs>
        <w:ind w:left="714" w:hanging="357"/>
        <w:contextualSpacing w:val="0"/>
      </w:pPr>
      <w:r w:rsidRPr="00637080">
        <w:t xml:space="preserve">While NFER </w:t>
      </w:r>
      <w:r w:rsidRPr="00637080">
        <w:t xml:space="preserve">welcomes the Government’s </w:t>
      </w:r>
      <w:r w:rsidRPr="00637080">
        <w:t xml:space="preserve">intention to reform disadvantaged funding, it is crucial that </w:t>
      </w:r>
      <w:r>
        <w:t xml:space="preserve">its </w:t>
      </w:r>
      <w:r w:rsidRPr="00637080">
        <w:t xml:space="preserve">plans (when they are published) </w:t>
      </w:r>
      <w:r w:rsidRPr="00637080">
        <w:t>recognise</w:t>
      </w:r>
      <w:r w:rsidRPr="00637080">
        <w:t xml:space="preserve"> the</w:t>
      </w:r>
      <w:r>
        <w:t xml:space="preserve"> complexities and challenges involved in using household income as a measure of disadvantage. For example, some households may have large assets, but low income. </w:t>
      </w:r>
    </w:p>
    <w:p w:rsidR="00E67019" w:rsidP="00A61D3D">
      <w:pPr>
        <w:pStyle w:val="ListParagraph"/>
        <w:numPr>
          <w:ilvl w:val="0"/>
          <w:numId w:val="18"/>
        </w:numPr>
        <w:tabs>
          <w:tab w:val="clear" w:pos="720"/>
        </w:tabs>
        <w:ind w:left="714" w:hanging="357"/>
        <w:contextualSpacing w:val="0"/>
      </w:pPr>
      <w:r w:rsidRPr="00637080">
        <w:t>In addition</w:t>
      </w:r>
      <w:r w:rsidRPr="00637080">
        <w:t xml:space="preserve">, </w:t>
      </w:r>
      <w:r w:rsidRPr="00637080">
        <w:t xml:space="preserve">there are known </w:t>
      </w:r>
      <w:r>
        <w:fldChar w:fldCharType="begin"/>
      </w:r>
      <w:r>
        <w:instrText xml:space="preserve"> HYPERLINK "https://durham-repository.worktribe.com/output/3959451/how-useful-is-household-income-as-a-factor-in-explaining-attainment-at-school-in-england-assessing-the-parent-pupil-matched-data-ppmd" </w:instrText>
      </w:r>
      <w:r>
        <w:fldChar w:fldCharType="separate"/>
      </w:r>
      <w:r w:rsidRPr="00637080">
        <w:rPr>
          <w:rStyle w:val="Hyperlink"/>
          <w:rFonts w:cstheme="minorBidi"/>
          <w:szCs w:val="22"/>
        </w:rPr>
        <w:t>data quality issues</w:t>
      </w:r>
      <w:r>
        <w:fldChar w:fldCharType="end"/>
      </w:r>
      <w:r w:rsidRPr="00637080">
        <w:t xml:space="preserve"> with the PPMD</w:t>
      </w:r>
      <w:r w:rsidRPr="00637080">
        <w:t>,</w:t>
      </w:r>
      <w:r w:rsidRPr="00637080">
        <w:t xml:space="preserve"> the dataset that the Government </w:t>
      </w:r>
      <w:r w:rsidRPr="00637080">
        <w:t>is likely planning to use to inform these changes</w:t>
      </w:r>
      <w:r>
        <w:t>. A</w:t>
      </w:r>
      <w:r w:rsidRPr="00637080">
        <w:t>ny measures of funding will</w:t>
      </w:r>
      <w:r w:rsidRPr="00637080">
        <w:t xml:space="preserve"> only be as good as the quality of data </w:t>
      </w:r>
      <w:r w:rsidRPr="00637080">
        <w:t>they are</w:t>
      </w:r>
      <w:r w:rsidRPr="00637080">
        <w:t xml:space="preserve"> based-on</w:t>
      </w:r>
      <w:r w:rsidRPr="00637080">
        <w:t xml:space="preserve">. </w:t>
      </w:r>
      <w:r w:rsidRPr="00DC14CC">
        <w:t xml:space="preserve">We also </w:t>
      </w:r>
      <w:r w:rsidRPr="00637080">
        <w:t xml:space="preserve">hope that Government plans will </w:t>
      </w:r>
      <w:r w:rsidRPr="00637080">
        <w:t>consider</w:t>
      </w:r>
      <w:r w:rsidRPr="00637080">
        <w:t xml:space="preserve"> practical considerations (</w:t>
      </w:r>
      <w:r w:rsidRPr="00637080">
        <w:t xml:space="preserve">e.g., </w:t>
      </w:r>
      <w:r w:rsidRPr="00637080">
        <w:t xml:space="preserve">predictability of </w:t>
      </w:r>
      <w:r w:rsidRPr="00637080">
        <w:t>income for schools, the t</w:t>
      </w:r>
      <w:r>
        <w:t>ime-lag for data on household income to be updated</w:t>
      </w:r>
      <w:r>
        <w:t>,</w:t>
      </w:r>
      <w:r>
        <w:t xml:space="preserve"> some hou</w:t>
      </w:r>
      <w:r>
        <w:t>sehold</w:t>
      </w:r>
      <w:r>
        <w:t xml:space="preserve"> </w:t>
      </w:r>
      <w:r>
        <w:t xml:space="preserve">income </w:t>
      </w:r>
      <w:r>
        <w:t>is very va</w:t>
      </w:r>
      <w:r>
        <w:t>riable</w:t>
      </w:r>
      <w:r w:rsidRPr="00637080">
        <w:t>)</w:t>
      </w:r>
      <w:r>
        <w:t xml:space="preserve"> which may limit the </w:t>
      </w:r>
      <w:r>
        <w:t>benefits from their plans.</w:t>
      </w:r>
    </w:p>
    <w:p w:rsidR="00E67019" w:rsidP="00A61D3D">
      <w:pPr>
        <w:pStyle w:val="ListParagraph"/>
        <w:numPr>
          <w:ilvl w:val="0"/>
          <w:numId w:val="18"/>
        </w:numPr>
        <w:tabs>
          <w:tab w:val="clear" w:pos="720"/>
        </w:tabs>
        <w:ind w:left="714" w:hanging="357"/>
        <w:contextualSpacing w:val="0"/>
      </w:pPr>
      <w:r w:rsidRPr="00DC14CC">
        <w:t>I</w:t>
      </w:r>
      <w:r w:rsidRPr="00DC14CC">
        <w:t xml:space="preserve">t is important </w:t>
      </w:r>
      <w:r w:rsidRPr="00DC14CC">
        <w:t>the Government recognises the value</w:t>
      </w:r>
      <w:r w:rsidRPr="00DC14CC">
        <w:t xml:space="preserve">, as outlined in </w:t>
      </w:r>
      <w:r>
        <w:fldChar w:fldCharType="begin"/>
      </w:r>
      <w:r>
        <w:instrText xml:space="preserve"> HYPERLINK "https://assets.publishing.service.gov.uk/government/uploads/system/uploads/attachment_data/file/473974/DFE-RR411_Supporting_the_attainment_of_disadvantaged_pupils.pdf" </w:instrText>
      </w:r>
      <w:r>
        <w:fldChar w:fldCharType="separate"/>
      </w:r>
      <w:r w:rsidRPr="00001EE7">
        <w:rPr>
          <w:rStyle w:val="Hyperlink"/>
          <w:rFonts w:cstheme="minorBidi"/>
          <w:szCs w:val="22"/>
        </w:rPr>
        <w:t>our research</w:t>
      </w:r>
      <w:r>
        <w:fldChar w:fldCharType="end"/>
      </w:r>
      <w:r w:rsidRPr="00DC14CC">
        <w:t>,</w:t>
      </w:r>
      <w:r w:rsidRPr="00DC14CC">
        <w:t xml:space="preserve"> that</w:t>
      </w:r>
      <w:r w:rsidRPr="00DC14CC">
        <w:t xml:space="preserve"> the </w:t>
      </w:r>
      <w:r>
        <w:t xml:space="preserve">PP </w:t>
      </w:r>
      <w:r w:rsidRPr="00DC14CC">
        <w:t xml:space="preserve">offers in ensuring that schools </w:t>
      </w:r>
      <w:r w:rsidRPr="00DC14CC">
        <w:t xml:space="preserve">have a clear view of how funding for disadvantaged pupils is being allocated and </w:t>
      </w:r>
      <w:r w:rsidRPr="00DC14CC">
        <w:t>the impact it is having.</w:t>
      </w:r>
    </w:p>
    <w:p w:rsidR="00E67019" w:rsidRPr="00001EE7" w:rsidP="00001EE7">
      <w:r w:rsidRPr="00001EE7">
        <w:rPr>
          <w:rFonts w:ascii="Arial" w:eastAsia="Arial" w:hAnsi="Arial"/>
          <w:b/>
        </w:rPr>
        <w:t xml:space="preserve">Place-based approaches to tackling disadvantage: </w:t>
      </w:r>
    </w:p>
    <w:p w:rsidR="00E67019" w:rsidP="00A61D3D">
      <w:pPr>
        <w:pStyle w:val="ListParagraph"/>
        <w:numPr>
          <w:ilvl w:val="0"/>
          <w:numId w:val="16"/>
        </w:numPr>
        <w:tabs>
          <w:tab w:val="clear" w:pos="720"/>
        </w:tabs>
        <w:ind w:left="714" w:hanging="357"/>
        <w:contextualSpacing w:val="0"/>
        <w:rPr>
          <w:rFonts w:ascii="Arial" w:eastAsia="Arial" w:hAnsi="Arial"/>
        </w:rPr>
      </w:pPr>
      <w:r>
        <w:rPr>
          <w:rFonts w:ascii="Arial" w:eastAsia="Arial" w:hAnsi="Arial"/>
        </w:rPr>
        <w:t>The new missions</w:t>
      </w:r>
      <w:r>
        <w:rPr>
          <w:rFonts w:ascii="Arial" w:eastAsia="Arial" w:hAnsi="Arial"/>
        </w:rPr>
        <w:t xml:space="preserve"> </w:t>
      </w:r>
      <w:r>
        <w:rPr>
          <w:rFonts w:ascii="Arial" w:eastAsia="Arial" w:hAnsi="Arial"/>
        </w:rPr>
        <w:t>bear some resemblance to</w:t>
      </w:r>
      <w:r>
        <w:rPr>
          <w:rFonts w:ascii="Arial" w:eastAsia="Arial" w:hAnsi="Arial"/>
        </w:rPr>
        <w:t xml:space="preserve"> DfE’s former </w:t>
      </w:r>
      <w:r>
        <w:rPr>
          <w:rFonts w:ascii="Arial" w:eastAsia="Arial" w:hAnsi="Arial"/>
        </w:rPr>
        <w:t>Opportunity Areas programme, both in terms of</w:t>
      </w:r>
      <w:r>
        <w:rPr>
          <w:rFonts w:ascii="Arial" w:eastAsia="Arial" w:hAnsi="Arial"/>
        </w:rPr>
        <w:t xml:space="preserve"> </w:t>
      </w:r>
      <w:r>
        <w:rPr>
          <w:rFonts w:ascii="Arial" w:eastAsia="Arial" w:hAnsi="Arial"/>
        </w:rPr>
        <w:t xml:space="preserve">the </w:t>
      </w:r>
      <w:r>
        <w:rPr>
          <w:rFonts w:ascii="Arial" w:eastAsia="Arial" w:hAnsi="Arial"/>
        </w:rPr>
        <w:t>profile of the areas</w:t>
      </w:r>
      <w:r>
        <w:rPr>
          <w:rFonts w:ascii="Arial" w:eastAsia="Arial" w:hAnsi="Arial"/>
        </w:rPr>
        <w:t xml:space="preserve"> targeted and in the programme’s activities. NFER </w:t>
      </w:r>
      <w:r>
        <w:rPr>
          <w:rFonts w:ascii="Arial" w:eastAsia="Arial" w:hAnsi="Arial"/>
        </w:rPr>
        <w:t xml:space="preserve">conducted </w:t>
      </w:r>
      <w:r>
        <w:fldChar w:fldCharType="begin"/>
      </w:r>
      <w:r>
        <w:instrText xml:space="preserve"> HYPERLINK "https://www.nfer.ac.uk/publications/implementation-of-opportunity-areas-an-independent-evaluation/" </w:instrText>
      </w:r>
      <w:r>
        <w:fldChar w:fldCharType="separate"/>
      </w:r>
      <w:r w:rsidRPr="005429AF">
        <w:rPr>
          <w:rStyle w:val="Hyperlink"/>
          <w:rFonts w:ascii="Arial" w:eastAsia="Arial" w:hAnsi="Arial" w:cstheme="minorBidi"/>
          <w:szCs w:val="22"/>
        </w:rPr>
        <w:t>a process evaluation</w:t>
      </w:r>
      <w:r>
        <w:fldChar w:fldCharType="end"/>
      </w:r>
      <w:r w:rsidRPr="005D15FA">
        <w:rPr>
          <w:rFonts w:ascii="Arial" w:eastAsia="Arial" w:hAnsi="Arial"/>
        </w:rPr>
        <w:t xml:space="preserve"> of the</w:t>
      </w:r>
      <w:r w:rsidRPr="005D15FA">
        <w:rPr>
          <w:rFonts w:ascii="Arial" w:eastAsia="Arial" w:hAnsi="Arial"/>
        </w:rPr>
        <w:t xml:space="preserve"> </w:t>
      </w:r>
      <w:r w:rsidRPr="005D15FA">
        <w:rPr>
          <w:rFonts w:ascii="Arial" w:eastAsia="Arial" w:hAnsi="Arial"/>
        </w:rPr>
        <w:t>implementation of th</w:t>
      </w:r>
      <w:r>
        <w:rPr>
          <w:rFonts w:ascii="Arial" w:eastAsia="Arial" w:hAnsi="Arial"/>
        </w:rPr>
        <w:t xml:space="preserve">at </w:t>
      </w:r>
      <w:r w:rsidRPr="005D15FA">
        <w:rPr>
          <w:rFonts w:ascii="Arial" w:eastAsia="Arial" w:hAnsi="Arial"/>
        </w:rPr>
        <w:t>programme for DfE</w:t>
      </w:r>
      <w:r w:rsidRPr="005D15FA">
        <w:rPr>
          <w:rFonts w:ascii="Arial" w:eastAsia="Arial" w:hAnsi="Arial"/>
        </w:rPr>
        <w:t>.</w:t>
      </w:r>
      <w:r>
        <w:rPr>
          <w:rFonts w:ascii="Arial" w:eastAsia="Arial" w:hAnsi="Arial"/>
        </w:rPr>
        <w:t xml:space="preserve"> This highlighted that the </w:t>
      </w:r>
      <w:r w:rsidRPr="00846DC8">
        <w:rPr>
          <w:rFonts w:ascii="Arial" w:eastAsia="Arial" w:hAnsi="Arial"/>
        </w:rPr>
        <w:t>programme helped to foster and promote collaboration, including closer working with DfE and by engaging with a cross-sector of local stakeholders from early years, schools, businesses, charities and others.</w:t>
      </w:r>
    </w:p>
    <w:p w:rsidR="00E67019" w:rsidP="00A61D3D">
      <w:pPr>
        <w:pStyle w:val="ListParagraph"/>
        <w:numPr>
          <w:ilvl w:val="0"/>
          <w:numId w:val="16"/>
        </w:numPr>
        <w:tabs>
          <w:tab w:val="clear" w:pos="720"/>
        </w:tabs>
        <w:ind w:left="714" w:hanging="357"/>
        <w:contextualSpacing w:val="0"/>
        <w:rPr>
          <w:rFonts w:ascii="Arial" w:eastAsia="Arial" w:hAnsi="Arial"/>
        </w:rPr>
      </w:pPr>
      <w:r>
        <w:rPr>
          <w:rFonts w:ascii="Arial" w:eastAsia="Arial" w:hAnsi="Arial"/>
        </w:rPr>
        <w:t>However, NFER</w:t>
      </w:r>
      <w:r>
        <w:rPr>
          <w:rFonts w:ascii="Arial" w:eastAsia="Arial" w:hAnsi="Arial"/>
        </w:rPr>
        <w:t xml:space="preserve"> also </w:t>
      </w:r>
      <w:r>
        <w:rPr>
          <w:rFonts w:ascii="Arial" w:eastAsia="Arial" w:hAnsi="Arial"/>
        </w:rPr>
        <w:t>identified</w:t>
      </w:r>
      <w:r w:rsidRPr="000C1912">
        <w:rPr>
          <w:rFonts w:ascii="Arial" w:eastAsia="Arial" w:hAnsi="Arial"/>
        </w:rPr>
        <w:t xml:space="preserve"> areas for improvement to the </w:t>
      </w:r>
      <w:r>
        <w:rPr>
          <w:rFonts w:ascii="Arial" w:eastAsia="Arial" w:hAnsi="Arial"/>
        </w:rPr>
        <w:t xml:space="preserve">Opportunity Areas </w:t>
      </w:r>
      <w:r w:rsidRPr="000C1912">
        <w:rPr>
          <w:rFonts w:ascii="Arial" w:eastAsia="Arial" w:hAnsi="Arial"/>
        </w:rPr>
        <w:t>programme</w:t>
      </w:r>
      <w:r>
        <w:rPr>
          <w:rFonts w:ascii="Arial" w:eastAsia="Arial" w:hAnsi="Arial"/>
        </w:rPr>
        <w:t xml:space="preserve"> which are relevant to the new Missions</w:t>
      </w:r>
      <w:r>
        <w:rPr>
          <w:rFonts w:ascii="Arial" w:eastAsia="Arial" w:hAnsi="Arial"/>
        </w:rPr>
        <w:t xml:space="preserve"> including:</w:t>
      </w:r>
    </w:p>
    <w:p w:rsidR="00E67019" w:rsidP="00A61D3D">
      <w:pPr>
        <w:pStyle w:val="ListParagraph"/>
        <w:numPr>
          <w:ilvl w:val="1"/>
          <w:numId w:val="16"/>
        </w:numPr>
        <w:tabs>
          <w:tab w:val="clear" w:pos="1440"/>
        </w:tabs>
        <w:ind w:left="1071" w:hanging="357"/>
        <w:rPr>
          <w:rFonts w:ascii="Arial" w:eastAsia="Arial" w:hAnsi="Arial"/>
        </w:rPr>
      </w:pPr>
      <w:r>
        <w:rPr>
          <w:rFonts w:ascii="Arial" w:eastAsia="Arial" w:hAnsi="Arial"/>
        </w:rPr>
        <w:t>the programme is rolled out over a sufficiently long time-period to achieve change,</w:t>
      </w:r>
    </w:p>
    <w:p w:rsidR="00E67019" w:rsidP="00A61D3D">
      <w:pPr>
        <w:pStyle w:val="ListParagraph"/>
        <w:numPr>
          <w:ilvl w:val="1"/>
          <w:numId w:val="16"/>
        </w:numPr>
        <w:tabs>
          <w:tab w:val="clear" w:pos="1440"/>
        </w:tabs>
        <w:ind w:left="1071" w:hanging="357"/>
        <w:rPr>
          <w:rFonts w:ascii="Arial" w:eastAsia="Arial" w:hAnsi="Arial"/>
        </w:rPr>
      </w:pPr>
      <w:r>
        <w:rPr>
          <w:rFonts w:ascii="Arial" w:eastAsia="Arial" w:hAnsi="Arial"/>
        </w:rPr>
        <w:t>local leadership is strong, and</w:t>
      </w:r>
    </w:p>
    <w:p w:rsidR="00E67019" w:rsidP="00A61D3D">
      <w:pPr>
        <w:pStyle w:val="ListParagraph"/>
        <w:numPr>
          <w:ilvl w:val="1"/>
          <w:numId w:val="16"/>
        </w:numPr>
        <w:tabs>
          <w:tab w:val="clear" w:pos="1440"/>
        </w:tabs>
        <w:ind w:left="1071" w:hanging="357"/>
        <w:contextualSpacing w:val="0"/>
        <w:rPr>
          <w:rFonts w:ascii="Arial" w:eastAsia="Arial" w:hAnsi="Arial"/>
        </w:rPr>
      </w:pPr>
      <w:r>
        <w:rPr>
          <w:rFonts w:ascii="Arial" w:eastAsia="Arial" w:hAnsi="Arial"/>
        </w:rPr>
        <w:t xml:space="preserve">sufficient </w:t>
      </w:r>
      <w:r>
        <w:rPr>
          <w:rFonts w:ascii="Arial" w:eastAsia="Arial" w:hAnsi="Arial"/>
        </w:rPr>
        <w:t>administrative support is provided</w:t>
      </w:r>
      <w:r>
        <w:rPr>
          <w:rFonts w:ascii="Arial" w:eastAsia="Arial" w:hAnsi="Arial"/>
        </w:rPr>
        <w:t>.</w:t>
      </w:r>
    </w:p>
    <w:p w:rsidR="00E67019" w:rsidRPr="00A02EA3" w:rsidP="00A61D3D">
      <w:pPr>
        <w:pStyle w:val="ListParagraph"/>
        <w:numPr>
          <w:ilvl w:val="0"/>
          <w:numId w:val="16"/>
        </w:numPr>
        <w:tabs>
          <w:tab w:val="clear" w:pos="720"/>
        </w:tabs>
        <w:ind w:left="714" w:hanging="357"/>
        <w:contextualSpacing w:val="0"/>
        <w:rPr>
          <w:rFonts w:ascii="Arial" w:eastAsia="Arial" w:hAnsi="Arial"/>
        </w:rPr>
      </w:pPr>
      <w:r>
        <w:rPr>
          <w:rFonts w:ascii="Arial" w:eastAsia="Arial" w:hAnsi="Arial"/>
        </w:rPr>
        <w:t>When delivering such a programme, NFER recommended</w:t>
      </w:r>
      <w:r>
        <w:rPr>
          <w:rFonts w:ascii="Arial" w:eastAsia="Arial" w:hAnsi="Arial"/>
        </w:rPr>
        <w:t xml:space="preserve"> that DfE:</w:t>
      </w:r>
    </w:p>
    <w:p w:rsidR="00E67019" w:rsidP="00A61D3D">
      <w:pPr>
        <w:pStyle w:val="ListParagraph"/>
        <w:numPr>
          <w:ilvl w:val="1"/>
          <w:numId w:val="16"/>
        </w:numPr>
        <w:tabs>
          <w:tab w:val="clear" w:pos="1440"/>
        </w:tabs>
        <w:ind w:left="1071" w:hanging="357"/>
        <w:rPr>
          <w:rFonts w:ascii="Arial" w:eastAsia="Arial" w:hAnsi="Arial"/>
        </w:rPr>
      </w:pPr>
      <w:r>
        <w:rPr>
          <w:rFonts w:ascii="Arial" w:eastAsia="Arial" w:hAnsi="Arial"/>
        </w:rPr>
        <w:t>Ensures</w:t>
      </w:r>
      <w:r>
        <w:rPr>
          <w:rFonts w:ascii="Arial" w:eastAsia="Arial" w:hAnsi="Arial"/>
        </w:rPr>
        <w:t xml:space="preserve"> there</w:t>
      </w:r>
      <w:r>
        <w:rPr>
          <w:rFonts w:ascii="Arial" w:eastAsia="Arial" w:hAnsi="Arial"/>
        </w:rPr>
        <w:t xml:space="preserve"> are r</w:t>
      </w:r>
      <w:r w:rsidRPr="00DF7062">
        <w:rPr>
          <w:rFonts w:ascii="Arial" w:eastAsia="Arial" w:hAnsi="Arial"/>
        </w:rPr>
        <w:t>egular and consistent messages about the aims and scope of the programme, new developments, progress and achievements</w:t>
      </w:r>
      <w:r>
        <w:rPr>
          <w:rFonts w:ascii="Arial" w:eastAsia="Arial" w:hAnsi="Arial"/>
        </w:rPr>
        <w:t>.</w:t>
      </w:r>
    </w:p>
    <w:p w:rsidR="00E67019" w:rsidP="00A61D3D">
      <w:pPr>
        <w:pStyle w:val="ListParagraph"/>
        <w:numPr>
          <w:ilvl w:val="1"/>
          <w:numId w:val="16"/>
        </w:numPr>
        <w:tabs>
          <w:tab w:val="clear" w:pos="1440"/>
        </w:tabs>
        <w:ind w:left="1071" w:hanging="357"/>
        <w:rPr>
          <w:rFonts w:ascii="Arial" w:eastAsia="Arial" w:hAnsi="Arial"/>
        </w:rPr>
      </w:pPr>
      <w:r>
        <w:rPr>
          <w:rFonts w:ascii="Arial" w:eastAsia="Arial" w:hAnsi="Arial"/>
        </w:rPr>
        <w:t>Supports</w:t>
      </w:r>
      <w:r w:rsidRPr="000E1994">
        <w:rPr>
          <w:rFonts w:ascii="Arial" w:eastAsia="Arial" w:hAnsi="Arial"/>
        </w:rPr>
        <w:t xml:space="preserve"> sharing learning and information between </w:t>
      </w:r>
      <w:r>
        <w:rPr>
          <w:rFonts w:ascii="Arial" w:eastAsia="Arial" w:hAnsi="Arial"/>
        </w:rPr>
        <w:t>programmes</w:t>
      </w:r>
      <w:r w:rsidRPr="000E1994">
        <w:rPr>
          <w:rFonts w:ascii="Arial" w:eastAsia="Arial" w:hAnsi="Arial"/>
        </w:rPr>
        <w:t xml:space="preserve"> so they can learn about what works, in what contexts and why, </w:t>
      </w:r>
      <w:r>
        <w:rPr>
          <w:rFonts w:ascii="Arial" w:eastAsia="Arial" w:hAnsi="Arial"/>
        </w:rPr>
        <w:t xml:space="preserve">as far as </w:t>
      </w:r>
      <w:r w:rsidRPr="000E1994">
        <w:rPr>
          <w:rFonts w:ascii="Arial" w:eastAsia="Arial" w:hAnsi="Arial"/>
        </w:rPr>
        <w:t>possible</w:t>
      </w:r>
    </w:p>
    <w:p w:rsidR="00E67019" w:rsidP="00A61D3D">
      <w:pPr>
        <w:pStyle w:val="ListParagraph"/>
        <w:numPr>
          <w:ilvl w:val="1"/>
          <w:numId w:val="16"/>
        </w:numPr>
        <w:tabs>
          <w:tab w:val="clear" w:pos="1440"/>
        </w:tabs>
        <w:ind w:left="1071" w:hanging="357"/>
        <w:rPr>
          <w:rFonts w:ascii="Arial" w:eastAsia="Arial" w:hAnsi="Arial"/>
        </w:rPr>
      </w:pPr>
      <w:r>
        <w:rPr>
          <w:rFonts w:ascii="Arial" w:eastAsia="Arial" w:hAnsi="Arial"/>
        </w:rPr>
        <w:t>R</w:t>
      </w:r>
      <w:r>
        <w:rPr>
          <w:rFonts w:ascii="Arial" w:eastAsia="Arial" w:hAnsi="Arial"/>
        </w:rPr>
        <w:t xml:space="preserve">emains mindful of schools’ capacity to deliver change and </w:t>
      </w:r>
      <w:r>
        <w:rPr>
          <w:rFonts w:ascii="Arial" w:eastAsia="Arial" w:hAnsi="Arial"/>
        </w:rPr>
        <w:t xml:space="preserve">provides </w:t>
      </w:r>
      <w:r w:rsidRPr="003C6035">
        <w:rPr>
          <w:rFonts w:ascii="Arial" w:eastAsia="Arial" w:hAnsi="Arial"/>
        </w:rPr>
        <w:t>a strategic and coherent strategy for accessing national partners and programmes’ services</w:t>
      </w:r>
      <w:r>
        <w:rPr>
          <w:rFonts w:ascii="Arial" w:eastAsia="Arial" w:hAnsi="Arial"/>
        </w:rPr>
        <w:t xml:space="preserve"> to deliver these programmes.</w:t>
      </w:r>
      <w:r>
        <w:rPr>
          <w:rFonts w:ascii="Arial" w:eastAsia="Arial" w:hAnsi="Arial"/>
        </w:rPr>
        <w:t xml:space="preserve"> </w:t>
      </w:r>
    </w:p>
    <w:p w:rsidR="00E67019" w:rsidRPr="00036319" w:rsidP="00001EE7">
      <w:pPr>
        <w:pStyle w:val="ListParagraph"/>
        <w:ind w:left="1276"/>
        <w:rPr>
          <w:rFonts w:ascii="Arial" w:eastAsia="Arial" w:hAnsi="Arial"/>
        </w:rPr>
      </w:pPr>
    </w:p>
    <w:p w:rsidR="00E67019" w:rsidP="00001EE7">
      <w:pPr>
        <w:pStyle w:val="Heading1"/>
        <w:ind w:left="426" w:hanging="426"/>
        <w:rPr>
          <w:rFonts w:ascii="Arial" w:eastAsia="Arial" w:hAnsi="Arial"/>
          <w:b w:val="0"/>
          <w:sz w:val="22"/>
          <w:szCs w:val="22"/>
        </w:rPr>
      </w:pPr>
      <w:r>
        <w:t>School admissions</w:t>
      </w:r>
    </w:p>
    <w:p w:rsidR="00E67019" w:rsidP="00A61D3D">
      <w:pPr>
        <w:pStyle w:val="ListParagraph"/>
        <w:numPr>
          <w:ilvl w:val="0"/>
          <w:numId w:val="5"/>
        </w:numPr>
        <w:tabs>
          <w:tab w:val="clear" w:pos="720"/>
        </w:tabs>
        <w:ind w:left="714" w:hanging="357"/>
        <w:contextualSpacing w:val="0"/>
      </w:pPr>
      <w:r>
        <w:t>The DfE s</w:t>
      </w:r>
      <w:r>
        <w:t>tates</w:t>
      </w:r>
      <w:r>
        <w:t xml:space="preserve"> that </w:t>
      </w:r>
      <w:r w:rsidRPr="00001EE7">
        <w:rPr>
          <w:i/>
          <w:iCs/>
        </w:rPr>
        <w:t>“</w:t>
      </w:r>
      <w:r w:rsidRPr="00001EE7">
        <w:rPr>
          <w:i/>
          <w:iCs/>
        </w:rPr>
        <w:t>The school admissions code already provides tools to ensure schools can achieve representative intakes, particularly for applicants from a disadvantaged background, by, for example, enabling schools to prioritise children eligible for the pupil premium.”</w:t>
      </w:r>
      <w:r>
        <w:t xml:space="preserve"> </w:t>
      </w:r>
      <w:r>
        <w:fldChar w:fldCharType="begin"/>
      </w:r>
      <w:r>
        <w:instrText xml:space="preserve"> HYPERLINK "https://www.nfer.ac.uk/publications/selective-comprehensives-2026/" </w:instrText>
      </w:r>
      <w:r>
        <w:fldChar w:fldCharType="separate"/>
      </w:r>
      <w:r w:rsidRPr="00066043">
        <w:rPr>
          <w:rStyle w:val="Hyperlink"/>
          <w:rFonts w:cstheme="minorBidi"/>
          <w:szCs w:val="22"/>
        </w:rPr>
        <w:t>NFER research</w:t>
      </w:r>
      <w:r>
        <w:fldChar w:fldCharType="end"/>
      </w:r>
      <w:r>
        <w:t xml:space="preserve"> </w:t>
      </w:r>
      <w:r>
        <w:t>for</w:t>
      </w:r>
      <w:r>
        <w:t xml:space="preserve"> the Sutton Trust </w:t>
      </w:r>
      <w:r>
        <w:t xml:space="preserve">casts doubt </w:t>
      </w:r>
      <w:r>
        <w:t xml:space="preserve">on how effective these </w:t>
      </w:r>
      <w:r>
        <w:t xml:space="preserve">tools are. </w:t>
      </w:r>
      <w:r>
        <w:t>It found that t</w:t>
      </w:r>
      <w:r w:rsidRPr="00DD36F1">
        <w:t>he 500 top performing comprehensives in England</w:t>
      </w:r>
      <w:r>
        <w:t xml:space="preserve"> in 2023/24</w:t>
      </w:r>
      <w:r w:rsidRPr="00DD36F1">
        <w:t xml:space="preserve"> ha</w:t>
      </w:r>
      <w:r>
        <w:t>d</w:t>
      </w:r>
      <w:r w:rsidRPr="00DD36F1">
        <w:t xml:space="preserve"> lower rates of pupils who a</w:t>
      </w:r>
      <w:r>
        <w:t>r</w:t>
      </w:r>
      <w:r w:rsidRPr="00DD36F1">
        <w:t xml:space="preserve">e eligible for </w:t>
      </w:r>
      <w:r>
        <w:t xml:space="preserve">FSM </w:t>
      </w:r>
      <w:r w:rsidRPr="00DD36F1">
        <w:t>in their intakes compared to all schools nationally and their catchment areas.</w:t>
      </w:r>
      <w:r>
        <w:t xml:space="preserve"> </w:t>
      </w:r>
      <w:r>
        <w:t xml:space="preserve">This suggests more must be done to </w:t>
      </w:r>
      <w:r>
        <w:t xml:space="preserve">widen disadvantage pupils’ access to top-performing schools. </w:t>
      </w:r>
      <w:r>
        <w:t xml:space="preserve">Similarly, NFER’s research on </w:t>
      </w:r>
      <w:r>
        <w:fldChar w:fldCharType="begin"/>
      </w:r>
      <w:r>
        <w:instrText xml:space="preserve"> HYPERLINK "https://www.nfer.ac.uk/publications/high-send-schools-patterns-and-pressures-in-mainstream-provision/" </w:instrText>
      </w:r>
      <w:r>
        <w:fldChar w:fldCharType="separate"/>
      </w:r>
      <w:r w:rsidRPr="00E13929">
        <w:rPr>
          <w:rStyle w:val="Hyperlink"/>
          <w:rFonts w:cstheme="minorBidi"/>
          <w:szCs w:val="22"/>
        </w:rPr>
        <w:t>high-SEND schools</w:t>
      </w:r>
      <w:r>
        <w:fldChar w:fldCharType="end"/>
      </w:r>
      <w:r>
        <w:t xml:space="preserve"> highlighted the uneven distribution of pupils with SEND between schools. </w:t>
      </w:r>
    </w:p>
    <w:p w:rsidR="00E67019" w:rsidP="00A61D3D">
      <w:pPr>
        <w:pStyle w:val="ListParagraph"/>
        <w:numPr>
          <w:ilvl w:val="0"/>
          <w:numId w:val="5"/>
        </w:numPr>
        <w:tabs>
          <w:tab w:val="clear" w:pos="720"/>
        </w:tabs>
        <w:ind w:left="714" w:hanging="357"/>
        <w:contextualSpacing w:val="0"/>
      </w:pPr>
      <w:r>
        <w:t>In the primary sector, one of the most important issues relating</w:t>
      </w:r>
      <w:r>
        <w:t xml:space="preserve"> to school admissions </w:t>
      </w:r>
      <w:r>
        <w:t>is falling pupil numbers</w:t>
      </w:r>
      <w:r>
        <w:t>, not mentioned in the White Paper</w:t>
      </w:r>
      <w:r>
        <w:t xml:space="preserve">. </w:t>
      </w:r>
      <w:r>
        <w:fldChar w:fldCharType="begin"/>
      </w:r>
      <w:r>
        <w:instrText xml:space="preserve"> HYPERLINK "https://explore-education-statistics.service.gov.uk/find-statistics/national-pupil-projections/2026" </w:instrText>
      </w:r>
      <w:r>
        <w:fldChar w:fldCharType="separate"/>
      </w:r>
      <w:r w:rsidRPr="00066043">
        <w:rPr>
          <w:rStyle w:val="Hyperlink"/>
          <w:rFonts w:cstheme="minorBidi"/>
          <w:szCs w:val="22"/>
        </w:rPr>
        <w:t xml:space="preserve">DfE </w:t>
      </w:r>
      <w:r w:rsidRPr="00066043">
        <w:rPr>
          <w:rStyle w:val="Hyperlink"/>
          <w:rFonts w:cstheme="minorBidi"/>
          <w:szCs w:val="22"/>
        </w:rPr>
        <w:t>projections</w:t>
      </w:r>
      <w:r>
        <w:fldChar w:fldCharType="end"/>
      </w:r>
      <w:r>
        <w:t xml:space="preserve"> suggest </w:t>
      </w:r>
      <w:r>
        <w:t xml:space="preserve">there are going to be 15 per cent less children in primary schools in England in 2031 than there were when numbers peaked in 2019. School admission decisions are going to be increasingly taken in the context of schools </w:t>
      </w:r>
      <w:r>
        <w:t>having significantly less pupils and therefore less funding. These</w:t>
      </w:r>
      <w:r>
        <w:t xml:space="preserve"> decisions are going to impact the distribution </w:t>
      </w:r>
      <w:r>
        <w:t>of resources across schools in a way that could be harmful to some pupils’ chance</w:t>
      </w:r>
      <w:r>
        <w:t>s</w:t>
      </w:r>
      <w:r>
        <w:t>.</w:t>
      </w:r>
    </w:p>
    <w:p w:rsidR="00E67019" w:rsidP="00A61D3D">
      <w:pPr>
        <w:pStyle w:val="ListParagraph"/>
        <w:numPr>
          <w:ilvl w:val="0"/>
          <w:numId w:val="5"/>
        </w:numPr>
        <w:tabs>
          <w:tab w:val="clear" w:pos="720"/>
        </w:tabs>
        <w:ind w:left="714" w:hanging="357"/>
        <w:contextualSpacing w:val="0"/>
      </w:pPr>
      <w:r>
        <w:t>T</w:t>
      </w:r>
      <w:r>
        <w:t>here is</w:t>
      </w:r>
      <w:r>
        <w:t xml:space="preserve"> already</w:t>
      </w:r>
      <w:r>
        <w:t xml:space="preserve"> evidence that falling pupil numbers are disproportionately affecting disadvantaged pupils. </w:t>
      </w:r>
      <w:r>
        <w:t xml:space="preserve">Recent </w:t>
      </w:r>
      <w:r>
        <w:fldChar w:fldCharType="begin"/>
      </w:r>
      <w:r>
        <w:instrText xml:space="preserve"> HYPERLINK "https://www.nfer.ac.uk/blogs/the-widening-disadvantage-divide-disadvantaged-primary-schools-appear-to-be-most-affected-by-falling-pupil-numbers/" </w:instrText>
      </w:r>
      <w:r>
        <w:fldChar w:fldCharType="separate"/>
      </w:r>
      <w:r w:rsidRPr="00066043">
        <w:rPr>
          <w:rStyle w:val="Hyperlink"/>
          <w:rFonts w:cstheme="minorBidi"/>
          <w:szCs w:val="22"/>
        </w:rPr>
        <w:t>NFER research</w:t>
      </w:r>
      <w:r>
        <w:fldChar w:fldCharType="end"/>
      </w:r>
      <w:r>
        <w:t xml:space="preserve"> show</w:t>
      </w:r>
      <w:r>
        <w:t>ed</w:t>
      </w:r>
      <w:r>
        <w:t xml:space="preserve"> that </w:t>
      </w:r>
      <w:r>
        <w:t xml:space="preserve">primary </w:t>
      </w:r>
      <w:r>
        <w:t xml:space="preserve">schools </w:t>
      </w:r>
      <w:r>
        <w:t xml:space="preserve">that have seen larger falls in pupil numbers tend to have higher rates of disadvantage among pupils (as measured by FSM). </w:t>
      </w:r>
      <w:r>
        <w:t xml:space="preserve">Given the link between </w:t>
      </w:r>
      <w:r>
        <w:t xml:space="preserve">pupil </w:t>
      </w:r>
      <w:r>
        <w:t>numbers and funding</w:t>
      </w:r>
      <w:r>
        <w:t>,</w:t>
      </w:r>
      <w:r>
        <w:t xml:space="preserve"> </w:t>
      </w:r>
      <w:r>
        <w:t xml:space="preserve">this trend </w:t>
      </w:r>
      <w:r w:rsidRPr="009D1260">
        <w:t>will increasingly hamper the education of disadvantaged pupils</w:t>
      </w:r>
      <w:r>
        <w:t xml:space="preserve"> if left unabated.</w:t>
      </w:r>
    </w:p>
    <w:p w:rsidR="00E67019" w:rsidP="00A61D3D">
      <w:pPr>
        <w:pStyle w:val="ListParagraph"/>
        <w:numPr>
          <w:ilvl w:val="0"/>
          <w:numId w:val="5"/>
        </w:numPr>
        <w:tabs>
          <w:tab w:val="clear" w:pos="720"/>
        </w:tabs>
        <w:ind w:left="714" w:hanging="357"/>
        <w:contextualSpacing w:val="0"/>
      </w:pPr>
      <w:r>
        <w:t>As such, any changes to the admissions code need</w:t>
      </w:r>
      <w:r>
        <w:t>s</w:t>
      </w:r>
      <w:r>
        <w:t xml:space="preserve"> to </w:t>
      </w:r>
      <w:r>
        <w:t>ensure that</w:t>
      </w:r>
      <w:r>
        <w:t xml:space="preserve"> </w:t>
      </w:r>
      <w:r>
        <w:t>l</w:t>
      </w:r>
      <w:r w:rsidRPr="00F25033">
        <w:t xml:space="preserve">ocal authorities </w:t>
      </w:r>
      <w:r>
        <w:t>can</w:t>
      </w:r>
      <w:r>
        <w:t xml:space="preserve"> </w:t>
      </w:r>
      <w:r w:rsidRPr="00F25033">
        <w:t xml:space="preserve">make proactive decisions about the distribution of schools in the local area, in partnership with parents, schools and trusts. </w:t>
      </w:r>
      <w:r>
        <w:t xml:space="preserve">In </w:t>
      </w:r>
      <w:r>
        <w:t xml:space="preserve">addition, NFER has called for DfE to </w:t>
      </w:r>
      <w:r>
        <w:t>assess</w:t>
      </w:r>
      <w:r>
        <w:t xml:space="preserve"> the impact of falling pupil </w:t>
      </w:r>
      <w:r>
        <w:t>numbers on disadvantaged pupils</w:t>
      </w:r>
      <w:r>
        <w:t>, which could be done alongside analysis of the</w:t>
      </w:r>
      <w:r>
        <w:t xml:space="preserve"> impact of </w:t>
      </w:r>
      <w:r>
        <w:t>admissions code changes.</w:t>
      </w:r>
    </w:p>
    <w:p w:rsidR="00E67019" w:rsidP="00001EE7">
      <w:pPr>
        <w:ind w:left="426" w:hanging="426"/>
      </w:pPr>
    </w:p>
    <w:p w:rsidR="00E67019" w:rsidP="0041730A">
      <w:pPr>
        <w:pStyle w:val="Heading1"/>
      </w:pPr>
      <w:r>
        <w:t>Workforce reforms</w:t>
      </w:r>
    </w:p>
    <w:p w:rsidR="00E67019" w:rsidRPr="009F3A73" w:rsidP="230355B2">
      <w:pPr>
        <w:rPr>
          <w:b/>
          <w:bCs/>
        </w:rPr>
      </w:pPr>
      <w:r>
        <w:rPr>
          <w:b/>
          <w:bCs/>
        </w:rPr>
        <w:t>Government’s 6,500 teacher target</w:t>
      </w:r>
    </w:p>
    <w:p w:rsidR="00E67019" w:rsidP="00A61D3D">
      <w:pPr>
        <w:pStyle w:val="ListParagraph"/>
        <w:numPr>
          <w:ilvl w:val="0"/>
          <w:numId w:val="21"/>
        </w:numPr>
        <w:ind w:left="714" w:hanging="357"/>
        <w:contextualSpacing w:val="0"/>
      </w:pPr>
      <w:r>
        <w:t xml:space="preserve">NFER welcomes the Government’s focus on addressing teacher supply issues, with a focus on </w:t>
      </w:r>
      <w:r>
        <w:t xml:space="preserve">improving </w:t>
      </w:r>
      <w:r>
        <w:t xml:space="preserve">retention. There are </w:t>
      </w:r>
      <w:r>
        <w:fldChar w:fldCharType="begin"/>
      </w:r>
      <w:r>
        <w:instrText xml:space="preserve"> HYPERLINK "https://www.tes.com/magazine/analysis/general/how-dfe-can-meet-6500-teacher-target" </w:instrText>
      </w:r>
      <w:r>
        <w:fldChar w:fldCharType="separate"/>
      </w:r>
      <w:r w:rsidRPr="00701030">
        <w:rPr>
          <w:rStyle w:val="Hyperlink"/>
          <w:rFonts w:cstheme="minorBidi"/>
          <w:szCs w:val="22"/>
        </w:rPr>
        <w:t>better metrics</w:t>
      </w:r>
      <w:r>
        <w:fldChar w:fldCharType="end"/>
      </w:r>
      <w:r>
        <w:t xml:space="preserve"> </w:t>
      </w:r>
      <w:r>
        <w:t>for</w:t>
      </w:r>
      <w:r>
        <w:t xml:space="preserve"> assessing teacher supply</w:t>
      </w:r>
      <w:r>
        <w:t xml:space="preserve"> than </w:t>
      </w:r>
      <w:r>
        <w:t>teacher numbers</w:t>
      </w:r>
      <w:r>
        <w:t xml:space="preserve">, such as recruitment to initial teacher training </w:t>
      </w:r>
      <w:r>
        <w:t xml:space="preserve">in different subjects </w:t>
      </w:r>
      <w:r>
        <w:t>compared to target, unfilled vacancies</w:t>
      </w:r>
      <w:r>
        <w:t xml:space="preserve"> and</w:t>
      </w:r>
      <w:r>
        <w:t xml:space="preserve"> teaching by non-specialist</w:t>
      </w:r>
      <w:r>
        <w:t xml:space="preserve"> teachers.</w:t>
      </w:r>
    </w:p>
    <w:p w:rsidR="00E67019" w:rsidP="00A61D3D">
      <w:pPr>
        <w:pStyle w:val="ListParagraph"/>
        <w:numPr>
          <w:ilvl w:val="0"/>
          <w:numId w:val="21"/>
        </w:numPr>
        <w:ind w:left="714" w:hanging="357"/>
        <w:contextualSpacing w:val="0"/>
      </w:pPr>
      <w:r>
        <w:t>Nevertheless</w:t>
      </w:r>
      <w:r>
        <w:t xml:space="preserve">, within the confines of a numerical target of </w:t>
      </w:r>
      <w:r>
        <w:t xml:space="preserve">recruiting </w:t>
      </w:r>
      <w:r>
        <w:t xml:space="preserve">6,500 teachers, the target </w:t>
      </w:r>
      <w:r>
        <w:t xml:space="preserve">does </w:t>
      </w:r>
      <w:r>
        <w:t xml:space="preserve">focus on the key challenges. </w:t>
      </w:r>
      <w:r>
        <w:t xml:space="preserve">Framing </w:t>
      </w:r>
      <w:r>
        <w:t>it</w:t>
      </w:r>
      <w:r>
        <w:t xml:space="preserve"> on overall teacher numbers means retaining more teachers contributes to the target; focusing only on </w:t>
      </w:r>
      <w:r>
        <w:t>recruitment</w:t>
      </w:r>
      <w:r>
        <w:t xml:space="preserve"> might have signalled that retention is unimportant</w:t>
      </w:r>
      <w:r>
        <w:t xml:space="preserve">. </w:t>
      </w:r>
      <w:r>
        <w:t xml:space="preserve">In </w:t>
      </w:r>
      <w:r>
        <w:t>f</w:t>
      </w:r>
      <w:r>
        <w:t>ocusing on secondary</w:t>
      </w:r>
      <w:r>
        <w:t xml:space="preserve"> schools</w:t>
      </w:r>
      <w:r>
        <w:t xml:space="preserve">, </w:t>
      </w:r>
      <w:r>
        <w:t xml:space="preserve">colleges </w:t>
      </w:r>
      <w:r>
        <w:t>and specialist settings</w:t>
      </w:r>
      <w:r>
        <w:t xml:space="preserve">, the target focuses on improving teacher supply </w:t>
      </w:r>
      <w:r>
        <w:t>in area</w:t>
      </w:r>
      <w:r>
        <w:t>s</w:t>
      </w:r>
      <w:r>
        <w:t xml:space="preserve"> </w:t>
      </w:r>
      <w:r>
        <w:t xml:space="preserve">that have struggled </w:t>
      </w:r>
      <w:r>
        <w:t>most</w:t>
      </w:r>
      <w:r>
        <w:t xml:space="preserve">. </w:t>
      </w:r>
      <w:r>
        <w:t xml:space="preserve">It also focusses on sectors </w:t>
      </w:r>
      <w:r>
        <w:t>where pupil numbers are expected to increase</w:t>
      </w:r>
      <w:r>
        <w:t>, which necessitates more teachers</w:t>
      </w:r>
      <w:r>
        <w:t xml:space="preserve">. </w:t>
      </w:r>
      <w:r>
        <w:t xml:space="preserve">In contrast, </w:t>
      </w:r>
      <w:r>
        <w:t>in the primary sector</w:t>
      </w:r>
      <w:r>
        <w:t>,</w:t>
      </w:r>
      <w:r>
        <w:t xml:space="preserve"> pupil numbers are falling and teacher supply has been historically healthy. </w:t>
      </w:r>
    </w:p>
    <w:p w:rsidR="00E67019" w:rsidP="00A61D3D">
      <w:pPr>
        <w:pStyle w:val="ListParagraph"/>
        <w:numPr>
          <w:ilvl w:val="0"/>
          <w:numId w:val="21"/>
        </w:numPr>
        <w:ind w:left="714" w:hanging="357"/>
        <w:contextualSpacing w:val="0"/>
      </w:pPr>
      <w:r>
        <w:t>The Government has made progress towards its target</w:t>
      </w:r>
      <w:r>
        <w:t xml:space="preserve">, </w:t>
      </w:r>
      <w:r>
        <w:fldChar w:fldCharType="begin"/>
      </w:r>
      <w:r>
        <w:instrText xml:space="preserve"> HYPERLINK "https://www.nfer.ac.uk/blogs/headlines-of-more-teachers-masks-a-more-mixed-picture-on-teacher-shortages-underneath/" </w:instrText>
      </w:r>
      <w:r>
        <w:fldChar w:fldCharType="separate"/>
      </w:r>
      <w:r w:rsidRPr="00701030">
        <w:rPr>
          <w:rStyle w:val="Hyperlink"/>
          <w:rFonts w:cstheme="minorBidi"/>
          <w:szCs w:val="22"/>
        </w:rPr>
        <w:t>with 4,654 more teachers above its 2023/24 baseline</w:t>
      </w:r>
      <w:r>
        <w:fldChar w:fldCharType="end"/>
      </w:r>
      <w:r>
        <w:t xml:space="preserve">. </w:t>
      </w:r>
      <w:r>
        <w:t>Achieving the target is</w:t>
      </w:r>
      <w:r>
        <w:t xml:space="preserve"> feasible. However, the number of secondary teachers fell </w:t>
      </w:r>
      <w:r>
        <w:t xml:space="preserve">by 500 last year, </w:t>
      </w:r>
      <w:r>
        <w:t>illustrating the</w:t>
      </w:r>
      <w:r>
        <w:t xml:space="preserve"> risk</w:t>
      </w:r>
      <w:r>
        <w:t xml:space="preserve"> that this large sector could </w:t>
      </w:r>
      <w:r>
        <w:t>bring</w:t>
      </w:r>
      <w:r>
        <w:t xml:space="preserve"> number</w:t>
      </w:r>
      <w:r>
        <w:t>s</w:t>
      </w:r>
      <w:r>
        <w:t xml:space="preserve"> down.</w:t>
      </w:r>
    </w:p>
    <w:p w:rsidR="00E67019" w:rsidP="00A61D3D">
      <w:pPr>
        <w:pStyle w:val="ListParagraph"/>
        <w:numPr>
          <w:ilvl w:val="0"/>
          <w:numId w:val="21"/>
        </w:numPr>
        <w:ind w:left="714" w:hanging="357"/>
        <w:contextualSpacing w:val="0"/>
      </w:pPr>
      <w:r>
        <w:t>T</w:t>
      </w:r>
      <w:r>
        <w:t>here is</w:t>
      </w:r>
      <w:r>
        <w:t xml:space="preserve"> also</w:t>
      </w:r>
      <w:r>
        <w:t xml:space="preserve"> a risk </w:t>
      </w:r>
      <w:r>
        <w:t xml:space="preserve">that </w:t>
      </w:r>
      <w:r>
        <w:t>DfE meet</w:t>
      </w:r>
      <w:r>
        <w:t>s</w:t>
      </w:r>
      <w:r>
        <w:t xml:space="preserve"> the target but </w:t>
      </w:r>
      <w:r>
        <w:t xml:space="preserve">misses </w:t>
      </w:r>
      <w:r>
        <w:t>the point. W</w:t>
      </w:r>
      <w:r>
        <w:t>e recommend that continued focus is paid to</w:t>
      </w:r>
      <w:r>
        <w:t xml:space="preserve"> a</w:t>
      </w:r>
      <w:r>
        <w:t xml:space="preserve"> wider</w:t>
      </w:r>
      <w:r>
        <w:t xml:space="preserve"> set of</w:t>
      </w:r>
      <w:r>
        <w:t xml:space="preserve"> metrics</w:t>
      </w:r>
      <w:r>
        <w:t>.</w:t>
      </w:r>
      <w:r>
        <w:t xml:space="preserve"> </w:t>
      </w:r>
      <w:r>
        <w:t>M</w:t>
      </w:r>
      <w:r>
        <w:t>any</w:t>
      </w:r>
      <w:r>
        <w:t xml:space="preserve"> are improving</w:t>
      </w:r>
      <w:r>
        <w:t>:</w:t>
      </w:r>
    </w:p>
    <w:p w:rsidR="00E67019" w:rsidP="00A61D3D">
      <w:pPr>
        <w:pStyle w:val="ListParagraph"/>
        <w:numPr>
          <w:ilvl w:val="0"/>
          <w:numId w:val="22"/>
        </w:numPr>
        <w:tabs>
          <w:tab w:val="clear" w:pos="720"/>
        </w:tabs>
        <w:ind w:left="1071" w:hanging="357"/>
      </w:pPr>
      <w:r>
        <w:t>Retention has improved</w:t>
      </w:r>
      <w:r>
        <w:t>:</w:t>
      </w:r>
      <w:r>
        <w:t xml:space="preserve"> the leaving rate </w:t>
      </w:r>
      <w:r>
        <w:t>fell</w:t>
      </w:r>
      <w:r>
        <w:t xml:space="preserve"> from 10.6 per cent</w:t>
      </w:r>
      <w:r>
        <w:t xml:space="preserve"> in 2016 to</w:t>
      </w:r>
      <w:r>
        <w:t xml:space="preserve"> </w:t>
      </w:r>
      <w:r>
        <w:t>8.5 per cent this year</w:t>
      </w:r>
      <w:r>
        <w:t>, which</w:t>
      </w:r>
      <w:r>
        <w:t xml:space="preserve"> equates to </w:t>
      </w:r>
      <w:r>
        <w:t>8</w:t>
      </w:r>
      <w:r>
        <w:t>,</w:t>
      </w:r>
      <w:r>
        <w:t>0</w:t>
      </w:r>
      <w:r>
        <w:t>00 fewer teachers leaving.</w:t>
      </w:r>
    </w:p>
    <w:p w:rsidR="00E67019" w:rsidP="00A61D3D">
      <w:pPr>
        <w:pStyle w:val="ListParagraph"/>
        <w:numPr>
          <w:ilvl w:val="0"/>
          <w:numId w:val="22"/>
        </w:numPr>
        <w:tabs>
          <w:tab w:val="clear" w:pos="720"/>
        </w:tabs>
        <w:ind w:left="1071" w:hanging="357"/>
      </w:pPr>
      <w:r>
        <w:t>U</w:t>
      </w:r>
      <w:r w:rsidRPr="008B3E54">
        <w:t xml:space="preserve">nfilled vacancies </w:t>
      </w:r>
      <w:r>
        <w:t>have</w:t>
      </w:r>
      <w:r w:rsidRPr="008B3E54">
        <w:t xml:space="preserve"> continued to fall this year from its peak in 2023/24</w:t>
      </w:r>
      <w:r>
        <w:t>.</w:t>
      </w:r>
    </w:p>
    <w:p w:rsidR="00E67019" w:rsidP="00A61D3D">
      <w:pPr>
        <w:pStyle w:val="ListParagraph"/>
        <w:numPr>
          <w:ilvl w:val="0"/>
          <w:numId w:val="22"/>
        </w:numPr>
        <w:tabs>
          <w:tab w:val="clear" w:pos="720"/>
        </w:tabs>
        <w:ind w:left="1071" w:hanging="357"/>
        <w:contextualSpacing w:val="0"/>
      </w:pPr>
      <w:r>
        <w:t>T</w:t>
      </w:r>
      <w:r>
        <w:t xml:space="preserve">rainees entering </w:t>
      </w:r>
      <w:r>
        <w:t xml:space="preserve">secondary </w:t>
      </w:r>
      <w:r>
        <w:t xml:space="preserve">teacher training increased by </w:t>
      </w:r>
      <w:r>
        <w:t xml:space="preserve">43 per cent between 2022/23 and </w:t>
      </w:r>
      <w:r>
        <w:t>2025/26, driven by increases in some bursaries and deteriorat</w:t>
      </w:r>
      <w:r>
        <w:t>ing</w:t>
      </w:r>
      <w:r>
        <w:t xml:space="preserve"> employment opportunities in the wider labour market.</w:t>
      </w:r>
      <w:r>
        <w:t xml:space="preserve"> However, </w:t>
      </w:r>
      <w:r>
        <w:t xml:space="preserve">applications </w:t>
      </w:r>
      <w:r>
        <w:t xml:space="preserve">data suggest that secondary recruitment </w:t>
      </w:r>
      <w:r>
        <w:t xml:space="preserve">may </w:t>
      </w:r>
      <w:r>
        <w:t xml:space="preserve">be around </w:t>
      </w:r>
      <w:r>
        <w:t>nine</w:t>
      </w:r>
      <w:r>
        <w:t xml:space="preserve"> </w:t>
      </w:r>
      <w:r>
        <w:t xml:space="preserve">per cent lower next year, </w:t>
      </w:r>
      <w:r>
        <w:t xml:space="preserve">mainly </w:t>
      </w:r>
      <w:r>
        <w:t xml:space="preserve">due </w:t>
      </w:r>
      <w:r>
        <w:t>to bursary cuts.</w:t>
      </w:r>
    </w:p>
    <w:p w:rsidR="00E67019" w:rsidP="00A61D3D">
      <w:pPr>
        <w:pStyle w:val="ListParagraph"/>
        <w:numPr>
          <w:ilvl w:val="0"/>
          <w:numId w:val="21"/>
        </w:numPr>
        <w:ind w:left="714" w:hanging="357"/>
        <w:contextualSpacing w:val="0"/>
      </w:pPr>
      <w:r>
        <w:t xml:space="preserve">However, other metrics are not </w:t>
      </w:r>
      <w:r>
        <w:t>improving and</w:t>
      </w:r>
      <w:r>
        <w:t xml:space="preserve"> need continued monitoring and action:</w:t>
      </w:r>
    </w:p>
    <w:p w:rsidR="00E67019" w:rsidP="00A61D3D">
      <w:pPr>
        <w:pStyle w:val="ListParagraph"/>
        <w:numPr>
          <w:ilvl w:val="0"/>
          <w:numId w:val="23"/>
        </w:numPr>
        <w:ind w:left="1071" w:hanging="357"/>
      </w:pPr>
      <w:r>
        <w:t>T</w:t>
      </w:r>
      <w:r w:rsidRPr="00012EFF">
        <w:t xml:space="preserve">he proportion of teaching by non-specialists </w:t>
      </w:r>
      <w:r>
        <w:t xml:space="preserve">in secondary schools </w:t>
      </w:r>
      <w:r w:rsidRPr="00012EFF">
        <w:t>increased from 12.5 to 13.1 per cent</w:t>
      </w:r>
      <w:r>
        <w:t xml:space="preserve"> last year.</w:t>
      </w:r>
      <w:r>
        <w:t xml:space="preserve"> </w:t>
      </w:r>
      <w:r>
        <w:t>T</w:t>
      </w:r>
      <w:r w:rsidRPr="00D15B90">
        <w:t xml:space="preserve">eacher supply matters for education quality </w:t>
      </w:r>
      <w:r>
        <w:t>because</w:t>
      </w:r>
      <w:r w:rsidRPr="00D15B90">
        <w:t xml:space="preserve"> shortages lead to teachers being deployed outside </w:t>
      </w:r>
      <w:r>
        <w:t xml:space="preserve">of </w:t>
      </w:r>
      <w:r w:rsidRPr="00D15B90">
        <w:t>their specialism, affect</w:t>
      </w:r>
      <w:r>
        <w:t>ing</w:t>
      </w:r>
      <w:r w:rsidRPr="00D15B90">
        <w:t xml:space="preserve"> teaching</w:t>
      </w:r>
      <w:r>
        <w:t xml:space="preserve"> </w:t>
      </w:r>
      <w:r w:rsidRPr="00D15B90">
        <w:t>quality. </w:t>
      </w:r>
      <w:r>
        <w:t>Consistent</w:t>
      </w:r>
      <w:r w:rsidRPr="00D15B90">
        <w:t xml:space="preserve"> under-recruitment </w:t>
      </w:r>
      <w:r>
        <w:t>now means</w:t>
      </w:r>
      <w:r w:rsidRPr="00D15B90">
        <w:t xml:space="preserve"> one in six lessons in key stage 3 </w:t>
      </w:r>
      <w:r>
        <w:t>are</w:t>
      </w:r>
      <w:r w:rsidRPr="00D15B90">
        <w:t xml:space="preserve"> taught by non-specialist</w:t>
      </w:r>
      <w:r>
        <w:t>s</w:t>
      </w:r>
      <w:r w:rsidRPr="00D15B90">
        <w:t>.</w:t>
      </w:r>
    </w:p>
    <w:p w:rsidR="00E67019" w:rsidP="00A61D3D">
      <w:pPr>
        <w:pStyle w:val="ListParagraph"/>
        <w:numPr>
          <w:ilvl w:val="0"/>
          <w:numId w:val="23"/>
        </w:numPr>
        <w:ind w:left="1071" w:hanging="357"/>
      </w:pPr>
      <w:r w:rsidRPr="00D15B90">
        <w:t>Secondary class sizes have continued to rise, despite healthier teacher supply</w:t>
      </w:r>
      <w:r>
        <w:t xml:space="preserve">. </w:t>
      </w:r>
      <w:r w:rsidRPr="00D15B90">
        <w:t xml:space="preserve">While pupil-teacher ratios and average class sizes are broadly stable, the proportion of </w:t>
      </w:r>
      <w:r>
        <w:t xml:space="preserve">secondary </w:t>
      </w:r>
      <w:r w:rsidRPr="00D15B90">
        <w:t>pupils taught in classes of more than 30 pupils has increased this year</w:t>
      </w:r>
      <w:r>
        <w:t>,</w:t>
      </w:r>
      <w:r w:rsidRPr="00D15B90">
        <w:t xml:space="preserve"> from 15.6 to 16.4 per cent.</w:t>
      </w:r>
    </w:p>
    <w:p w:rsidR="00E67019" w:rsidRPr="007B5D7F" w:rsidP="007B5D7F">
      <w:pPr>
        <w:rPr>
          <w:b/>
          <w:bCs/>
        </w:rPr>
      </w:pPr>
      <w:r w:rsidRPr="007B5D7F">
        <w:rPr>
          <w:b/>
          <w:bCs/>
        </w:rPr>
        <w:t>Effectiveness of proposed retention measures</w:t>
      </w:r>
    </w:p>
    <w:p w:rsidR="00E67019" w:rsidP="00A61D3D">
      <w:pPr>
        <w:pStyle w:val="ListParagraph"/>
        <w:numPr>
          <w:ilvl w:val="0"/>
          <w:numId w:val="24"/>
        </w:numPr>
        <w:ind w:left="714" w:hanging="357"/>
        <w:contextualSpacing w:val="0"/>
      </w:pPr>
      <w:r>
        <w:t xml:space="preserve">DfE has provided little detail on what its retention programme </w:t>
      </w:r>
      <w:r>
        <w:t>will</w:t>
      </w:r>
      <w:r>
        <w:t xml:space="preserve"> </w:t>
      </w:r>
      <w:r>
        <w:t>look like</w:t>
      </w:r>
      <w:r>
        <w:t>, other than that</w:t>
      </w:r>
      <w:r w:rsidRPr="00701030">
        <w:rPr>
          <w:rFonts w:ascii="Arial" w:hAnsi="Arial" w:cs="Arial"/>
          <w:color w:val="0B0C0C"/>
          <w:sz w:val="29"/>
          <w:szCs w:val="29"/>
          <w:shd w:val="clear" w:color="auto" w:fill="FFFFFF"/>
        </w:rPr>
        <w:t xml:space="preserve"> </w:t>
      </w:r>
      <w:r>
        <w:t>th</w:t>
      </w:r>
      <w:r>
        <w:t xml:space="preserve">e </w:t>
      </w:r>
      <w:r w:rsidRPr="00D126F4">
        <w:t xml:space="preserve">initiative </w:t>
      </w:r>
      <w:r>
        <w:t>‘</w:t>
      </w:r>
      <w:r w:rsidRPr="00D126F4">
        <w:t>will build on our flexible working programme, to share best practice across the sector and provide peer support, coaching and resources</w:t>
      </w:r>
      <w:r>
        <w:t>’</w:t>
      </w:r>
      <w:r w:rsidRPr="00D126F4">
        <w:t xml:space="preserve">. </w:t>
      </w:r>
      <w:r>
        <w:t xml:space="preserve">We welcome the expanded focus on </w:t>
      </w:r>
      <w:r w:rsidRPr="00136B6A">
        <w:t>managing workloads</w:t>
      </w:r>
      <w:r>
        <w:t xml:space="preserve"> </w:t>
      </w:r>
      <w:r>
        <w:t>(</w:t>
      </w:r>
      <w:r>
        <w:t xml:space="preserve">which </w:t>
      </w:r>
      <w:r>
        <w:fldChar w:fldCharType="begin"/>
      </w:r>
      <w:r>
        <w:instrText xml:space="preserve"> HYPERLINK "https://www.nfer.ac.uk/publications/what-helps-to-improve-teacher-retention/" </w:instrText>
      </w:r>
      <w:r>
        <w:fldChar w:fldCharType="separate"/>
      </w:r>
      <w:r w:rsidRPr="00701030">
        <w:rPr>
          <w:rStyle w:val="Hyperlink"/>
          <w:rFonts w:cstheme="minorBidi"/>
          <w:szCs w:val="22"/>
        </w:rPr>
        <w:t>is a key factor for retention</w:t>
      </w:r>
      <w:r>
        <w:fldChar w:fldCharType="end"/>
      </w:r>
      <w:r>
        <w:t xml:space="preserve">) </w:t>
      </w:r>
      <w:r>
        <w:t>and would welcome a focus</w:t>
      </w:r>
      <w:r>
        <w:t xml:space="preserve"> within the programme</w:t>
      </w:r>
      <w:r>
        <w:t xml:space="preserve"> on </w:t>
      </w:r>
      <w:r>
        <w:fldChar w:fldCharType="begin"/>
      </w:r>
      <w:r>
        <w:instrText xml:space="preserve"> HYPERLINK "https://www.nfer.ac.uk/publications/ethnic-disparities-in-entry-to-teacher-training-teacher-retention-and-progression-to-leadership/" </w:instrText>
      </w:r>
      <w:r>
        <w:fldChar w:fldCharType="separate"/>
      </w:r>
      <w:r w:rsidRPr="00701030">
        <w:rPr>
          <w:rStyle w:val="Hyperlink"/>
          <w:rFonts w:cstheme="minorBidi"/>
          <w:szCs w:val="22"/>
        </w:rPr>
        <w:t xml:space="preserve">improving </w:t>
      </w:r>
      <w:r w:rsidRPr="00701030">
        <w:rPr>
          <w:rStyle w:val="Hyperlink"/>
          <w:rFonts w:cstheme="minorBidi"/>
          <w:szCs w:val="22"/>
        </w:rPr>
        <w:t xml:space="preserve">the </w:t>
      </w:r>
      <w:r w:rsidRPr="00701030">
        <w:rPr>
          <w:rStyle w:val="Hyperlink"/>
          <w:rFonts w:cstheme="minorBidi"/>
          <w:szCs w:val="22"/>
        </w:rPr>
        <w:t xml:space="preserve">ethnic </w:t>
      </w:r>
      <w:r w:rsidRPr="00701030">
        <w:rPr>
          <w:rStyle w:val="Hyperlink"/>
          <w:rFonts w:cstheme="minorBidi"/>
          <w:szCs w:val="22"/>
        </w:rPr>
        <w:t xml:space="preserve">diversity </w:t>
      </w:r>
      <w:r w:rsidRPr="00701030">
        <w:rPr>
          <w:rStyle w:val="Hyperlink"/>
          <w:rFonts w:cstheme="minorBidi"/>
          <w:szCs w:val="22"/>
        </w:rPr>
        <w:t>of the teaching workforce</w:t>
      </w:r>
      <w:r>
        <w:fldChar w:fldCharType="end"/>
      </w:r>
      <w:r>
        <w:t>.</w:t>
      </w:r>
      <w:r>
        <w:t xml:space="preserve"> </w:t>
      </w:r>
      <w:r>
        <w:t>Supportive l</w:t>
      </w:r>
      <w:r>
        <w:t>eadership approaches</w:t>
      </w:r>
      <w:r>
        <w:t xml:space="preserve"> are an important facilitator for retention, as shown by retention research</w:t>
      </w:r>
      <w:r>
        <w:t xml:space="preserve"> </w:t>
      </w:r>
      <w:r>
        <w:t>(</w:t>
      </w:r>
      <w:r>
        <w:fldChar w:fldCharType="begin"/>
      </w:r>
      <w:r>
        <w:instrText xml:space="preserve"> HYPERLINK "https://assets.publishing.service.gov.uk/media/5f6484c28fa8f5107025c17a/TALIS_201_teacher_working_conditions_turnover_and_attrition.pdf" </w:instrText>
      </w:r>
      <w:r>
        <w:fldChar w:fldCharType="separate"/>
      </w:r>
      <w:r w:rsidRPr="00701030">
        <w:rPr>
          <w:rStyle w:val="Hyperlink"/>
          <w:rFonts w:cstheme="minorBidi"/>
          <w:szCs w:val="22"/>
        </w:rPr>
        <w:t>here</w:t>
      </w:r>
      <w:r>
        <w:fldChar w:fldCharType="end"/>
      </w:r>
      <w:r>
        <w:t xml:space="preserve">, </w:t>
      </w:r>
      <w:r>
        <w:fldChar w:fldCharType="begin"/>
      </w:r>
      <w:r>
        <w:instrText xml:space="preserve"> HYPERLINK "https://educationendowmentfoundation.org.uk/education-evidence/evidence-reviews/leadership-approaches" </w:instrText>
      </w:r>
      <w:r>
        <w:fldChar w:fldCharType="separate"/>
      </w:r>
      <w:r w:rsidRPr="00701030">
        <w:rPr>
          <w:rStyle w:val="Hyperlink"/>
          <w:rFonts w:cstheme="minorBidi"/>
          <w:szCs w:val="22"/>
        </w:rPr>
        <w:t>here</w:t>
      </w:r>
      <w:r>
        <w:fldChar w:fldCharType="end"/>
      </w:r>
      <w:r>
        <w:t>)</w:t>
      </w:r>
      <w:r>
        <w:t xml:space="preserve">, </w:t>
      </w:r>
      <w:r>
        <w:fldChar w:fldCharType="begin"/>
      </w:r>
      <w:r>
        <w:instrText xml:space="preserve"> HYPERLINK "https://www.nfer.ac.uk/publications/what-helps-to-improve-teacher-retention/" </w:instrText>
      </w:r>
      <w:r>
        <w:fldChar w:fldCharType="separate"/>
      </w:r>
      <w:r w:rsidRPr="00701030">
        <w:rPr>
          <w:rStyle w:val="Hyperlink"/>
          <w:rFonts w:cstheme="minorBidi"/>
          <w:szCs w:val="22"/>
        </w:rPr>
        <w:t>including NFER’s</w:t>
      </w:r>
      <w:r>
        <w:fldChar w:fldCharType="end"/>
      </w:r>
      <w:r>
        <w:t>.</w:t>
      </w:r>
    </w:p>
    <w:p w:rsidR="00E67019" w:rsidP="00A61D3D">
      <w:pPr>
        <w:pStyle w:val="ListParagraph"/>
        <w:numPr>
          <w:ilvl w:val="0"/>
          <w:numId w:val="24"/>
        </w:numPr>
        <w:ind w:left="714" w:hanging="357"/>
        <w:contextualSpacing w:val="0"/>
      </w:pPr>
      <w:r>
        <w:t xml:space="preserve">The </w:t>
      </w:r>
      <w:r w:rsidRPr="00B202FD">
        <w:t xml:space="preserve">Flexible working ambassador MATS and schools (FWAMS) </w:t>
      </w:r>
      <w:r>
        <w:t xml:space="preserve">programme </w:t>
      </w:r>
      <w:r>
        <w:t xml:space="preserve">aimed to </w:t>
      </w:r>
      <w:r w:rsidRPr="00D12387">
        <w:t>expand and embed flexible working in schools</w:t>
      </w:r>
      <w:r>
        <w:t xml:space="preserve"> by sharing best practice</w:t>
      </w:r>
      <w:r>
        <w:t>.</w:t>
      </w:r>
      <w:r>
        <w:t xml:space="preserve"> DfE</w:t>
      </w:r>
      <w:r>
        <w:t xml:space="preserve"> </w:t>
      </w:r>
      <w:r>
        <w:t>is us</w:t>
      </w:r>
      <w:r>
        <w:t>ing this as a</w:t>
      </w:r>
      <w:r>
        <w:t xml:space="preserve"> model </w:t>
      </w:r>
      <w:r>
        <w:t>for</w:t>
      </w:r>
      <w:r>
        <w:t xml:space="preserve"> the retention programme</w:t>
      </w:r>
      <w:r>
        <w:t xml:space="preserve"> and t</w:t>
      </w:r>
      <w:r>
        <w:t xml:space="preserve">he </w:t>
      </w:r>
      <w:r>
        <w:fldChar w:fldCharType="begin"/>
      </w:r>
      <w:r>
        <w:instrText xml:space="preserve"> HYPERLINK "https://www.gov.uk/government/publications/flexible-working-ambassador-mats-and-schools-fwams-research" </w:instrText>
      </w:r>
      <w:r>
        <w:fldChar w:fldCharType="separate"/>
      </w:r>
      <w:r w:rsidRPr="00701030">
        <w:rPr>
          <w:rStyle w:val="Hyperlink"/>
          <w:rFonts w:cstheme="minorBidi"/>
          <w:szCs w:val="22"/>
        </w:rPr>
        <w:t xml:space="preserve">Government’s </w:t>
      </w:r>
      <w:r w:rsidRPr="00701030">
        <w:rPr>
          <w:rStyle w:val="Hyperlink"/>
          <w:rFonts w:cstheme="minorBidi"/>
          <w:szCs w:val="22"/>
        </w:rPr>
        <w:t xml:space="preserve">FWAMS </w:t>
      </w:r>
      <w:r w:rsidRPr="00701030">
        <w:rPr>
          <w:rStyle w:val="Hyperlink"/>
          <w:rFonts w:cstheme="minorBidi"/>
          <w:szCs w:val="22"/>
        </w:rPr>
        <w:t>evaluation</w:t>
      </w:r>
      <w:r>
        <w:fldChar w:fldCharType="end"/>
      </w:r>
      <w:r>
        <w:t xml:space="preserve"> highlighted </w:t>
      </w:r>
      <w:r>
        <w:t xml:space="preserve">some short-term </w:t>
      </w:r>
      <w:r>
        <w:t>improvements in participating schools,</w:t>
      </w:r>
      <w:r>
        <w:t xml:space="preserve"> such as c</w:t>
      </w:r>
      <w:r w:rsidRPr="009E607B">
        <w:t xml:space="preserve">ulture change </w:t>
      </w:r>
      <w:r>
        <w:t xml:space="preserve">and </w:t>
      </w:r>
      <w:r w:rsidRPr="009E607B">
        <w:t>normalisation of flexible working</w:t>
      </w:r>
      <w:r>
        <w:t xml:space="preserve">. </w:t>
      </w:r>
      <w:r>
        <w:t>While s</w:t>
      </w:r>
      <w:r>
        <w:t xml:space="preserve">ome schools </w:t>
      </w:r>
      <w:r>
        <w:t>anticipated</w:t>
      </w:r>
      <w:r>
        <w:t xml:space="preserve"> improved </w:t>
      </w:r>
      <w:r>
        <w:t>long-term</w:t>
      </w:r>
      <w:r>
        <w:t xml:space="preserve"> outcomes</w:t>
      </w:r>
      <w:r>
        <w:t xml:space="preserve"> as a result</w:t>
      </w:r>
      <w:r>
        <w:t xml:space="preserve">, little evidence was available on whether retention had improved. </w:t>
      </w:r>
      <w:r>
        <w:t xml:space="preserve">Implementation </w:t>
      </w:r>
      <w:r>
        <w:t>of the programme will be key</w:t>
      </w:r>
      <w:r>
        <w:t xml:space="preserve">, including </w:t>
      </w:r>
      <w:r>
        <w:t xml:space="preserve">delivery team and school leader </w:t>
      </w:r>
      <w:r>
        <w:t xml:space="preserve">capacity </w:t>
      </w:r>
      <w:r>
        <w:t xml:space="preserve">to </w:t>
      </w:r>
      <w:r>
        <w:t>participat</w:t>
      </w:r>
      <w:r>
        <w:t>e</w:t>
      </w:r>
      <w:r>
        <w:t>.</w:t>
      </w:r>
    </w:p>
    <w:p w:rsidR="00E67019" w:rsidP="00A61D3D">
      <w:pPr>
        <w:pStyle w:val="ListParagraph"/>
        <w:numPr>
          <w:ilvl w:val="0"/>
          <w:numId w:val="24"/>
        </w:numPr>
        <w:ind w:left="714" w:hanging="357"/>
        <w:contextualSpacing w:val="0"/>
      </w:pPr>
      <w:r>
        <w:t xml:space="preserve">Financial incentives are a key policy tool for responding to </w:t>
      </w:r>
      <w:r>
        <w:t xml:space="preserve">supply </w:t>
      </w:r>
      <w:r>
        <w:t xml:space="preserve">issues. </w:t>
      </w:r>
      <w:r>
        <w:t xml:space="preserve">While remuneration is </w:t>
      </w:r>
      <w:r>
        <w:t>not</w:t>
      </w:r>
      <w:r>
        <w:t xml:space="preserve"> a </w:t>
      </w:r>
      <w:r>
        <w:t xml:space="preserve">top reason why teachers enter the profession and choose to leave, it </w:t>
      </w:r>
      <w:r>
        <w:t>is important</w:t>
      </w:r>
      <w:r>
        <w:t>.</w:t>
      </w:r>
      <w:r>
        <w:t xml:space="preserve"> </w:t>
      </w:r>
      <w:r>
        <w:t>P</w:t>
      </w:r>
      <w:r>
        <w:t xml:space="preserve">olicy changes </w:t>
      </w:r>
      <w:r>
        <w:t>on remuneration</w:t>
      </w:r>
      <w:r>
        <w:t xml:space="preserve"> influence teachers’ career decision-making. </w:t>
      </w:r>
      <w:r>
        <w:t xml:space="preserve">A key benefit </w:t>
      </w:r>
      <w:r>
        <w:t xml:space="preserve">of financial incentives </w:t>
      </w:r>
      <w:r>
        <w:t>is that they can be targeted at areas</w:t>
      </w:r>
      <w:r>
        <w:t>/</w:t>
      </w:r>
      <w:r>
        <w:t xml:space="preserve">subjects </w:t>
      </w:r>
      <w:r>
        <w:t xml:space="preserve">that </w:t>
      </w:r>
      <w:r>
        <w:t>need most support</w:t>
      </w:r>
      <w:r>
        <w:t xml:space="preserve">. The evidence strongly suggests that </w:t>
      </w:r>
      <w:r>
        <w:fldChar w:fldCharType="begin"/>
      </w:r>
      <w:r>
        <w:instrText xml:space="preserve"> HYPERLINK "https://www.nfer.ac.uk/publications/the-impact-of-training-bursaries-on-teacher-recruitment-and-retention/" </w:instrText>
      </w:r>
      <w:r>
        <w:fldChar w:fldCharType="separate"/>
      </w:r>
      <w:r w:rsidRPr="00701030">
        <w:rPr>
          <w:rStyle w:val="Hyperlink"/>
          <w:rFonts w:cstheme="minorBidi"/>
          <w:szCs w:val="22"/>
        </w:rPr>
        <w:t>training bursaries are effective</w:t>
      </w:r>
      <w:r>
        <w:fldChar w:fldCharType="end"/>
      </w:r>
      <w:r>
        <w:t xml:space="preserve"> for improving recruitment and long-term supply. While there is </w:t>
      </w:r>
      <w:r>
        <w:fldChar w:fldCharType="begin"/>
      </w:r>
      <w:r>
        <w:instrText xml:space="preserve"> HYPERLINK "https://www.nfer.ac.uk/publications/the-impact-of-early-career-retention-payments-on-teacher-retention/" </w:instrText>
      </w:r>
      <w:r>
        <w:fldChar w:fldCharType="separate"/>
      </w:r>
      <w:r w:rsidRPr="00701030">
        <w:rPr>
          <w:rStyle w:val="Hyperlink"/>
          <w:rFonts w:cstheme="minorBidi"/>
          <w:szCs w:val="22"/>
        </w:rPr>
        <w:t>mixed evidence on the effectiveness of early-career retention payments</w:t>
      </w:r>
      <w:r>
        <w:fldChar w:fldCharType="end"/>
      </w:r>
      <w:r>
        <w:t xml:space="preserve">, they appear to </w:t>
      </w:r>
      <w:r>
        <w:t>improve retention</w:t>
      </w:r>
      <w:r>
        <w:t>, albeit at a higher cost than bursaries</w:t>
      </w:r>
      <w:r>
        <w:t>.</w:t>
      </w:r>
      <w:r>
        <w:t xml:space="preserve"> </w:t>
      </w:r>
      <w:r>
        <w:t>Generally,</w:t>
      </w:r>
      <w:r>
        <w:t xml:space="preserve"> </w:t>
      </w:r>
      <w:r>
        <w:t xml:space="preserve">better </w:t>
      </w:r>
      <w:r>
        <w:t>value for money is achieved by focussing incentives on</w:t>
      </w:r>
      <w:r>
        <w:t xml:space="preserve"> early-career</w:t>
      </w:r>
      <w:r>
        <w:t xml:space="preserve"> teachers</w:t>
      </w:r>
      <w:r>
        <w:t>.</w:t>
      </w:r>
    </w:p>
    <w:p w:rsidR="00E67019" w:rsidP="00A61D3D">
      <w:pPr>
        <w:pStyle w:val="ListParagraph"/>
        <w:numPr>
          <w:ilvl w:val="0"/>
          <w:numId w:val="24"/>
        </w:numPr>
        <w:ind w:left="714" w:hanging="357"/>
        <w:contextualSpacing w:val="0"/>
      </w:pPr>
      <w:r>
        <w:t>Financial incentives for headte</w:t>
      </w:r>
      <w:r>
        <w:t>a</w:t>
      </w:r>
      <w:r>
        <w:t>cher</w:t>
      </w:r>
      <w:r>
        <w:t xml:space="preserve"> retention</w:t>
      </w:r>
      <w:r>
        <w:t xml:space="preserve"> </w:t>
      </w:r>
      <w:r>
        <w:t xml:space="preserve">have not been piloted in the UK, so the evidence base is thin. </w:t>
      </w:r>
      <w:r>
        <w:t>I</w:t>
      </w:r>
      <w:r>
        <w:t xml:space="preserve">t is reasonable to think that they could have </w:t>
      </w:r>
      <w:r>
        <w:t xml:space="preserve">some </w:t>
      </w:r>
      <w:r>
        <w:t>impact</w:t>
      </w:r>
      <w:r>
        <w:t xml:space="preserve"> on</w:t>
      </w:r>
      <w:r>
        <w:t xml:space="preserve"> retention</w:t>
      </w:r>
      <w:r>
        <w:t xml:space="preserve">. </w:t>
      </w:r>
      <w:r>
        <w:t xml:space="preserve">However, </w:t>
      </w:r>
      <w:r>
        <w:t xml:space="preserve">headteachers </w:t>
      </w:r>
      <w:r>
        <w:t xml:space="preserve">may </w:t>
      </w:r>
      <w:r>
        <w:t>consider</w:t>
      </w:r>
      <w:r>
        <w:t xml:space="preserve"> wider aspects of the overall package </w:t>
      </w:r>
      <w:r>
        <w:t xml:space="preserve">(such as workload and </w:t>
      </w:r>
      <w:r>
        <w:t>weight of responsibility</w:t>
      </w:r>
      <w:r>
        <w:t>)</w:t>
      </w:r>
      <w:r>
        <w:t xml:space="preserve"> as more important</w:t>
      </w:r>
      <w:r>
        <w:t xml:space="preserve"> than other teachers</w:t>
      </w:r>
      <w:r>
        <w:t xml:space="preserve">, </w:t>
      </w:r>
      <w:r>
        <w:t>so</w:t>
      </w:r>
      <w:r>
        <w:t xml:space="preserve"> </w:t>
      </w:r>
      <w:r>
        <w:t xml:space="preserve">the proposed incentive </w:t>
      </w:r>
      <w:r>
        <w:t>may not have a</w:t>
      </w:r>
      <w:r>
        <w:t>s</w:t>
      </w:r>
      <w:r>
        <w:t xml:space="preserve"> </w:t>
      </w:r>
      <w:r>
        <w:t>much</w:t>
      </w:r>
      <w:r>
        <w:t xml:space="preserve"> impact on </w:t>
      </w:r>
      <w:r>
        <w:t xml:space="preserve">their </w:t>
      </w:r>
      <w:r>
        <w:t xml:space="preserve">decisions. </w:t>
      </w:r>
      <w:r>
        <w:t>The</w:t>
      </w:r>
      <w:r>
        <w:t xml:space="preserve"> Government </w:t>
      </w:r>
      <w:r>
        <w:t>should</w:t>
      </w:r>
      <w:r>
        <w:t xml:space="preserve"> evaluate the </w:t>
      </w:r>
      <w:r>
        <w:t>proposed incentive</w:t>
      </w:r>
      <w:r>
        <w:t>’s impact</w:t>
      </w:r>
      <w:r>
        <w:t>.</w:t>
      </w:r>
    </w:p>
    <w:p w:rsidR="00E67019" w:rsidP="230355B2">
      <w:pPr>
        <w:rPr>
          <w:b/>
          <w:bCs/>
        </w:rPr>
      </w:pPr>
      <w:r w:rsidRPr="00B87F0F">
        <w:rPr>
          <w:b/>
          <w:bCs/>
        </w:rPr>
        <w:t>Changes to pay and conditions</w:t>
      </w:r>
    </w:p>
    <w:p w:rsidR="00E67019" w:rsidRPr="00B87F0F" w:rsidP="00A61D3D">
      <w:pPr>
        <w:pStyle w:val="ListParagraph"/>
        <w:numPr>
          <w:ilvl w:val="0"/>
          <w:numId w:val="14"/>
        </w:numPr>
        <w:ind w:left="714" w:hanging="357"/>
        <w:contextualSpacing w:val="0"/>
      </w:pPr>
      <w:r>
        <w:t xml:space="preserve">The Government’s change to </w:t>
      </w:r>
      <w:r>
        <w:t xml:space="preserve">teachers’ </w:t>
      </w:r>
      <w:r>
        <w:t>maternity pay is welcome</w:t>
      </w:r>
      <w:r>
        <w:t>. T</w:t>
      </w:r>
      <w:r>
        <w:t xml:space="preserve">he generosity of the maternity </w:t>
      </w:r>
      <w:r>
        <w:t xml:space="preserve">pay </w:t>
      </w:r>
      <w:r>
        <w:t xml:space="preserve">offer for teachers is </w:t>
      </w:r>
      <w:r>
        <w:t>lower than</w:t>
      </w:r>
      <w:r>
        <w:t xml:space="preserve"> comparable professions</w:t>
      </w:r>
      <w:r>
        <w:t xml:space="preserve">, which may be </w:t>
      </w:r>
      <w:r>
        <w:t>contributing to retention issues in a majority-female profession.</w:t>
      </w:r>
      <w:r>
        <w:t xml:space="preserve"> However, the </w:t>
      </w:r>
      <w:r>
        <w:t xml:space="preserve">increase </w:t>
      </w:r>
      <w:r>
        <w:t xml:space="preserve">from </w:t>
      </w:r>
      <w:r>
        <w:t>four</w:t>
      </w:r>
      <w:r>
        <w:t xml:space="preserve"> to </w:t>
      </w:r>
      <w:r>
        <w:t>eight</w:t>
      </w:r>
      <w:r>
        <w:t xml:space="preserve"> weeks </w:t>
      </w:r>
      <w:r>
        <w:t>is modest</w:t>
      </w:r>
      <w:r>
        <w:t xml:space="preserve"> and therefore unlikely </w:t>
      </w:r>
      <w:r>
        <w:t xml:space="preserve">to lead </w:t>
      </w:r>
      <w:r>
        <w:t xml:space="preserve">in isolation </w:t>
      </w:r>
      <w:r>
        <w:t xml:space="preserve">to a </w:t>
      </w:r>
      <w:r>
        <w:t>big</w:t>
      </w:r>
      <w:r>
        <w:t xml:space="preserve"> increase in retention</w:t>
      </w:r>
      <w:r>
        <w:t xml:space="preserve">. </w:t>
      </w:r>
      <w:r>
        <w:fldChar w:fldCharType="begin"/>
      </w:r>
      <w:r>
        <w:instrText xml:space="preserve"> HYPERLINK "https://www.newbritain.org.uk/missing-mothers" </w:instrText>
      </w:r>
      <w:r>
        <w:fldChar w:fldCharType="separate"/>
      </w:r>
      <w:r w:rsidRPr="00701030">
        <w:rPr>
          <w:rStyle w:val="Hyperlink"/>
          <w:rFonts w:cstheme="minorBidi"/>
          <w:szCs w:val="22"/>
        </w:rPr>
        <w:t>W</w:t>
      </w:r>
      <w:r w:rsidRPr="00701030">
        <w:rPr>
          <w:rStyle w:val="Hyperlink"/>
          <w:rFonts w:cstheme="minorBidi"/>
          <w:szCs w:val="22"/>
        </w:rPr>
        <w:t>orkload, lack of flexibility and inadequate support for returning mothers are primary drivers</w:t>
      </w:r>
      <w:r w:rsidRPr="00701030">
        <w:rPr>
          <w:rStyle w:val="Hyperlink"/>
          <w:rFonts w:cstheme="minorBidi"/>
          <w:szCs w:val="22"/>
        </w:rPr>
        <w:t xml:space="preserve"> of retention</w:t>
      </w:r>
      <w:r>
        <w:fldChar w:fldCharType="end"/>
      </w:r>
      <w:r>
        <w:t xml:space="preserve">, so </w:t>
      </w:r>
      <w:r>
        <w:t>action here</w:t>
      </w:r>
      <w:r>
        <w:t xml:space="preserve"> </w:t>
      </w:r>
      <w:r>
        <w:t xml:space="preserve">is </w:t>
      </w:r>
      <w:r>
        <w:t xml:space="preserve">also </w:t>
      </w:r>
      <w:r>
        <w:t>needed.</w:t>
      </w:r>
    </w:p>
    <w:p w:rsidR="00E67019" w:rsidP="00A61D3D">
      <w:pPr>
        <w:pStyle w:val="ListParagraph"/>
        <w:numPr>
          <w:ilvl w:val="0"/>
          <w:numId w:val="14"/>
        </w:numPr>
        <w:ind w:left="714" w:hanging="357"/>
        <w:contextualSpacing w:val="0"/>
      </w:pPr>
      <w:r>
        <w:t>T</w:t>
      </w:r>
      <w:r>
        <w:t xml:space="preserve">he School Support Staff Negotiating Body </w:t>
      </w:r>
      <w:r>
        <w:t xml:space="preserve">(SSSNB) </w:t>
      </w:r>
      <w:r>
        <w:t xml:space="preserve">is </w:t>
      </w:r>
      <w:r>
        <w:t xml:space="preserve">a welcome development as it provides an opportunity to </w:t>
      </w:r>
      <w:r>
        <w:t xml:space="preserve">focus on the </w:t>
      </w:r>
      <w:r>
        <w:t xml:space="preserve">specific needs of </w:t>
      </w:r>
      <w:r>
        <w:t>school</w:t>
      </w:r>
      <w:r>
        <w:t xml:space="preserve"> support staff.</w:t>
      </w:r>
      <w:r w:rsidRPr="00993C48">
        <w:t xml:space="preserve"> </w:t>
      </w:r>
      <w:r>
        <w:t>Compared to teachers, r</w:t>
      </w:r>
      <w:r>
        <w:t xml:space="preserve">esearch and </w:t>
      </w:r>
      <w:r w:rsidRPr="00683C35">
        <w:t xml:space="preserve">policymaking rarely focus on support staff, </w:t>
      </w:r>
      <w:r>
        <w:t>yet</w:t>
      </w:r>
      <w:r w:rsidRPr="00683C35">
        <w:t xml:space="preserve"> </w:t>
      </w:r>
      <w:r>
        <w:t xml:space="preserve">they </w:t>
      </w:r>
      <w:r w:rsidRPr="00993C48">
        <w:t>play an important role in enabling schools to provide a high-quality education</w:t>
      </w:r>
      <w:r>
        <w:t xml:space="preserve">. </w:t>
      </w:r>
    </w:p>
    <w:p w:rsidR="00E67019" w:rsidP="00A61D3D">
      <w:pPr>
        <w:pStyle w:val="ListParagraph"/>
        <w:numPr>
          <w:ilvl w:val="0"/>
          <w:numId w:val="14"/>
        </w:numPr>
        <w:ind w:left="714" w:hanging="357"/>
        <w:contextualSpacing w:val="0"/>
      </w:pPr>
      <w:r>
        <w:t>Our</w:t>
      </w:r>
      <w:r>
        <w:t xml:space="preserve"> </w:t>
      </w:r>
      <w:r>
        <w:fldChar w:fldCharType="begin"/>
      </w:r>
      <w:r>
        <w:instrText xml:space="preserve"> HYPERLINK "https://www.nfer.ac.uk/publications/the-school-support-staff-workforce-in-england-annual-report-2026/" </w:instrText>
      </w:r>
      <w:r>
        <w:fldChar w:fldCharType="separate"/>
      </w:r>
      <w:r w:rsidRPr="00B1188B">
        <w:rPr>
          <w:rStyle w:val="Hyperlink"/>
          <w:rFonts w:cstheme="minorBidi"/>
          <w:szCs w:val="22"/>
        </w:rPr>
        <w:t>2026</w:t>
      </w:r>
      <w:r w:rsidRPr="00B1188B">
        <w:rPr>
          <w:rStyle w:val="Hyperlink"/>
          <w:rFonts w:cstheme="minorBidi"/>
          <w:szCs w:val="22"/>
        </w:rPr>
        <w:t xml:space="preserve"> research</w:t>
      </w:r>
      <w:r>
        <w:fldChar w:fldCharType="end"/>
      </w:r>
      <w:r>
        <w:t xml:space="preserve"> </w:t>
      </w:r>
      <w:r>
        <w:t>identified significant workforce challenges that the SSSNB</w:t>
      </w:r>
      <w:r>
        <w:t xml:space="preserve"> will need to grapple with</w:t>
      </w:r>
      <w:r>
        <w:t>:</w:t>
      </w:r>
    </w:p>
    <w:p w:rsidR="00E67019" w:rsidP="00A61D3D">
      <w:pPr>
        <w:pStyle w:val="ListParagraph"/>
        <w:numPr>
          <w:ilvl w:val="0"/>
          <w:numId w:val="25"/>
        </w:numPr>
      </w:pPr>
      <w:r>
        <w:t>T</w:t>
      </w:r>
      <w:r w:rsidRPr="00685964">
        <w:t xml:space="preserve">hree </w:t>
      </w:r>
      <w:r>
        <w:t>quarters of</w:t>
      </w:r>
      <w:r w:rsidRPr="00685964">
        <w:t xml:space="preserve"> school leaders surveyed said they found it difficult to recruit </w:t>
      </w:r>
      <w:r>
        <w:t xml:space="preserve">teaching assistants </w:t>
      </w:r>
      <w:r w:rsidRPr="00685964">
        <w:t>in 2025</w:t>
      </w:r>
      <w:r>
        <w:t xml:space="preserve"> (more so than teachers).</w:t>
      </w:r>
    </w:p>
    <w:p w:rsidR="00E67019" w:rsidP="00A61D3D">
      <w:pPr>
        <w:pStyle w:val="ListParagraph"/>
        <w:numPr>
          <w:ilvl w:val="0"/>
          <w:numId w:val="25"/>
        </w:numPr>
      </w:pPr>
      <w:r>
        <w:t xml:space="preserve">Experimental data suggests support staff exit rates are </w:t>
      </w:r>
      <w:r>
        <w:t>increasing</w:t>
      </w:r>
      <w:r>
        <w:t>.</w:t>
      </w:r>
    </w:p>
    <w:p w:rsidR="00E67019" w:rsidP="00A61D3D">
      <w:pPr>
        <w:pStyle w:val="ListParagraph"/>
        <w:numPr>
          <w:ilvl w:val="0"/>
          <w:numId w:val="25"/>
        </w:numPr>
      </w:pPr>
      <w:r>
        <w:t xml:space="preserve">Support staff are less likely to agree that their employer offers good opportunities for career progression compared to </w:t>
      </w:r>
      <w:r>
        <w:t xml:space="preserve">similar </w:t>
      </w:r>
      <w:r>
        <w:t>workers.</w:t>
      </w:r>
    </w:p>
    <w:p w:rsidR="00E67019" w:rsidP="00A61D3D">
      <w:pPr>
        <w:pStyle w:val="ListParagraph"/>
        <w:numPr>
          <w:ilvl w:val="0"/>
          <w:numId w:val="25"/>
        </w:numPr>
        <w:ind w:left="1077" w:hanging="357"/>
        <w:contextualSpacing w:val="0"/>
      </w:pPr>
      <w:r>
        <w:t xml:space="preserve">Support staff are generally </w:t>
      </w:r>
      <w:r>
        <w:t>paid less than</w:t>
      </w:r>
      <w:r>
        <w:t xml:space="preserve"> similar workers, </w:t>
      </w:r>
      <w:r>
        <w:t>although</w:t>
      </w:r>
      <w:r>
        <w:t xml:space="preserve"> their</w:t>
      </w:r>
      <w:r>
        <w:t xml:space="preserve"> pay has</w:t>
      </w:r>
      <w:r>
        <w:t xml:space="preserve"> grown significantly in recent years.</w:t>
      </w:r>
    </w:p>
    <w:p w:rsidR="00E67019" w:rsidRPr="00701030" w:rsidP="00A61D3D">
      <w:pPr>
        <w:pStyle w:val="ListParagraph"/>
        <w:numPr>
          <w:ilvl w:val="0"/>
          <w:numId w:val="14"/>
        </w:numPr>
        <w:rPr>
          <w:rFonts w:ascii="Arial" w:eastAsia="Arial" w:hAnsi="Arial"/>
        </w:rPr>
      </w:pPr>
      <w:r>
        <w:rPr>
          <w:rFonts w:ascii="Arial" w:eastAsia="Arial" w:hAnsi="Arial"/>
        </w:rPr>
        <w:t xml:space="preserve">The </w:t>
      </w:r>
      <w:r w:rsidRPr="00701030">
        <w:rPr>
          <w:rFonts w:ascii="Arial" w:eastAsia="Arial" w:hAnsi="Arial"/>
        </w:rPr>
        <w:t xml:space="preserve">SSSNB should consider whether low pay levels are driving </w:t>
      </w:r>
      <w:r>
        <w:rPr>
          <w:rFonts w:ascii="Arial" w:eastAsia="Arial" w:hAnsi="Arial"/>
        </w:rPr>
        <w:t>supply</w:t>
      </w:r>
      <w:r w:rsidRPr="00701030">
        <w:rPr>
          <w:rFonts w:ascii="Arial" w:eastAsia="Arial" w:hAnsi="Arial"/>
        </w:rPr>
        <w:t xml:space="preserve"> challenges </w:t>
      </w:r>
      <w:r w:rsidRPr="00701030">
        <w:rPr>
          <w:rFonts w:ascii="Arial" w:eastAsia="Arial" w:hAnsi="Arial"/>
        </w:rPr>
        <w:t>and</w:t>
      </w:r>
      <w:r w:rsidRPr="00701030">
        <w:rPr>
          <w:rFonts w:ascii="Arial" w:eastAsia="Arial" w:hAnsi="Arial"/>
        </w:rPr>
        <w:t xml:space="preserve"> consider what further action needs to be taken to make pay more attractive.</w:t>
      </w:r>
      <w:r w:rsidRPr="00701030">
        <w:rPr>
          <w:rFonts w:ascii="Arial" w:eastAsia="Arial" w:hAnsi="Arial"/>
        </w:rPr>
        <w:t xml:space="preserve"> </w:t>
      </w:r>
      <w:r>
        <w:rPr>
          <w:rFonts w:ascii="Arial" w:eastAsia="Arial" w:hAnsi="Arial"/>
        </w:rPr>
        <w:t>It</w:t>
      </w:r>
      <w:r w:rsidRPr="00701030">
        <w:rPr>
          <w:rFonts w:ascii="Arial" w:eastAsia="Arial" w:hAnsi="Arial"/>
        </w:rPr>
        <w:t xml:space="preserve"> should </w:t>
      </w:r>
      <w:r w:rsidRPr="00701030">
        <w:rPr>
          <w:rFonts w:ascii="Arial" w:eastAsia="Arial" w:hAnsi="Arial"/>
        </w:rPr>
        <w:t xml:space="preserve">also </w:t>
      </w:r>
      <w:r w:rsidRPr="00701030">
        <w:rPr>
          <w:rFonts w:ascii="Arial" w:eastAsia="Arial" w:hAnsi="Arial"/>
        </w:rPr>
        <w:t xml:space="preserve">explore </w:t>
      </w:r>
      <w:r>
        <w:rPr>
          <w:rFonts w:ascii="Arial" w:eastAsia="Arial" w:hAnsi="Arial"/>
        </w:rPr>
        <w:t>how</w:t>
      </w:r>
      <w:r w:rsidRPr="00701030">
        <w:rPr>
          <w:rFonts w:ascii="Arial" w:eastAsia="Arial" w:hAnsi="Arial"/>
        </w:rPr>
        <w:t xml:space="preserve"> to improve career progression opportunities for support staff.</w:t>
      </w:r>
    </w:p>
    <w:p w:rsidR="00E67019" w:rsidRPr="000E2772" w:rsidP="002F34A8">
      <w:pPr>
        <w:rPr>
          <w:b/>
        </w:rPr>
      </w:pPr>
      <w:r w:rsidRPr="000E2772">
        <w:rPr>
          <w:b/>
          <w:bCs/>
        </w:rPr>
        <w:t>Workload, wellbeing, and job satisfaction</w:t>
      </w:r>
    </w:p>
    <w:p w:rsidR="00E67019" w:rsidP="00A61D3D">
      <w:pPr>
        <w:pStyle w:val="ListParagraph"/>
        <w:numPr>
          <w:ilvl w:val="0"/>
          <w:numId w:val="14"/>
        </w:numPr>
        <w:ind w:left="714" w:hanging="357"/>
        <w:contextualSpacing w:val="0"/>
      </w:pPr>
      <w:r>
        <w:fldChar w:fldCharType="begin"/>
      </w:r>
      <w:r>
        <w:instrText xml:space="preserve"> HYPERLINK "https://www.nfer.ac.uk/publications/what-helps-to-improve-teacher-retention/" </w:instrText>
      </w:r>
      <w:r>
        <w:fldChar w:fldCharType="separate"/>
      </w:r>
      <w:r w:rsidRPr="00701030">
        <w:rPr>
          <w:rStyle w:val="Hyperlink"/>
          <w:rFonts w:cstheme="minorBidi"/>
          <w:szCs w:val="22"/>
        </w:rPr>
        <w:t>NFER research</w:t>
      </w:r>
      <w:r>
        <w:fldChar w:fldCharType="end"/>
      </w:r>
      <w:r>
        <w:t xml:space="preserve"> identified job satisfaction as a key factor influencing teacher retention</w:t>
      </w:r>
      <w:r>
        <w:t xml:space="preserve">. </w:t>
      </w:r>
      <w:r>
        <w:t xml:space="preserve">Data from the Working Lives of Teachers and Leaders survey indicates that job satisfaction fell from </w:t>
      </w:r>
      <w:r>
        <w:t xml:space="preserve">58 per cent </w:t>
      </w:r>
      <w:r>
        <w:t xml:space="preserve">in </w:t>
      </w:r>
      <w:r>
        <w:t xml:space="preserve">2022 </w:t>
      </w:r>
      <w:r>
        <w:t xml:space="preserve">to 46 per cent in </w:t>
      </w:r>
      <w:r>
        <w:t>2023, but has</w:t>
      </w:r>
      <w:r>
        <w:t xml:space="preserve"> recovered to 54 per cent in 2025. </w:t>
      </w:r>
      <w:r>
        <w:t>Personal wellbeing</w:t>
      </w:r>
      <w:r>
        <w:t xml:space="preserve"> was </w:t>
      </w:r>
      <w:r>
        <w:t xml:space="preserve">also </w:t>
      </w:r>
      <w:r>
        <w:t>linked to retention, although less so than job satisfaction.</w:t>
      </w:r>
      <w:r>
        <w:t xml:space="preserve"> </w:t>
      </w:r>
      <w:r>
        <w:t xml:space="preserve">Teachers’ reported wellbeing has generally increased </w:t>
      </w:r>
      <w:r>
        <w:t>in recent years</w:t>
      </w:r>
      <w:r>
        <w:t xml:space="preserve">. </w:t>
      </w:r>
    </w:p>
    <w:p w:rsidR="00E67019" w:rsidP="00A61D3D">
      <w:pPr>
        <w:pStyle w:val="ListParagraph"/>
        <w:numPr>
          <w:ilvl w:val="0"/>
          <w:numId w:val="14"/>
        </w:numPr>
        <w:ind w:left="714" w:hanging="357"/>
        <w:contextualSpacing w:val="0"/>
      </w:pPr>
      <w:r>
        <w:t>W</w:t>
      </w:r>
      <w:r>
        <w:t xml:space="preserve">orkload </w:t>
      </w:r>
      <w:r>
        <w:t xml:space="preserve">perceptions are associated with job satisfaction and retention. </w:t>
      </w:r>
      <w:r>
        <w:t>T</w:t>
      </w:r>
      <w:r w:rsidRPr="00D60EFB">
        <w:t>he proportion of teachers and leaders who agreed that their workload was acceptable</w:t>
      </w:r>
      <w:r>
        <w:t xml:space="preserve"> has </w:t>
      </w:r>
      <w:r>
        <w:t>risen</w:t>
      </w:r>
      <w:r>
        <w:t xml:space="preserve"> from </w:t>
      </w:r>
      <w:r>
        <w:t>17</w:t>
      </w:r>
      <w:r>
        <w:t xml:space="preserve"> per cent in 2022 to </w:t>
      </w:r>
      <w:r>
        <w:t xml:space="preserve">26 per cent in 2025. </w:t>
      </w:r>
      <w:r>
        <w:t xml:space="preserve">The proportion who </w:t>
      </w:r>
      <w:r w:rsidRPr="00117184">
        <w:t xml:space="preserve">agreed they had sufficient control over their workload </w:t>
      </w:r>
      <w:r>
        <w:t>also increased</w:t>
      </w:r>
      <w:r>
        <w:t>.</w:t>
      </w:r>
      <w:r>
        <w:t xml:space="preserve"> </w:t>
      </w:r>
      <w:r>
        <w:t xml:space="preserve">The Government should </w:t>
      </w:r>
      <w:r>
        <w:t>remain</w:t>
      </w:r>
      <w:r>
        <w:t xml:space="preserve"> focussed on </w:t>
      </w:r>
      <w:r>
        <w:t xml:space="preserve">furthering </w:t>
      </w:r>
      <w:r>
        <w:t>these positive trends</w:t>
      </w:r>
      <w:r>
        <w:t xml:space="preserve">. </w:t>
      </w:r>
    </w:p>
    <w:p w:rsidR="00E67019" w:rsidP="00235F6B"/>
    <w:p w:rsidR="00E67019" w:rsidRPr="00B81D33" w:rsidP="7AFBF8B9">
      <w:pPr>
        <w:rPr>
          <w:rFonts w:ascii="Arial" w:eastAsia="Arial" w:hAnsi="Arial"/>
          <w:i/>
          <w:iCs/>
        </w:rPr>
      </w:pPr>
      <w:r w:rsidRPr="00B81D33">
        <w:rPr>
          <w:rFonts w:ascii="Arial" w:eastAsia="Arial" w:hAnsi="Arial"/>
          <w:i/>
          <w:iCs/>
        </w:rPr>
        <w:t>September 2026</w:t>
      </w:r>
    </w:p>
    <w:sectPr w:rsidSect="00FB13EA">
      <w:footerReference w:type="default" r:id="rId9"/>
      <w:footerReference w:type="first" r:id="rId10"/>
      <w:pgSz w:w="11907" w:h="16840" w:code="9"/>
      <w:pgMar w:top="1418" w:right="1418" w:bottom="1418" w:left="1418" w:header="62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7019" w:rsidRPr="005B31C6" w:rsidP="008639C8">
    <w:pPr>
      <w:rPr>
        <w:rFonts w:ascii="Arial Black" w:hAnsi="Arial Black" w:cs="Arial"/>
        <w:b/>
        <w:bCs/>
        <w:iCs/>
        <w:color w:val="95569E"/>
        <w:sz w:val="28"/>
        <w:szCs w:val="28"/>
      </w:rPr>
    </w:pPr>
    <w:r>
      <w:rPr>
        <w:rStyle w:val="Heading2Char"/>
        <w:rFonts w:eastAsiaTheme="minorEastAsia"/>
        <w:color w:val="95569E"/>
      </w:rPr>
      <w:t>Restricted</w:t>
    </w:r>
    <w:r>
      <w:rPr>
        <w:rStyle w:val="Heading2Char"/>
        <w:rFonts w:eastAsiaTheme="minorEastAsia"/>
        <w:color w:val="95569E"/>
      </w:rPr>
      <w:tab/>
    </w:r>
    <w:r>
      <w:rPr>
        <w:rStyle w:val="Heading2Char"/>
        <w:rFonts w:eastAsiaTheme="minorEastAsia"/>
        <w:color w:val="95569E"/>
      </w:rPr>
      <w:tab/>
    </w:r>
    <w:r>
      <w:rPr>
        <w:rStyle w:val="Heading2Char"/>
        <w:rFonts w:eastAsiaTheme="minorEastAsia"/>
        <w:color w:val="95569E"/>
      </w:rPr>
      <w:tab/>
    </w:r>
    <w:r>
      <w:rPr>
        <w:rStyle w:val="Heading2Char"/>
        <w:rFonts w:eastAsiaTheme="minorEastAsia"/>
        <w:color w:val="95569E"/>
      </w:rPr>
      <w:tab/>
    </w:r>
    <w:r>
      <w:rPr>
        <w:rStyle w:val="Heading2Char"/>
        <w:rFonts w:eastAsiaTheme="minorEastAsia"/>
        <w:color w:val="95569E"/>
      </w:rPr>
      <w:tab/>
    </w:r>
    <w:r>
      <w:rPr>
        <w:rStyle w:val="Heading2Char"/>
        <w:rFonts w:eastAsiaTheme="minorEastAsia"/>
        <w:color w:val="95569E"/>
      </w:rPr>
      <w:tab/>
    </w:r>
    <w:r>
      <w:rPr>
        <w:rStyle w:val="Heading2Char"/>
        <w:rFonts w:eastAsiaTheme="minorEastAsia"/>
        <w:color w:val="95569E"/>
      </w:rPr>
      <w:tab/>
    </w:r>
    <w:r>
      <w:rPr>
        <w:rStyle w:val="Heading2Char"/>
        <w:rFonts w:eastAsiaTheme="minorEastAsia"/>
        <w:color w:val="95569E"/>
      </w:rPr>
      <w:tab/>
    </w:r>
    <w:r>
      <w:rPr>
        <w:rStyle w:val="Heading2Char"/>
        <w:rFonts w:eastAsiaTheme="minorEastAsia"/>
        <w:color w:val="95569E"/>
      </w:rPr>
      <w:tab/>
    </w:r>
    <w:r>
      <w:rPr>
        <w:rStyle w:val="Heading2Char"/>
        <w:rFonts w:eastAsiaTheme="minorEastAsia"/>
        <w:color w:val="95569E"/>
      </w:rPr>
      <w:tab/>
    </w:r>
    <w:r w:rsidRPr="00696D0B">
      <w:rPr>
        <w:rStyle w:val="Heading2Char"/>
        <w:rFonts w:eastAsiaTheme="minorEastAsia"/>
        <w:color w:val="95569E"/>
        <w:sz w:val="22"/>
      </w:rPr>
      <w:fldChar w:fldCharType="begin"/>
    </w:r>
    <w:r w:rsidRPr="00696D0B">
      <w:rPr>
        <w:rStyle w:val="Heading2Char"/>
        <w:rFonts w:eastAsiaTheme="minorEastAsia"/>
        <w:color w:val="95569E"/>
        <w:sz w:val="22"/>
      </w:rPr>
      <w:instrText xml:space="preserve"> PAGE   \* MERGEFORMAT </w:instrText>
    </w:r>
    <w:r w:rsidRPr="00696D0B">
      <w:rPr>
        <w:rStyle w:val="Heading2Char"/>
        <w:rFonts w:eastAsiaTheme="minorEastAsia"/>
        <w:color w:val="95569E"/>
        <w:sz w:val="22"/>
      </w:rPr>
      <w:fldChar w:fldCharType="separate"/>
    </w:r>
    <w:r>
      <w:rPr>
        <w:rStyle w:val="Heading2Char"/>
        <w:rFonts w:eastAsiaTheme="minorEastAsia"/>
        <w:noProof/>
        <w:color w:val="95569E"/>
        <w:sz w:val="22"/>
      </w:rPr>
      <w:t>1</w:t>
    </w:r>
    <w:r w:rsidRPr="00696D0B">
      <w:rPr>
        <w:rStyle w:val="Heading2Char"/>
        <w:rFonts w:eastAsiaTheme="minorEastAsia"/>
        <w:noProof/>
        <w:color w:val="95569E"/>
        <w:sz w:val="22"/>
      </w:rPr>
      <w:fldChar w:fldCharType="end"/>
    </w:r>
  </w:p>
  <w:p w:rsidR="00E6701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7019" w:rsidRPr="00443AD0" w:rsidP="00443AD0">
    <w:pPr>
      <w:rPr>
        <w:rFonts w:ascii="Arial Black" w:hAnsi="Arial Black" w:cs="Arial"/>
        <w:b/>
        <w:bCs/>
        <w:iCs/>
        <w:color w:val="95569E"/>
        <w:sz w:val="28"/>
        <w:szCs w:val="28"/>
      </w:rPr>
    </w:pPr>
    <w:sdt>
      <w:sdtPr>
        <w:rPr>
          <w:rStyle w:val="Heading2Char"/>
          <w:rFonts w:eastAsiaTheme="minorEastAsia"/>
          <w:color w:val="95569E"/>
        </w:rPr>
        <w:id w:val="5041079"/>
        <w:dropDownList w:lastValue="Restricted">
          <w:listItem w:value="Restricted" w:displayText="Restricted"/>
          <w:listItem w:value="Confidential" w:displayText="Confidential"/>
          <w:listItem w:value="Public" w:displayText="Public"/>
        </w:dropDownList>
      </w:sdtPr>
      <w:sdtEndPr>
        <w:rPr>
          <w:rStyle w:val="Heading2Char"/>
        </w:rPr>
      </w:sdtEndPr>
      <w:sdtContent>
        <w:r>
          <w:rPr>
            <w:rStyle w:val="Heading2Char"/>
            <w:rFonts w:eastAsiaTheme="minorEastAsia"/>
            <w:color w:val="95569E"/>
          </w:rPr>
          <w:t>Restricted</w:t>
        </w:r>
      </w:sdtContent>
    </w:sdt>
    <w:r>
      <w:rPr>
        <w:rStyle w:val="Heading2Char"/>
        <w:rFonts w:eastAsiaTheme="minorEastAsia"/>
        <w:color w:val="95569E"/>
      </w:rPr>
      <w:tab/>
    </w:r>
    <w:r>
      <w:rPr>
        <w:rStyle w:val="Heading2Char"/>
        <w:rFonts w:eastAsiaTheme="minorEastAsia"/>
        <w:color w:val="95569E"/>
      </w:rPr>
      <w:tab/>
    </w:r>
    <w:r>
      <w:rPr>
        <w:rStyle w:val="Heading2Char"/>
        <w:rFonts w:eastAsiaTheme="minorEastAsia"/>
        <w:color w:val="95569E"/>
      </w:rPr>
      <w:tab/>
    </w:r>
    <w:r>
      <w:rPr>
        <w:rStyle w:val="Heading2Char"/>
        <w:rFonts w:eastAsiaTheme="minorEastAsia"/>
        <w:color w:val="95569E"/>
      </w:rPr>
      <w:tab/>
    </w:r>
    <w:r>
      <w:rPr>
        <w:rStyle w:val="Heading2Char"/>
        <w:rFonts w:eastAsiaTheme="minorEastAsia"/>
        <w:color w:val="95569E"/>
      </w:rPr>
      <w:tab/>
    </w:r>
    <w:r>
      <w:rPr>
        <w:rStyle w:val="Heading2Char"/>
        <w:rFonts w:eastAsiaTheme="minorEastAsia"/>
        <w:color w:val="95569E"/>
      </w:rPr>
      <w:tab/>
    </w:r>
    <w:r>
      <w:rPr>
        <w:rStyle w:val="Heading2Char"/>
        <w:rFonts w:eastAsiaTheme="minorEastAsia"/>
        <w:color w:val="95569E"/>
      </w:rPr>
      <w:tab/>
    </w:r>
    <w:r>
      <w:rPr>
        <w:rStyle w:val="Heading2Char"/>
        <w:rFonts w:eastAsiaTheme="minorEastAsia"/>
        <w:color w:val="95569E"/>
      </w:rPr>
      <w:tab/>
    </w:r>
    <w:r>
      <w:rPr>
        <w:rStyle w:val="Heading2Char"/>
        <w:rFonts w:eastAsiaTheme="minorEastAsia"/>
        <w:color w:val="95569E"/>
      </w:rPr>
      <w:tab/>
    </w:r>
    <w:r>
      <w:rPr>
        <w:rStyle w:val="Heading2Char"/>
        <w:rFonts w:eastAsiaTheme="minorEastAsia"/>
        <w:color w:val="95569E"/>
      </w:rPr>
      <w:tab/>
    </w:r>
    <w:r w:rsidRPr="00696D0B">
      <w:rPr>
        <w:rStyle w:val="Heading2Char"/>
        <w:rFonts w:eastAsiaTheme="minorEastAsia"/>
        <w:color w:val="95569E"/>
        <w:sz w:val="22"/>
      </w:rPr>
      <w:fldChar w:fldCharType="begin"/>
    </w:r>
    <w:r w:rsidRPr="00696D0B">
      <w:rPr>
        <w:rStyle w:val="Heading2Char"/>
        <w:rFonts w:eastAsiaTheme="minorEastAsia"/>
        <w:color w:val="95569E"/>
        <w:sz w:val="22"/>
      </w:rPr>
      <w:instrText xml:space="preserve"> PAGE   \* MERGEFORMAT </w:instrText>
    </w:r>
    <w:r w:rsidRPr="00696D0B">
      <w:rPr>
        <w:rStyle w:val="Heading2Char"/>
        <w:rFonts w:eastAsiaTheme="minorEastAsia"/>
        <w:color w:val="95569E"/>
        <w:sz w:val="22"/>
      </w:rPr>
      <w:fldChar w:fldCharType="separate"/>
    </w:r>
    <w:r>
      <w:rPr>
        <w:rStyle w:val="Heading2Char"/>
        <w:rFonts w:eastAsiaTheme="minorEastAsia"/>
        <w:noProof/>
        <w:color w:val="95569E"/>
        <w:sz w:val="22"/>
      </w:rPr>
      <w:t>1</w:t>
    </w:r>
    <w:r w:rsidRPr="00696D0B">
      <w:rPr>
        <w:rStyle w:val="Heading2Char"/>
        <w:rFonts w:eastAsiaTheme="minorEastAsia"/>
        <w:noProof/>
        <w:color w:val="95569E"/>
        <w:sz w:val="22"/>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7B74FA"/>
    <w:multiLevelType w:val="multilevel"/>
    <w:tmpl w:val="CDA49FD0"/>
    <w:lvl w:ilvl="0">
      <w:start w:val="1"/>
      <w:numFmt w:val="bullet"/>
      <w:pStyle w:val="ListBullet"/>
      <w:lvlText w:val=""/>
      <w:lvlJc w:val="left"/>
      <w:pPr>
        <w:ind w:left="227" w:hanging="227"/>
      </w:pPr>
      <w:rPr>
        <w:rFonts w:ascii="Wingdings" w:hAnsi="Wingdings" w:cs="Times New Roman" w:hint="default"/>
        <w:b w:val="0"/>
        <w:i w:val="0"/>
        <w:color w:val="auto"/>
        <w:sz w:val="24"/>
        <w:szCs w:val="24"/>
      </w:rPr>
    </w:lvl>
    <w:lvl w:ilvl="1">
      <w:start w:val="1"/>
      <w:numFmt w:val="bullet"/>
      <w:lvlText w:val="−"/>
      <w:lvlJc w:val="left"/>
      <w:pPr>
        <w:ind w:left="454" w:hanging="227"/>
      </w:pPr>
      <w:rPr>
        <w:rFonts w:ascii="Arial" w:hAnsi="Arial" w:cs="Arial" w:hint="default"/>
        <w:b w:val="0"/>
        <w:i w:val="0"/>
        <w:color w:val="auto"/>
        <w:sz w:val="24"/>
        <w:szCs w:val="24"/>
      </w:rPr>
    </w:lvl>
    <w:lvl w:ilvl="2">
      <w:start w:val="1"/>
      <w:numFmt w:val="bullet"/>
      <w:lvlText w:val="−"/>
      <w:lvlJc w:val="left"/>
      <w:pPr>
        <w:ind w:left="1080" w:hanging="360"/>
      </w:pPr>
      <w:rPr>
        <w:rFonts w:ascii="Arial" w:hAnsi="Arial" w:cs="Times New Roman"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08BF30CC"/>
    <w:multiLevelType w:val="hybridMultilevel"/>
    <w:tmpl w:val="9CC8288E"/>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2">
    <w:nsid w:val="0A2F552A"/>
    <w:multiLevelType w:val="multilevel"/>
    <w:tmpl w:val="ABA8B5B8"/>
    <w:lvl w:ilvl="0">
      <w:start w:val="1"/>
      <w:numFmt w:val="decimal"/>
      <w:pStyle w:val="Heading1"/>
      <w:lvlText w:val="%1"/>
      <w:lvlJc w:val="left"/>
      <w:pPr>
        <w:ind w:left="680" w:hanging="680"/>
      </w:pPr>
      <w:rPr>
        <w:rFonts w:hint="default"/>
        <w:b/>
        <w:bCs/>
        <w:sz w:val="32"/>
        <w:szCs w:val="32"/>
      </w:rPr>
    </w:lvl>
    <w:lvl w:ilvl="1">
      <w:start w:val="1"/>
      <w:numFmt w:val="decimal"/>
      <w:pStyle w:val="Heading2"/>
      <w:lvlText w:val="%1.%2"/>
      <w:lvlJc w:val="left"/>
      <w:pPr>
        <w:ind w:left="680" w:hanging="680"/>
      </w:pPr>
      <w:rPr>
        <w:rFonts w:hint="default"/>
      </w:rPr>
    </w:lvl>
    <w:lvl w:ilvl="2">
      <w:start w:val="1"/>
      <w:numFmt w:val="decimal"/>
      <w:pStyle w:val="Heading3"/>
      <w:lvlText w:val="%1.%2.%3"/>
      <w:lvlJc w:val="left"/>
      <w:pPr>
        <w:ind w:left="851" w:hanging="851"/>
      </w:pPr>
      <w:rPr>
        <w:rFonts w:hint="default"/>
      </w:rPr>
    </w:lvl>
    <w:lvl w:ilvl="3">
      <w:start w:val="1"/>
      <w:numFmt w:val="decimal"/>
      <w:pStyle w:val="Heading5"/>
      <w:lvlText w:val="%1.%2.%3.%4"/>
      <w:lvlJc w:val="left"/>
      <w:pPr>
        <w:ind w:left="864" w:hanging="864"/>
      </w:pPr>
      <w:rPr>
        <w:rFonts w:hint="default"/>
      </w:rPr>
    </w:lvl>
    <w:lvl w:ilvl="4">
      <w:start w:val="1"/>
      <w:numFmt w:val="decimal"/>
      <w:pStyle w:val="Heading6"/>
      <w:lvlText w:val="%1.%2.%3.%4.%5"/>
      <w:lvlJc w:val="left"/>
      <w:pPr>
        <w:ind w:left="1008" w:hanging="1008"/>
      </w:pPr>
      <w:rPr>
        <w:rFonts w:hint="default"/>
      </w:rPr>
    </w:lvl>
    <w:lvl w:ilvl="5">
      <w:start w:val="1"/>
      <w:numFmt w:val="decimal"/>
      <w:pStyle w:val="Heading7"/>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0C9E340E"/>
    <w:multiLevelType w:val="multilevel"/>
    <w:tmpl w:val="45820AD4"/>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C677A1"/>
    <w:multiLevelType w:val="multilevel"/>
    <w:tmpl w:val="45820AD4"/>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013CDD"/>
    <w:multiLevelType w:val="multilevel"/>
    <w:tmpl w:val="EFBA4CD0"/>
    <w:lvl w:ilvl="0">
      <w:start w:val="1"/>
      <w:numFmt w:val="decimal"/>
      <w:pStyle w:val="TableTitle"/>
      <w:lvlText w:val="Table %1.1."/>
      <w:lvlJc w:val="left"/>
      <w:pPr>
        <w:ind w:left="1304" w:hanging="1304"/>
      </w:pPr>
      <w:rPr>
        <w:rFonts w:hint="default"/>
      </w:rPr>
    </w:lvl>
    <w:lvl w:ilvl="1">
      <w:start w:val="1"/>
      <w:numFmt w:val="decimal"/>
      <w:lvlText w:val="Table %1.%2.1."/>
      <w:lvlJc w:val="left"/>
      <w:pPr>
        <w:ind w:left="1304" w:hanging="1304"/>
      </w:pPr>
      <w:rPr>
        <w:rFonts w:hint="default"/>
      </w:rPr>
    </w:lvl>
    <w:lvl w:ilvl="2">
      <w:start w:val="1"/>
      <w:numFmt w:val="decimal"/>
      <w:lvlText w:val="Table %1.%2.%3.1."/>
      <w:lvlJc w:val="left"/>
      <w:pPr>
        <w:ind w:left="1304" w:hanging="1304"/>
      </w:pPr>
      <w:rPr>
        <w:rFonts w:hint="default"/>
      </w:rPr>
    </w:lvl>
    <w:lvl w:ilvl="3">
      <w:start w:val="1"/>
      <w:numFmt w:val="decimal"/>
      <w:lvlText w:val="Table %1.%2.%3.%4.1."/>
      <w:lvlJc w:val="left"/>
      <w:pPr>
        <w:ind w:left="1304" w:hanging="1304"/>
      </w:pPr>
      <w:rPr>
        <w:rFonts w:hint="default"/>
      </w:rPr>
    </w:lvl>
    <w:lvl w:ilvl="4">
      <w:start w:val="1"/>
      <w:numFmt w:val="decimal"/>
      <w:lvlText w:val="Table %1.%2.%3.%4.%5.1."/>
      <w:lvlJc w:val="left"/>
      <w:pPr>
        <w:ind w:left="1304" w:hanging="1304"/>
      </w:pPr>
      <w:rPr>
        <w:rFonts w:hint="default"/>
      </w:rPr>
    </w:lvl>
    <w:lvl w:ilvl="5">
      <w:start w:val="1"/>
      <w:numFmt w:val="decimal"/>
      <w:lvlText w:val="Table %1.%2.%3.%4.%5.%6.1."/>
      <w:lvlJc w:val="left"/>
      <w:pPr>
        <w:ind w:left="2739" w:hanging="939"/>
      </w:pPr>
      <w:rPr>
        <w:rFonts w:hint="default"/>
      </w:rPr>
    </w:lvl>
    <w:lvl w:ilvl="6">
      <w:start w:val="1"/>
      <w:numFmt w:val="decimal"/>
      <w:lvlText w:val="Table %1.%2.%3.%4.%5.%6.%7.1."/>
      <w:lvlJc w:val="left"/>
      <w:pPr>
        <w:ind w:left="3240" w:hanging="1080"/>
      </w:pPr>
      <w:rPr>
        <w:rFonts w:hint="default"/>
      </w:rPr>
    </w:lvl>
    <w:lvl w:ilvl="7">
      <w:start w:val="1"/>
      <w:numFmt w:val="decimal"/>
      <w:lvlText w:val="Table %1.%2.%3.%4.%5.%6.%7.%8.1."/>
      <w:lvlJc w:val="left"/>
      <w:pPr>
        <w:ind w:left="3744" w:hanging="1224"/>
      </w:pPr>
      <w:rPr>
        <w:rFonts w:hint="default"/>
      </w:rPr>
    </w:lvl>
    <w:lvl w:ilvl="8">
      <w:start w:val="1"/>
      <w:numFmt w:val="decimal"/>
      <w:lvlText w:val="Table %1.%2.%3.%4.%5.%6.%7.%8.%9.1."/>
      <w:lvlJc w:val="left"/>
      <w:pPr>
        <w:ind w:left="4320" w:hanging="1440"/>
      </w:pPr>
      <w:rPr>
        <w:rFonts w:hint="default"/>
      </w:rPr>
    </w:lvl>
  </w:abstractNum>
  <w:abstractNum w:abstractNumId="6">
    <w:nsid w:val="11120465"/>
    <w:multiLevelType w:val="multilevel"/>
    <w:tmpl w:val="60BCA6E4"/>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D95838"/>
    <w:multiLevelType w:val="hybridMultilevel"/>
    <w:tmpl w:val="27625D84"/>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8">
    <w:nsid w:val="28AF6DAD"/>
    <w:multiLevelType w:val="hybridMultilevel"/>
    <w:tmpl w:val="B2DC492A"/>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9">
    <w:nsid w:val="2D6702A3"/>
    <w:multiLevelType w:val="multilevel"/>
    <w:tmpl w:val="14E03488"/>
    <w:lvl w:ilvl="0">
      <w:start w:val="1"/>
      <w:numFmt w:val="bullet"/>
      <w:lvlText w:val="o"/>
      <w:lvlJc w:val="left"/>
      <w:pPr>
        <w:tabs>
          <w:tab w:val="num" w:pos="720"/>
        </w:tabs>
        <w:ind w:left="720" w:hanging="360"/>
      </w:pPr>
      <w:rPr>
        <w:rFonts w:ascii="Courier New" w:hAnsi="Courier New" w:cs="Courier New" w:hint="default"/>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F65D27"/>
    <w:multiLevelType w:val="hybridMultilevel"/>
    <w:tmpl w:val="DB443F32"/>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11">
    <w:nsid w:val="2FD069DA"/>
    <w:multiLevelType w:val="hybridMultilevel"/>
    <w:tmpl w:val="3DBE2134"/>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12">
    <w:nsid w:val="314604E9"/>
    <w:multiLevelType w:val="multilevel"/>
    <w:tmpl w:val="45820AD4"/>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495F40"/>
    <w:multiLevelType w:val="hybridMultilevel"/>
    <w:tmpl w:val="EE2A6CFA"/>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14">
    <w:nsid w:val="32F771A5"/>
    <w:multiLevelType w:val="multilevel"/>
    <w:tmpl w:val="45820AD4"/>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117022"/>
    <w:multiLevelType w:val="multilevel"/>
    <w:tmpl w:val="45820AD4"/>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A895498"/>
    <w:multiLevelType w:val="multilevel"/>
    <w:tmpl w:val="F99C92E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nsid w:val="3CFC41F5"/>
    <w:multiLevelType w:val="multilevel"/>
    <w:tmpl w:val="45820AD4"/>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F2C3B95"/>
    <w:multiLevelType w:val="hybridMultilevel"/>
    <w:tmpl w:val="60449564"/>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9">
    <w:nsid w:val="423F1A6E"/>
    <w:multiLevelType w:val="multilevel"/>
    <w:tmpl w:val="0E2E7B48"/>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C5C28FA"/>
    <w:multiLevelType w:val="multilevel"/>
    <w:tmpl w:val="0E2E7B48"/>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E7D57C0"/>
    <w:multiLevelType w:val="multilevel"/>
    <w:tmpl w:val="45820AD4"/>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8B264CF"/>
    <w:multiLevelType w:val="hybridMultilevel"/>
    <w:tmpl w:val="508EC4F6"/>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23">
    <w:nsid w:val="5E3E4B14"/>
    <w:multiLevelType w:val="multilevel"/>
    <w:tmpl w:val="408A7230"/>
    <w:lvl w:ilvl="0">
      <w:start w:val="1"/>
      <w:numFmt w:val="bullet"/>
      <w:lvlText w:val="o"/>
      <w:lvlJc w:val="left"/>
      <w:pPr>
        <w:tabs>
          <w:tab w:val="num" w:pos="720"/>
        </w:tabs>
        <w:ind w:left="720" w:hanging="360"/>
      </w:pPr>
      <w:rPr>
        <w:rFonts w:ascii="Courier New" w:hAnsi="Courier New" w:cs="Courier New" w:hint="default"/>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18006A"/>
    <w:multiLevelType w:val="multilevel"/>
    <w:tmpl w:val="45820AD4"/>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6"/>
  </w:num>
  <w:num w:numId="3">
    <w:abstractNumId w:val="0"/>
  </w:num>
  <w:num w:numId="4">
    <w:abstractNumId w:val="5"/>
  </w:num>
  <w:num w:numId="5">
    <w:abstractNumId w:val="20"/>
  </w:num>
  <w:num w:numId="6">
    <w:abstractNumId w:val="1"/>
  </w:num>
  <w:num w:numId="7">
    <w:abstractNumId w:val="11"/>
  </w:num>
  <w:num w:numId="8">
    <w:abstractNumId w:val="8"/>
  </w:num>
  <w:num w:numId="9">
    <w:abstractNumId w:val="21"/>
  </w:num>
  <w:num w:numId="10">
    <w:abstractNumId w:val="22"/>
  </w:num>
  <w:num w:numId="11">
    <w:abstractNumId w:val="13"/>
  </w:num>
  <w:num w:numId="12">
    <w:abstractNumId w:val="7"/>
  </w:num>
  <w:num w:numId="13">
    <w:abstractNumId w:val="24"/>
  </w:num>
  <w:num w:numId="14">
    <w:abstractNumId w:val="19"/>
  </w:num>
  <w:num w:numId="15">
    <w:abstractNumId w:val="10"/>
  </w:num>
  <w:num w:numId="16">
    <w:abstractNumId w:val="3"/>
  </w:num>
  <w:num w:numId="17">
    <w:abstractNumId w:val="4"/>
  </w:num>
  <w:num w:numId="18">
    <w:abstractNumId w:val="15"/>
  </w:num>
  <w:num w:numId="19">
    <w:abstractNumId w:val="17"/>
  </w:num>
  <w:num w:numId="20">
    <w:abstractNumId w:val="14"/>
  </w:num>
  <w:num w:numId="21">
    <w:abstractNumId w:val="12"/>
  </w:num>
  <w:num w:numId="22">
    <w:abstractNumId w:val="9"/>
  </w:num>
  <w:num w:numId="23">
    <w:abstractNumId w:val="23"/>
  </w:num>
  <w:num w:numId="24">
    <w:abstractNumId w:val="6"/>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aliases w:val="Paragraph"/>
    <w:qFormat/>
    <w:rsid w:val="000E2300"/>
    <w:pPr>
      <w:spacing w:before="120" w:after="120" w:line="300" w:lineRule="atLeast"/>
    </w:pPr>
    <w:rPr>
      <w:lang w:val="en-GB"/>
    </w:rPr>
  </w:style>
  <w:style w:type="paragraph" w:styleId="Heading1">
    <w:name w:val="heading 1"/>
    <w:basedOn w:val="Normal"/>
    <w:next w:val="Normal"/>
    <w:link w:val="Heading1Char"/>
    <w:uiPriority w:val="9"/>
    <w:qFormat/>
    <w:rsid w:val="00AD36B0"/>
    <w:pPr>
      <w:keepNext/>
      <w:keepLines/>
      <w:numPr>
        <w:numId w:val="1"/>
      </w:numPr>
      <w:spacing w:after="240"/>
      <w:outlineLvl w:val="0"/>
    </w:pPr>
    <w:rPr>
      <w:rFonts w:asciiTheme="majorHAnsi" w:eastAsiaTheme="majorEastAsia" w:hAnsiTheme="majorHAnsi" w:cstheme="majorBidi"/>
      <w:b/>
      <w:color w:val="6F4076" w:themeColor="accent1" w:themeShade="BF"/>
      <w:sz w:val="32"/>
      <w:szCs w:val="32"/>
    </w:rPr>
  </w:style>
  <w:style w:type="paragraph" w:styleId="Heading2">
    <w:name w:val="heading 2"/>
    <w:basedOn w:val="Normal"/>
    <w:next w:val="Normal"/>
    <w:link w:val="Heading2Char"/>
    <w:uiPriority w:val="9"/>
    <w:unhideWhenUsed/>
    <w:qFormat/>
    <w:rsid w:val="00AD36B0"/>
    <w:pPr>
      <w:keepNext/>
      <w:keepLines/>
      <w:numPr>
        <w:ilvl w:val="1"/>
        <w:numId w:val="1"/>
      </w:numPr>
      <w:spacing w:line="340" w:lineRule="atLeast"/>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3B5303"/>
    <w:pPr>
      <w:keepNext/>
      <w:keepLines/>
      <w:numPr>
        <w:ilvl w:val="2"/>
        <w:numId w:val="1"/>
      </w:numPr>
      <w:spacing w:line="340" w:lineRule="atLeast"/>
      <w:outlineLvl w:val="2"/>
    </w:pPr>
    <w:rPr>
      <w:rFonts w:asciiTheme="majorHAnsi" w:eastAsiaTheme="majorEastAsia" w:hAnsiTheme="majorHAnsi" w:cstheme="majorBidi"/>
      <w:sz w:val="26"/>
      <w:szCs w:val="24"/>
    </w:rPr>
  </w:style>
  <w:style w:type="paragraph" w:styleId="Heading4">
    <w:name w:val="heading 4"/>
    <w:basedOn w:val="Normal"/>
    <w:next w:val="Normal"/>
    <w:link w:val="Heading4Char"/>
    <w:uiPriority w:val="9"/>
    <w:unhideWhenUsed/>
    <w:pPr>
      <w:keepNext/>
      <w:keepLines/>
      <w:numPr>
        <w:ilvl w:val="3"/>
        <w:numId w:val="2"/>
      </w:numPr>
      <w:spacing w:before="40"/>
      <w:outlineLvl w:val="3"/>
    </w:pPr>
    <w:rPr>
      <w:rFonts w:asciiTheme="majorHAnsi" w:eastAsiaTheme="majorEastAsia" w:hAnsiTheme="majorHAnsi" w:cstheme="majorBidi"/>
      <w:i/>
      <w:iCs/>
      <w:color w:val="6F4076" w:themeColor="accent1" w:themeShade="BF"/>
    </w:rPr>
  </w:style>
  <w:style w:type="paragraph" w:styleId="Heading5">
    <w:name w:val="heading 5"/>
    <w:basedOn w:val="Normal"/>
    <w:next w:val="Normal"/>
    <w:link w:val="Heading5Char"/>
    <w:uiPriority w:val="9"/>
    <w:unhideWhenUsed/>
    <w:pPr>
      <w:keepNext/>
      <w:keepLines/>
      <w:numPr>
        <w:ilvl w:val="3"/>
        <w:numId w:val="1"/>
      </w:numPr>
      <w:spacing w:before="40"/>
      <w:outlineLvl w:val="4"/>
    </w:pPr>
    <w:rPr>
      <w:rFonts w:asciiTheme="majorHAnsi" w:eastAsiaTheme="majorEastAsia" w:hAnsiTheme="majorHAnsi" w:cstheme="majorBidi"/>
      <w:color w:val="6F4076" w:themeColor="accent1" w:themeShade="BF"/>
    </w:rPr>
  </w:style>
  <w:style w:type="paragraph" w:styleId="Heading6">
    <w:name w:val="heading 6"/>
    <w:basedOn w:val="Normal"/>
    <w:next w:val="Normal"/>
    <w:link w:val="Heading6Char"/>
    <w:uiPriority w:val="9"/>
    <w:unhideWhenUsed/>
    <w:pPr>
      <w:keepNext/>
      <w:keepLines/>
      <w:numPr>
        <w:ilvl w:val="4"/>
        <w:numId w:val="1"/>
      </w:numPr>
      <w:spacing w:before="40"/>
      <w:outlineLvl w:val="5"/>
    </w:pPr>
    <w:rPr>
      <w:rFonts w:asciiTheme="majorHAnsi" w:eastAsiaTheme="majorEastAsia" w:hAnsiTheme="majorHAnsi" w:cstheme="majorBidi"/>
      <w:color w:val="4A2A4E" w:themeColor="accent1" w:themeShade="7F"/>
    </w:rPr>
  </w:style>
  <w:style w:type="paragraph" w:styleId="Heading7">
    <w:name w:val="heading 7"/>
    <w:basedOn w:val="Normal"/>
    <w:next w:val="Normal"/>
    <w:link w:val="Heading7Char"/>
    <w:uiPriority w:val="9"/>
    <w:unhideWhenUsed/>
    <w:pPr>
      <w:keepNext/>
      <w:keepLines/>
      <w:numPr>
        <w:ilvl w:val="5"/>
        <w:numId w:val="1"/>
      </w:numPr>
      <w:spacing w:before="40"/>
      <w:outlineLvl w:val="6"/>
    </w:pPr>
    <w:rPr>
      <w:rFonts w:asciiTheme="majorHAnsi" w:eastAsiaTheme="majorEastAsia" w:hAnsiTheme="majorHAnsi" w:cstheme="majorBidi"/>
      <w:i/>
      <w:iCs/>
      <w:color w:val="4A2A4E" w:themeColor="accent1" w:themeShade="7F"/>
    </w:rPr>
  </w:style>
  <w:style w:type="paragraph" w:styleId="Heading8">
    <w:name w:val="heading 8"/>
    <w:basedOn w:val="Normal"/>
    <w:next w:val="Normal"/>
    <w:link w:val="Heading8Char"/>
    <w:uiPriority w:val="9"/>
    <w:unhideWhenUsed/>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6B0"/>
    <w:rPr>
      <w:rFonts w:asciiTheme="majorHAnsi" w:eastAsiaTheme="majorEastAsia" w:hAnsiTheme="majorHAnsi" w:cstheme="majorBidi"/>
      <w:b/>
      <w:color w:val="6F4076" w:themeColor="accent1" w:themeShade="BF"/>
      <w:sz w:val="32"/>
      <w:szCs w:val="32"/>
      <w:lang w:val="en-GB"/>
    </w:rPr>
  </w:style>
  <w:style w:type="character" w:customStyle="1" w:styleId="Heading2Char">
    <w:name w:val="Heading 2 Char"/>
    <w:basedOn w:val="DefaultParagraphFont"/>
    <w:link w:val="Heading2"/>
    <w:uiPriority w:val="9"/>
    <w:rsid w:val="00AD36B0"/>
    <w:rPr>
      <w:rFonts w:asciiTheme="majorHAnsi" w:eastAsiaTheme="majorEastAsia" w:hAnsiTheme="majorHAnsi" w:cstheme="majorBidi"/>
      <w:b/>
      <w:color w:val="000000" w:themeColor="text1"/>
      <w:sz w:val="28"/>
      <w:szCs w:val="26"/>
      <w:lang w:val="en-GB"/>
    </w:rPr>
  </w:style>
  <w:style w:type="character" w:customStyle="1" w:styleId="Heading3Char">
    <w:name w:val="Heading 3 Char"/>
    <w:basedOn w:val="DefaultParagraphFont"/>
    <w:link w:val="Heading3"/>
    <w:uiPriority w:val="9"/>
    <w:rsid w:val="003B5303"/>
    <w:rPr>
      <w:rFonts w:asciiTheme="majorHAnsi" w:eastAsiaTheme="majorEastAsia" w:hAnsiTheme="majorHAnsi" w:cstheme="majorBidi"/>
      <w:sz w:val="26"/>
      <w:szCs w:val="24"/>
      <w:lang w:val="en-GB"/>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6F4076" w:themeColor="accent1" w:themeShade="BF"/>
      <w:lang w:val="en-GB"/>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6F4076" w:themeColor="accent1" w:themeShade="BF"/>
      <w:lang w:val="en-GB"/>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4A2A4E" w:themeColor="accent1" w:themeShade="7F"/>
      <w:lang w:val="en-GB"/>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A2A4E" w:themeColor="accent1" w:themeShade="7F"/>
      <w:lang w:val="en-GB"/>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uiPriority w:val="10"/>
    <w:qFormat/>
    <w:rsid w:val="00A10D95"/>
    <w:pPr>
      <w:spacing w:line="600" w:lineRule="atLeast"/>
      <w:contextualSpacing/>
    </w:pPr>
    <w:rPr>
      <w:rFonts w:asciiTheme="majorHAnsi" w:eastAsiaTheme="majorEastAsia" w:hAnsiTheme="majorHAnsi" w:cstheme="majorBidi"/>
      <w:b/>
      <w:spacing w:val="-10"/>
      <w:kern w:val="28"/>
      <w:sz w:val="50"/>
      <w:szCs w:val="50"/>
    </w:rPr>
  </w:style>
  <w:style w:type="character" w:customStyle="1" w:styleId="TitleChar">
    <w:name w:val="Title Char"/>
    <w:basedOn w:val="DefaultParagraphFont"/>
    <w:link w:val="Title"/>
    <w:uiPriority w:val="10"/>
    <w:rsid w:val="00A10D95"/>
    <w:rPr>
      <w:rFonts w:asciiTheme="majorHAnsi" w:eastAsiaTheme="majorEastAsia" w:hAnsiTheme="majorHAnsi" w:cstheme="majorBidi"/>
      <w:b/>
      <w:spacing w:val="-10"/>
      <w:kern w:val="28"/>
      <w:sz w:val="50"/>
      <w:szCs w:val="50"/>
    </w:rPr>
  </w:style>
  <w:style w:type="paragraph" w:styleId="Subtitle">
    <w:name w:val="Subtitle"/>
    <w:basedOn w:val="Normal"/>
    <w:next w:val="Normal"/>
    <w:link w:val="SubtitleChar"/>
    <w:uiPriority w:val="11"/>
    <w:qFormat/>
    <w:rsid w:val="008B525B"/>
    <w:pPr>
      <w:spacing w:after="0" w:line="408" w:lineRule="atLeast"/>
    </w:pPr>
    <w:rPr>
      <w:b/>
      <w:bCs/>
      <w:color w:val="95569E" w:themeColor="accent1"/>
      <w:sz w:val="34"/>
      <w:szCs w:val="34"/>
    </w:rPr>
  </w:style>
  <w:style w:type="character" w:customStyle="1" w:styleId="SubtitleChar">
    <w:name w:val="Subtitle Char"/>
    <w:basedOn w:val="DefaultParagraphFont"/>
    <w:link w:val="Subtitle"/>
    <w:uiPriority w:val="11"/>
    <w:rsid w:val="008B525B"/>
    <w:rPr>
      <w:b/>
      <w:bCs/>
      <w:color w:val="95569E" w:themeColor="accent1"/>
      <w:sz w:val="34"/>
      <w:szCs w:val="34"/>
      <w:lang w:val="en-GB"/>
    </w:rPr>
  </w:style>
  <w:style w:type="character" w:styleId="SubtleEmphasis">
    <w:name w:val="Subtle Emphasis"/>
    <w:basedOn w:val="DefaultParagraphFont"/>
    <w:uiPriority w:val="19"/>
    <w:rPr>
      <w:i/>
      <w:iCs/>
      <w:color w:val="404040" w:themeColor="text1" w:themeTint="BF"/>
    </w:rPr>
  </w:style>
  <w:style w:type="character" w:styleId="Emphasis">
    <w:name w:val="Emphasis"/>
    <w:basedOn w:val="DefaultParagraphFont"/>
    <w:uiPriority w:val="20"/>
    <w:rPr>
      <w:i/>
      <w:iCs/>
    </w:rPr>
  </w:style>
  <w:style w:type="character" w:styleId="IntenseEmphasis">
    <w:name w:val="Intense Emphasis"/>
    <w:basedOn w:val="DefaultParagraphFont"/>
    <w:uiPriority w:val="21"/>
    <w:rPr>
      <w:i/>
      <w:iCs/>
      <w:color w:val="95569E" w:themeColor="accent1"/>
    </w:rPr>
  </w:style>
  <w:style w:type="character" w:styleId="Strong">
    <w:name w:val="Strong"/>
    <w:basedOn w:val="DefaultParagraphFont"/>
    <w:uiPriority w:val="22"/>
    <w:rPr>
      <w:b/>
      <w:bCs/>
    </w:rPr>
  </w:style>
  <w:style w:type="paragraph" w:styleId="Quote">
    <w:name w:val="Quote"/>
    <w:basedOn w:val="Normal"/>
    <w:next w:val="Normal"/>
    <w:link w:val="QuoteChar"/>
    <w:uiPriority w:val="2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pPr>
      <w:pBdr>
        <w:top w:val="single" w:sz="4" w:space="10" w:color="95569E" w:themeColor="accent1"/>
        <w:bottom w:val="single" w:sz="4" w:space="10" w:color="95569E" w:themeColor="accent1"/>
      </w:pBdr>
      <w:spacing w:before="360" w:after="360"/>
      <w:ind w:left="864" w:right="864"/>
      <w:jc w:val="center"/>
    </w:pPr>
    <w:rPr>
      <w:i/>
      <w:iCs/>
      <w:color w:val="95569E" w:themeColor="accent1"/>
    </w:rPr>
  </w:style>
  <w:style w:type="character" w:customStyle="1" w:styleId="IntenseQuoteChar">
    <w:name w:val="Intense Quote Char"/>
    <w:basedOn w:val="DefaultParagraphFont"/>
    <w:link w:val="IntenseQuote"/>
    <w:uiPriority w:val="30"/>
    <w:rPr>
      <w:i/>
      <w:iCs/>
      <w:color w:val="95569E" w:themeColor="accent1"/>
    </w:rPr>
  </w:style>
  <w:style w:type="character" w:styleId="SubtleReference">
    <w:name w:val="Subtle Reference"/>
    <w:basedOn w:val="DefaultParagraphFont"/>
    <w:uiPriority w:val="31"/>
    <w:rPr>
      <w:smallCaps/>
      <w:color w:val="5A5A5A" w:themeColor="text1" w:themeTint="A5"/>
    </w:rPr>
  </w:style>
  <w:style w:type="character" w:styleId="IntenseReference">
    <w:name w:val="Intense Reference"/>
    <w:basedOn w:val="DefaultParagraphFont"/>
    <w:uiPriority w:val="32"/>
    <w:rPr>
      <w:b/>
      <w:bCs/>
      <w:smallCaps/>
      <w:color w:val="95569E" w:themeColor="accent1"/>
      <w:spacing w:val="5"/>
    </w:rPr>
  </w:style>
  <w:style w:type="character" w:styleId="BookTitle">
    <w:name w:val="Book Title"/>
    <w:basedOn w:val="DefaultParagraphFont"/>
    <w:uiPriority w:val="33"/>
    <w:rPr>
      <w:b/>
      <w:bCs/>
      <w:i/>
      <w:iCs/>
      <w:spacing w:val="5"/>
    </w:rPr>
  </w:style>
  <w:style w:type="paragraph" w:styleId="ListParagraph">
    <w:name w:val="List Paragraph"/>
    <w:basedOn w:val="Normal"/>
    <w:uiPriority w:val="34"/>
    <w:pPr>
      <w:ind w:left="720"/>
      <w:contextualSpacing/>
    </w:pPr>
  </w:style>
  <w:style w:type="character" w:styleId="Hyperlink">
    <w:name w:val="Hyperlink"/>
    <w:basedOn w:val="DefaultParagraphFont"/>
    <w:uiPriority w:val="99"/>
    <w:unhideWhenUsed/>
    <w:rsid w:val="009A3FF8"/>
    <w:rPr>
      <w:rFonts w:asciiTheme="minorHAnsi" w:hAnsiTheme="minorHAnsi" w:cs="Arial"/>
      <w:color w:val="0000FF"/>
      <w:sz w:val="22"/>
      <w:szCs w:val="24"/>
      <w:u w:val="single"/>
    </w:rPr>
  </w:style>
  <w:style w:type="character" w:styleId="FollowedHyperlink">
    <w:name w:val="FollowedHyperlink"/>
    <w:basedOn w:val="DefaultParagraphFont"/>
    <w:uiPriority w:val="99"/>
    <w:unhideWhenUsed/>
    <w:rsid w:val="00E813F2"/>
    <w:rPr>
      <w:rFonts w:asciiTheme="minorHAnsi" w:hAnsiTheme="minorHAnsi"/>
      <w:b w:val="0"/>
      <w:color w:val="95569E" w:themeColor="accent1"/>
      <w:sz w:val="24"/>
      <w:u w:val="none"/>
    </w:rPr>
  </w:style>
  <w:style w:type="paragraph" w:styleId="Caption">
    <w:name w:val="caption"/>
    <w:basedOn w:val="Normal"/>
    <w:next w:val="Normal"/>
    <w:uiPriority w:val="35"/>
    <w:unhideWhenUsed/>
    <w:rsid w:val="002905C0"/>
    <w:pPr>
      <w:spacing w:line="240" w:lineRule="atLeast"/>
    </w:pPr>
    <w:rPr>
      <w:iCs/>
      <w:sz w:val="16"/>
      <w:szCs w:val="18"/>
    </w:rPr>
  </w:style>
  <w:style w:type="paragraph" w:styleId="Header">
    <w:name w:val="header"/>
    <w:basedOn w:val="Normal"/>
    <w:link w:val="HeaderChar"/>
    <w:uiPriority w:val="99"/>
    <w:unhideWhenUsed/>
    <w:rsid w:val="006B3540"/>
    <w:pPr>
      <w:tabs>
        <w:tab w:val="center" w:pos="4513"/>
        <w:tab w:val="right" w:pos="9026"/>
      </w:tabs>
    </w:pPr>
  </w:style>
  <w:style w:type="character" w:customStyle="1" w:styleId="HeaderChar">
    <w:name w:val="Header Char"/>
    <w:basedOn w:val="DefaultParagraphFont"/>
    <w:link w:val="Header"/>
    <w:uiPriority w:val="99"/>
    <w:rsid w:val="006B3540"/>
  </w:style>
  <w:style w:type="paragraph" w:styleId="Footer">
    <w:name w:val="footer"/>
    <w:basedOn w:val="Normal"/>
    <w:link w:val="FooterChar"/>
    <w:uiPriority w:val="99"/>
    <w:unhideWhenUsed/>
    <w:rsid w:val="00D1573D"/>
    <w:pPr>
      <w:spacing w:after="0" w:line="200" w:lineRule="atLeast"/>
    </w:pPr>
    <w:rPr>
      <w:bCs/>
      <w:noProof/>
      <w:color w:val="3C3C3B" w:themeColor="text2"/>
      <w:kern w:val="0"/>
      <w:sz w:val="16"/>
      <w:lang w:eastAsia="en-GB"/>
    </w:rPr>
  </w:style>
  <w:style w:type="character" w:customStyle="1" w:styleId="FooterChar">
    <w:name w:val="Footer Char"/>
    <w:basedOn w:val="DefaultParagraphFont"/>
    <w:link w:val="Footer"/>
    <w:uiPriority w:val="99"/>
    <w:rsid w:val="00D1573D"/>
    <w:rPr>
      <w:bCs/>
      <w:noProof/>
      <w:color w:val="3C3C3B" w:themeColor="text2"/>
      <w:sz w:val="16"/>
      <w:lang w:val="en-GB" w:eastAsia="en-GB"/>
    </w:rPr>
  </w:style>
  <w:style w:type="paragraph" w:customStyle="1" w:styleId="Footer6pt">
    <w:name w:val="Footer 6pt"/>
    <w:basedOn w:val="Footer"/>
    <w:rsid w:val="005D3F4F"/>
    <w:pPr>
      <w:spacing w:before="40" w:after="40" w:line="140" w:lineRule="atLeast"/>
      <w:contextualSpacing/>
    </w:pPr>
    <w:rPr>
      <w:sz w:val="12"/>
    </w:rPr>
  </w:style>
  <w:style w:type="table" w:styleId="TableGrid">
    <w:name w:val="Table Grid"/>
    <w:basedOn w:val="TableNormal"/>
    <w:uiPriority w:val="39"/>
    <w:rsid w:val="005D0E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D0E35"/>
    <w:rPr>
      <w:color w:val="808080"/>
    </w:rPr>
  </w:style>
  <w:style w:type="paragraph" w:styleId="NoSpacing">
    <w:name w:val="No Spacing"/>
    <w:uiPriority w:val="1"/>
    <w:rsid w:val="007B6816"/>
    <w:rPr>
      <w:sz w:val="4"/>
    </w:rPr>
  </w:style>
  <w:style w:type="paragraph" w:customStyle="1" w:styleId="ReportText">
    <w:name w:val="Report Text"/>
    <w:basedOn w:val="Normal"/>
    <w:qFormat/>
    <w:rsid w:val="008B525B"/>
    <w:pPr>
      <w:spacing w:after="0" w:line="504" w:lineRule="atLeast"/>
    </w:pPr>
    <w:rPr>
      <w:b/>
      <w:color w:val="95569E" w:themeColor="accent1"/>
      <w:sz w:val="42"/>
    </w:rPr>
  </w:style>
  <w:style w:type="paragraph" w:customStyle="1" w:styleId="SubtitleBlack">
    <w:name w:val="Subtitle Black"/>
    <w:basedOn w:val="Subtitle"/>
    <w:qFormat/>
    <w:rsid w:val="008B525B"/>
    <w:rPr>
      <w:color w:val="auto"/>
    </w:rPr>
  </w:style>
  <w:style w:type="paragraph" w:customStyle="1" w:styleId="AuthorsName">
    <w:name w:val="Authors Name"/>
    <w:basedOn w:val="SubtitleBlack"/>
    <w:qFormat/>
    <w:rsid w:val="002905C0"/>
    <w:rPr>
      <w:b w:val="0"/>
      <w:bCs w:val="0"/>
    </w:rPr>
  </w:style>
  <w:style w:type="character" w:customStyle="1" w:styleId="UnresolvedMention1">
    <w:name w:val="Unresolved Mention1"/>
    <w:basedOn w:val="DefaultParagraphFont"/>
    <w:uiPriority w:val="99"/>
    <w:semiHidden/>
    <w:unhideWhenUsed/>
    <w:rsid w:val="002905C0"/>
    <w:rPr>
      <w:color w:val="808080"/>
      <w:shd w:val="clear" w:color="auto" w:fill="E6E6E6"/>
    </w:rPr>
  </w:style>
  <w:style w:type="paragraph" w:styleId="ListNumber">
    <w:name w:val="List Number"/>
    <w:basedOn w:val="Heading1"/>
    <w:uiPriority w:val="99"/>
    <w:unhideWhenUsed/>
    <w:rsid w:val="00024F11"/>
    <w:pPr>
      <w:ind w:left="714" w:hanging="700"/>
    </w:pPr>
  </w:style>
  <w:style w:type="paragraph" w:styleId="ListContinue">
    <w:name w:val="List Continue"/>
    <w:basedOn w:val="Normal"/>
    <w:uiPriority w:val="99"/>
    <w:unhideWhenUsed/>
    <w:rsid w:val="00AD36B0"/>
    <w:pPr>
      <w:ind w:left="283"/>
      <w:contextualSpacing/>
    </w:pPr>
  </w:style>
  <w:style w:type="paragraph" w:customStyle="1" w:styleId="TableTitle">
    <w:name w:val="Table Title"/>
    <w:basedOn w:val="Caption"/>
    <w:qFormat/>
    <w:rsid w:val="003B2625"/>
    <w:pPr>
      <w:numPr>
        <w:numId w:val="4"/>
      </w:numPr>
      <w:spacing w:line="280" w:lineRule="atLeast"/>
    </w:pPr>
    <w:rPr>
      <w:b/>
      <w:bCs/>
      <w:sz w:val="24"/>
      <w:szCs w:val="24"/>
    </w:rPr>
  </w:style>
  <w:style w:type="paragraph" w:styleId="ListBullet">
    <w:name w:val="List Bullet"/>
    <w:basedOn w:val="Normal"/>
    <w:uiPriority w:val="99"/>
    <w:unhideWhenUsed/>
    <w:qFormat/>
    <w:rsid w:val="00CD6351"/>
    <w:pPr>
      <w:numPr>
        <w:numId w:val="3"/>
      </w:numPr>
    </w:pPr>
  </w:style>
  <w:style w:type="paragraph" w:customStyle="1" w:styleId="MainHeading">
    <w:name w:val="Main Heading"/>
    <w:basedOn w:val="Normal"/>
    <w:next w:val="Normal"/>
    <w:qFormat/>
    <w:rsid w:val="00A60032"/>
    <w:pPr>
      <w:spacing w:after="480"/>
    </w:pPr>
    <w:rPr>
      <w:b/>
      <w:color w:val="95569E" w:themeColor="accent1"/>
      <w:sz w:val="32"/>
    </w:rPr>
  </w:style>
  <w:style w:type="paragraph" w:customStyle="1" w:styleId="ContentsStyle">
    <w:name w:val="Contents Style"/>
    <w:basedOn w:val="Normal"/>
    <w:qFormat/>
    <w:rsid w:val="00A60032"/>
    <w:pPr>
      <w:spacing w:after="480"/>
    </w:pPr>
    <w:rPr>
      <w:b/>
      <w:color w:val="95569E" w:themeColor="accent1"/>
      <w:sz w:val="32"/>
    </w:rPr>
  </w:style>
  <w:style w:type="paragraph" w:styleId="BodyText">
    <w:name w:val="Body Text"/>
    <w:basedOn w:val="TableTitle"/>
    <w:link w:val="BodyTextChar"/>
    <w:uiPriority w:val="99"/>
    <w:unhideWhenUsed/>
    <w:rsid w:val="00654250"/>
    <w:pPr>
      <w:spacing w:after="0" w:line="240" w:lineRule="auto"/>
      <w:ind w:left="113"/>
    </w:pPr>
    <w:rPr>
      <w:sz w:val="22"/>
      <w:szCs w:val="22"/>
    </w:rPr>
  </w:style>
  <w:style w:type="character" w:customStyle="1" w:styleId="BodyTextChar">
    <w:name w:val="Body Text Char"/>
    <w:basedOn w:val="DefaultParagraphFont"/>
    <w:link w:val="BodyText"/>
    <w:uiPriority w:val="99"/>
    <w:rsid w:val="00654250"/>
    <w:rPr>
      <w:b/>
      <w:bCs/>
      <w:iCs/>
      <w:lang w:val="en-GB"/>
    </w:rPr>
  </w:style>
  <w:style w:type="paragraph" w:styleId="BodyText2">
    <w:name w:val="Body Text 2"/>
    <w:basedOn w:val="BodyText"/>
    <w:link w:val="BodyText2Char"/>
    <w:uiPriority w:val="99"/>
    <w:unhideWhenUsed/>
    <w:rsid w:val="00654250"/>
    <w:pPr>
      <w:spacing w:before="0"/>
    </w:pPr>
    <w:rPr>
      <w:b w:val="0"/>
      <w:bCs w:val="0"/>
    </w:rPr>
  </w:style>
  <w:style w:type="character" w:customStyle="1" w:styleId="BodyText2Char">
    <w:name w:val="Body Text 2 Char"/>
    <w:basedOn w:val="DefaultParagraphFont"/>
    <w:link w:val="BodyText2"/>
    <w:uiPriority w:val="99"/>
    <w:rsid w:val="00654250"/>
    <w:rPr>
      <w:iCs/>
      <w:lang w:val="en-GB"/>
    </w:rPr>
  </w:style>
  <w:style w:type="paragraph" w:customStyle="1" w:styleId="BackCoverTitle">
    <w:name w:val="Back Cover Title"/>
    <w:basedOn w:val="AuthorsName"/>
    <w:qFormat/>
    <w:rsid w:val="006B0EF2"/>
    <w:pPr>
      <w:spacing w:line="560" w:lineRule="exact"/>
    </w:pPr>
    <w:rPr>
      <w:color w:val="95569E" w:themeColor="accent1"/>
      <w:sz w:val="56"/>
      <w:szCs w:val="56"/>
    </w:rPr>
  </w:style>
  <w:style w:type="paragraph" w:customStyle="1" w:styleId="ContactDetails">
    <w:name w:val="Contact Details"/>
    <w:basedOn w:val="Caption"/>
    <w:qFormat/>
    <w:rsid w:val="007046EA"/>
  </w:style>
  <w:style w:type="paragraph" w:styleId="TOC2">
    <w:name w:val="toc 2"/>
    <w:basedOn w:val="TOC1"/>
    <w:next w:val="Normal"/>
    <w:autoRedefine/>
    <w:uiPriority w:val="39"/>
    <w:unhideWhenUsed/>
    <w:rsid w:val="007F0ED4"/>
    <w:pPr>
      <w:tabs>
        <w:tab w:val="left" w:pos="680"/>
        <w:tab w:val="right" w:pos="9631"/>
        <w:tab w:val="clear" w:pos="9639"/>
      </w:tabs>
      <w:spacing w:line="360" w:lineRule="atLeast"/>
    </w:pPr>
    <w:rPr>
      <w:bCs/>
      <w:color w:val="000000" w:themeColor="text1"/>
    </w:rPr>
  </w:style>
  <w:style w:type="paragraph" w:styleId="TOC1">
    <w:name w:val="toc 1"/>
    <w:basedOn w:val="Normal"/>
    <w:next w:val="Normal"/>
    <w:autoRedefine/>
    <w:uiPriority w:val="39"/>
    <w:unhideWhenUsed/>
    <w:rsid w:val="007F0ED4"/>
    <w:pPr>
      <w:tabs>
        <w:tab w:val="right" w:pos="9639"/>
      </w:tabs>
    </w:pPr>
    <w:rPr>
      <w:noProof/>
      <w:color w:val="95569E" w:themeColor="accent1"/>
    </w:rPr>
  </w:style>
  <w:style w:type="paragraph" w:styleId="TOC3">
    <w:name w:val="toc 3"/>
    <w:basedOn w:val="TOC4"/>
    <w:next w:val="Normal"/>
    <w:autoRedefine/>
    <w:uiPriority w:val="39"/>
    <w:unhideWhenUsed/>
    <w:rsid w:val="007F0ED4"/>
  </w:style>
  <w:style w:type="paragraph" w:styleId="TOC4">
    <w:name w:val="toc 4"/>
    <w:basedOn w:val="Normal"/>
    <w:next w:val="Normal"/>
    <w:autoRedefine/>
    <w:uiPriority w:val="39"/>
    <w:unhideWhenUsed/>
    <w:rsid w:val="007F0ED4"/>
    <w:pPr>
      <w:tabs>
        <w:tab w:val="left" w:pos="680"/>
        <w:tab w:val="right" w:pos="9631"/>
      </w:tabs>
      <w:spacing w:after="100"/>
    </w:pPr>
    <w:rPr>
      <w:noProof/>
    </w:rPr>
  </w:style>
  <w:style w:type="paragraph" w:styleId="List">
    <w:name w:val="List"/>
    <w:basedOn w:val="Heading1"/>
    <w:uiPriority w:val="99"/>
    <w:unhideWhenUsed/>
    <w:qFormat/>
    <w:rsid w:val="000945F4"/>
  </w:style>
  <w:style w:type="paragraph" w:styleId="TOC5">
    <w:name w:val="toc 5"/>
    <w:basedOn w:val="Normal"/>
    <w:next w:val="Normal"/>
    <w:autoRedefine/>
    <w:uiPriority w:val="39"/>
    <w:unhideWhenUsed/>
    <w:rsid w:val="007F0ED4"/>
    <w:pPr>
      <w:tabs>
        <w:tab w:val="left" w:pos="680"/>
        <w:tab w:val="right" w:pos="9631"/>
      </w:tabs>
      <w:spacing w:after="100"/>
    </w:pPr>
    <w:rPr>
      <w:noProof/>
    </w:rPr>
  </w:style>
  <w:style w:type="paragraph" w:styleId="TOC6">
    <w:name w:val="toc 6"/>
    <w:basedOn w:val="TOC4"/>
    <w:next w:val="Normal"/>
    <w:autoRedefine/>
    <w:uiPriority w:val="39"/>
    <w:unhideWhenUsed/>
    <w:rsid w:val="007F0ED4"/>
  </w:style>
  <w:style w:type="paragraph" w:customStyle="1" w:styleId="TableHeading">
    <w:name w:val="Table Heading"/>
    <w:basedOn w:val="BodyText"/>
    <w:qFormat/>
    <w:rsid w:val="00382524"/>
    <w:pPr>
      <w:numPr>
        <w:numId w:val="0"/>
      </w:numPr>
      <w:ind w:left="113" w:right="113"/>
    </w:pPr>
  </w:style>
  <w:style w:type="paragraph" w:customStyle="1" w:styleId="TableText">
    <w:name w:val="Table Text"/>
    <w:basedOn w:val="BodyText2"/>
    <w:qFormat/>
    <w:rsid w:val="00382524"/>
    <w:pPr>
      <w:numPr>
        <w:numId w:val="0"/>
      </w:numPr>
      <w:ind w:left="113" w:right="113"/>
    </w:pPr>
  </w:style>
  <w:style w:type="paragraph" w:customStyle="1" w:styleId="NoteSourceText">
    <w:name w:val="Note/Source Text"/>
    <w:basedOn w:val="Caption"/>
    <w:qFormat/>
    <w:rsid w:val="004F1620"/>
    <w:pPr>
      <w:spacing w:after="80"/>
    </w:pPr>
    <w:rPr>
      <w:sz w:val="20"/>
      <w:szCs w:val="20"/>
    </w:rPr>
  </w:style>
  <w:style w:type="character" w:styleId="PageNumber">
    <w:name w:val="page number"/>
    <w:basedOn w:val="DefaultParagraphFont"/>
    <w:uiPriority w:val="99"/>
    <w:unhideWhenUsed/>
    <w:rsid w:val="00D1573D"/>
    <w:rPr>
      <w:b/>
      <w:sz w:val="16"/>
    </w:rPr>
  </w:style>
  <w:style w:type="paragraph" w:styleId="MessageHeader">
    <w:name w:val="Message Header"/>
    <w:basedOn w:val="Normal"/>
    <w:link w:val="MessageHeaderChar"/>
    <w:uiPriority w:val="99"/>
    <w:unhideWhenUsed/>
    <w:qFormat/>
    <w:rsid w:val="008B525B"/>
    <w:pPr>
      <w:spacing w:after="0"/>
    </w:pPr>
    <w:rPr>
      <w:b/>
      <w:bCs/>
      <w:color w:val="3C3C3B" w:themeColor="text2"/>
    </w:rPr>
  </w:style>
  <w:style w:type="character" w:customStyle="1" w:styleId="MessageHeaderChar">
    <w:name w:val="Message Header Char"/>
    <w:basedOn w:val="DefaultParagraphFont"/>
    <w:link w:val="MessageHeader"/>
    <w:uiPriority w:val="99"/>
    <w:rsid w:val="008B525B"/>
    <w:rPr>
      <w:b/>
      <w:bCs/>
      <w:color w:val="3C3C3B" w:themeColor="text2"/>
      <w:lang w:val="en-GB"/>
    </w:rPr>
  </w:style>
  <w:style w:type="paragraph" w:styleId="BalloonText">
    <w:name w:val="Balloon Text"/>
    <w:basedOn w:val="Normal"/>
    <w:link w:val="BalloonTextChar"/>
    <w:uiPriority w:val="99"/>
    <w:semiHidden/>
    <w:unhideWhenUsed/>
    <w:rsid w:val="004F53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5352"/>
    <w:rPr>
      <w:rFonts w:ascii="Segoe UI" w:hAnsi="Segoe UI" w:cs="Segoe UI"/>
      <w:sz w:val="18"/>
      <w:szCs w:val="18"/>
      <w:lang w:val="en-GB"/>
    </w:rPr>
  </w:style>
  <w:style w:type="paragraph" w:customStyle="1" w:styleId="NoteHeading1">
    <w:name w:val="Note Heading1"/>
    <w:basedOn w:val="Normal"/>
    <w:next w:val="Normal"/>
    <w:link w:val="NoteHeadingChar"/>
    <w:uiPriority w:val="99"/>
    <w:unhideWhenUsed/>
    <w:rsid w:val="00D1573D"/>
    <w:pPr>
      <w:spacing w:after="0" w:line="240" w:lineRule="auto"/>
    </w:pPr>
  </w:style>
  <w:style w:type="character" w:customStyle="1" w:styleId="NoteHeadingChar">
    <w:name w:val="Note Heading Char"/>
    <w:basedOn w:val="DefaultParagraphFont"/>
    <w:link w:val="NoteHeading1"/>
    <w:uiPriority w:val="99"/>
    <w:rsid w:val="00D1573D"/>
    <w:rPr>
      <w:lang w:val="en-GB"/>
    </w:rPr>
  </w:style>
  <w:style w:type="table" w:customStyle="1" w:styleId="ListTable5Dark-Accent11">
    <w:name w:val="List Table 5 Dark - Accent 11"/>
    <w:basedOn w:val="TableNormal"/>
    <w:uiPriority w:val="50"/>
    <w:rsid w:val="00C96331"/>
    <w:rPr>
      <w:color w:val="FFFFFF" w:themeColor="background1"/>
    </w:rPr>
    <w:tblPr>
      <w:tblStyleRowBandSize w:val="1"/>
      <w:tblStyleColBandSize w:val="1"/>
      <w:tblBorders>
        <w:top w:val="single" w:sz="24" w:space="0" w:color="95569E" w:themeColor="accent1"/>
        <w:left w:val="single" w:sz="24" w:space="0" w:color="95569E" w:themeColor="accent1"/>
        <w:bottom w:val="single" w:sz="24" w:space="0" w:color="95569E" w:themeColor="accent1"/>
        <w:right w:val="single" w:sz="24" w:space="0" w:color="95569E" w:themeColor="accent1"/>
      </w:tblBorders>
    </w:tblPr>
    <w:tcPr>
      <w:shd w:val="clear" w:color="auto" w:fill="95569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UnresolvedMention2">
    <w:name w:val="Unresolved Mention2"/>
    <w:basedOn w:val="DefaultParagraphFont"/>
    <w:uiPriority w:val="99"/>
    <w:semiHidden/>
    <w:unhideWhenUsed/>
    <w:rsid w:val="00F658AA"/>
    <w:rPr>
      <w:color w:val="605E5C"/>
      <w:shd w:val="clear" w:color="auto" w:fill="E1DFDD"/>
    </w:rPr>
  </w:style>
  <w:style w:type="character" w:styleId="CommentReference">
    <w:name w:val="annotation reference"/>
    <w:basedOn w:val="DefaultParagraphFont"/>
    <w:uiPriority w:val="99"/>
    <w:semiHidden/>
    <w:unhideWhenUsed/>
    <w:rsid w:val="00F658AA"/>
    <w:rPr>
      <w:sz w:val="16"/>
      <w:szCs w:val="16"/>
    </w:rPr>
  </w:style>
  <w:style w:type="paragraph" w:styleId="CommentText">
    <w:name w:val="annotation text"/>
    <w:basedOn w:val="Normal"/>
    <w:link w:val="CommentTextChar"/>
    <w:uiPriority w:val="99"/>
    <w:unhideWhenUsed/>
    <w:rsid w:val="00F658AA"/>
    <w:pPr>
      <w:spacing w:line="240" w:lineRule="auto"/>
    </w:pPr>
    <w:rPr>
      <w:sz w:val="20"/>
      <w:szCs w:val="20"/>
    </w:rPr>
  </w:style>
  <w:style w:type="character" w:customStyle="1" w:styleId="CommentTextChar">
    <w:name w:val="Comment Text Char"/>
    <w:basedOn w:val="DefaultParagraphFont"/>
    <w:link w:val="CommentText"/>
    <w:uiPriority w:val="99"/>
    <w:rsid w:val="00F658AA"/>
    <w:rPr>
      <w:sz w:val="20"/>
      <w:szCs w:val="20"/>
      <w:lang w:val="en-GB"/>
    </w:rPr>
  </w:style>
  <w:style w:type="paragraph" w:styleId="CommentSubject">
    <w:name w:val="annotation subject"/>
    <w:basedOn w:val="CommentText"/>
    <w:next w:val="CommentText"/>
    <w:link w:val="CommentSubjectChar"/>
    <w:uiPriority w:val="99"/>
    <w:semiHidden/>
    <w:unhideWhenUsed/>
    <w:rsid w:val="00F658AA"/>
    <w:rPr>
      <w:b/>
      <w:bCs/>
    </w:rPr>
  </w:style>
  <w:style w:type="character" w:customStyle="1" w:styleId="CommentSubjectChar">
    <w:name w:val="Comment Subject Char"/>
    <w:basedOn w:val="CommentTextChar"/>
    <w:link w:val="CommentSubject"/>
    <w:uiPriority w:val="99"/>
    <w:semiHidden/>
    <w:rsid w:val="00F658AA"/>
    <w:rPr>
      <w:b/>
      <w:bCs/>
      <w:sz w:val="20"/>
      <w:szCs w:val="20"/>
      <w:lang w:val="en-GB"/>
    </w:rPr>
  </w:style>
  <w:style w:type="paragraph" w:styleId="Revision">
    <w:name w:val="Revision"/>
    <w:hidden/>
    <w:uiPriority w:val="99"/>
    <w:semiHidden/>
    <w:rsid w:val="00D4002A"/>
    <w:rPr>
      <w:lang w:val="en-GB"/>
    </w:rPr>
  </w:style>
  <w:style w:type="paragraph" w:styleId="FootnoteText">
    <w:name w:val="footnote text"/>
    <w:basedOn w:val="Normal"/>
    <w:link w:val="FootnoteTextChar"/>
    <w:uiPriority w:val="99"/>
    <w:semiHidden/>
    <w:unhideWhenUsed/>
    <w:rsid w:val="00D4002A"/>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D4002A"/>
    <w:rPr>
      <w:sz w:val="20"/>
      <w:szCs w:val="20"/>
      <w:lang w:val="en-GB"/>
    </w:rPr>
  </w:style>
  <w:style w:type="character" w:styleId="FootnoteReference">
    <w:name w:val="footnote reference"/>
    <w:basedOn w:val="DefaultParagraphFont"/>
    <w:uiPriority w:val="99"/>
    <w:semiHidden/>
    <w:unhideWhenUsed/>
    <w:rsid w:val="00D4002A"/>
    <w:rPr>
      <w:vertAlign w:val="superscript"/>
    </w:rPr>
  </w:style>
  <w:style w:type="character" w:customStyle="1" w:styleId="Mention1">
    <w:name w:val="Mention1"/>
    <w:basedOn w:val="DefaultParagraphFont"/>
    <w:uiPriority w:val="99"/>
    <w:unhideWhenUsed/>
    <w:rsid w:val="00D4002A"/>
    <w:rPr>
      <w:color w:val="2B579A"/>
      <w:shd w:val="clear" w:color="auto" w:fill="E1DFDD"/>
    </w:rPr>
  </w:style>
  <w:style w:type="paragraph" w:customStyle="1" w:styleId="paragraph0">
    <w:name w:val="paragraph"/>
    <w:basedOn w:val="Normal"/>
    <w:link w:val="paragraphChar"/>
    <w:qFormat/>
    <w:rsid w:val="00D4002A"/>
    <w:pPr>
      <w:spacing w:line="240" w:lineRule="atLeast"/>
    </w:pPr>
    <w:rPr>
      <w:rFonts w:ascii="Arial" w:eastAsia="Times New Roman" w:hAnsi="Arial" w:cs="Arial"/>
      <w:kern w:val="0"/>
      <w:sz w:val="24"/>
      <w:szCs w:val="24"/>
      <w:lang w:eastAsia="en-GB"/>
    </w:rPr>
  </w:style>
  <w:style w:type="character" w:customStyle="1" w:styleId="paragraphChar">
    <w:name w:val="paragraph Char"/>
    <w:basedOn w:val="DefaultParagraphFont"/>
    <w:link w:val="paragraph0"/>
    <w:locked/>
    <w:rsid w:val="00D4002A"/>
    <w:rPr>
      <w:rFonts w:ascii="Arial" w:eastAsia="Times New Roman" w:hAnsi="Arial" w:cs="Arial"/>
      <w:kern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NFER Theme Colours">
      <a:dk1>
        <a:sysClr val="windowText" lastClr="000000"/>
      </a:dk1>
      <a:lt1>
        <a:sysClr val="window" lastClr="FFFFFF"/>
      </a:lt1>
      <a:dk2>
        <a:srgbClr val="3C3C3B"/>
      </a:dk2>
      <a:lt2>
        <a:srgbClr val="CACBCC"/>
      </a:lt2>
      <a:accent1>
        <a:srgbClr val="95569E"/>
      </a:accent1>
      <a:accent2>
        <a:srgbClr val="3EAD5C"/>
      </a:accent2>
      <a:accent3>
        <a:srgbClr val="00AACA"/>
      </a:accent3>
      <a:accent4>
        <a:srgbClr val="E9425C"/>
      </a:accent4>
      <a:accent5>
        <a:srgbClr val="F3953F"/>
      </a:accent5>
      <a:accent6>
        <a:srgbClr val="C3D32B"/>
      </a:accent6>
      <a:hlink>
        <a:srgbClr val="000000"/>
      </a:hlink>
      <a:folHlink>
        <a:srgbClr val="A7A8AA"/>
      </a:folHlink>
    </a:clrScheme>
    <a:fontScheme name="NFER Theme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chemeClr val="accent1">
            <a:lumMod val="20000"/>
            <a:lumOff val="80000"/>
          </a:schemeClr>
        </a:solidFill>
        <a:ln w="9525">
          <a:noFill/>
          <a:miter lim="800000"/>
          <a:headEnd/>
          <a:tailEnd/>
        </a:ln>
      </a:spPr>
      <a:bodyPr rot="0" vert="horz" wrap="square" lIns="108000" tIns="144000" rIns="72000" bIns="7200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19d8e1f0-6dcc-4c94-8dca-f119f6c6159b" ContentTypeId="0x010100814EDAB2CE680841AA1DDA6DA1800436" PreviousValue="false" LastSyncTimeStamp="2023-07-14T10:45:18.693Z"/>
</file>

<file path=customXml/item5.xml><?xml version="1.0" encoding="utf-8"?>
<ct:contentTypeSchema xmlns:ct="http://schemas.microsoft.com/office/2006/metadata/contentType" xmlns:ma="http://schemas.microsoft.com/office/2006/metadata/properties/metaAttributes" ct:_="" ma:_="" ma:contentTypeName="NFER Word Document" ma:contentTypeID="0x010100814EDAB2CE680841AA1DDA6DA180043600E7309C73BD3BFE4C8F0465C883FAA7AA" ma:contentTypeVersion="2" ma:contentTypeDescription="Uses NFER template for Word document" ma:contentTypeScope="" ma:versionID="3bc7a4f636393cc0a4bc75453f490686">
  <xsd:schema xmlns:xsd="http://www.w3.org/2001/XMLSchema" xmlns:xs="http://www.w3.org/2001/XMLSchema" xmlns:p="http://schemas.microsoft.com/office/2006/metadata/properties" targetNamespace="http://schemas.microsoft.com/office/2006/metadata/properties" ma:root="true" ma:fieldsID="f9bce4d9769d259b9f22a0ab32779d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872DF0-82C4-4398-BE64-A2BB9113D5D0}">
  <ds:schemaRefs>
    <ds:schemaRef ds:uri="http://schemas.microsoft.com/sharepoint/v3/contenttype/forms"/>
  </ds:schemaRefs>
</ds:datastoreItem>
</file>

<file path=customXml/itemProps2.xml><?xml version="1.0" encoding="utf-8"?>
<ds:datastoreItem xmlns:ds="http://schemas.openxmlformats.org/officeDocument/2006/customXml" ds:itemID="{C785763B-8B77-4221-90A8-BA88FF6A1B53}">
  <ds:schemaRefs>
    <ds:schemaRef ds:uri="http://schemas.microsoft.com/office/2006/metadata/properties"/>
  </ds:schemaRefs>
</ds:datastoreItem>
</file>

<file path=customXml/itemProps3.xml><?xml version="1.0" encoding="utf-8"?>
<ds:datastoreItem xmlns:ds="http://schemas.openxmlformats.org/officeDocument/2006/customXml" ds:itemID="{DAC63808-1375-42F2-83AE-ADE3813D6A73}">
  <ds:schemaRefs>
    <ds:schemaRef ds:uri="http://schemas.openxmlformats.org/officeDocument/2006/bibliography"/>
  </ds:schemaRefs>
</ds:datastoreItem>
</file>

<file path=customXml/itemProps4.xml><?xml version="1.0" encoding="utf-8"?>
<ds:datastoreItem xmlns:ds="http://schemas.openxmlformats.org/officeDocument/2006/customXml" ds:itemID="{230FBFD2-FC77-49F1-B866-9E2573E79562}">
  <ds:schemaRefs>
    <ds:schemaRef ds:uri="Microsoft.SharePoint.Taxonomy.ContentTypeSync"/>
  </ds:schemaRefs>
</ds:datastoreItem>
</file>

<file path=customXml/itemProps5.xml><?xml version="1.0" encoding="utf-8"?>
<ds:datastoreItem xmlns:ds="http://schemas.openxmlformats.org/officeDocument/2006/customXml" ds:itemID="{64005F16-E9FF-4359-B709-E58303D576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ECA0058</dc:title>
  <cp:revision>0</cp:revision>
</cp:coreProperties>
</file>