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3158E" w:rsidRPr="00C93F9D">
      <w:pPr>
        <w:spacing w:after="200"/>
        <w:jc w:val="center"/>
        <w:rPr>
          <w:rFonts w:ascii="Calibri" w:hAnsi="Calibri" w:cs="Calibri"/>
          <w:sz w:val="22"/>
          <w:szCs w:val="22"/>
        </w:rPr>
      </w:pPr>
    </w:p>
    <w:p w:rsidR="0093158E" w:rsidRPr="00C93F9D">
      <w:pPr>
        <w:spacing w:after="400"/>
        <w:jc w:val="center"/>
        <w:rPr>
          <w:rFonts w:ascii="Calibri" w:hAnsi="Calibri" w:cs="Calibri"/>
          <w:b/>
          <w:bCs/>
          <w:sz w:val="22"/>
          <w:szCs w:val="22"/>
        </w:rPr>
      </w:pPr>
      <w:r w:rsidRPr="00C93F9D">
        <w:rPr>
          <w:rFonts w:ascii="Calibri" w:hAnsi="Calibri" w:cs="Calibri"/>
          <w:b/>
          <w:bCs/>
          <w:sz w:val="22"/>
          <w:szCs w:val="22"/>
        </w:rPr>
        <w:t xml:space="preserve">Written evidence </w:t>
      </w:r>
      <w:r w:rsidRPr="00C93F9D">
        <w:rPr>
          <w:rFonts w:ascii="Calibri" w:hAnsi="Calibri" w:cs="Calibri"/>
          <w:b/>
          <w:bCs/>
          <w:sz w:val="22"/>
          <w:szCs w:val="22"/>
        </w:rPr>
        <w:t xml:space="preserve">by The Country Trust </w:t>
      </w:r>
      <w:r w:rsidRPr="00C93F9D">
        <w:rPr>
          <w:rFonts w:ascii="Calibri" w:hAnsi="Calibri" w:cs="Calibri"/>
          <w:b/>
          <w:bCs/>
          <w:sz w:val="22"/>
          <w:szCs w:val="22"/>
        </w:rPr>
        <w:t>(</w:t>
      </w:r>
      <w:r w:rsidRPr="00C93F9D">
        <w:rPr>
          <w:rFonts w:ascii="Calibri" w:hAnsi="Calibri" w:cs="Calibri"/>
          <w:b/>
          <w:bCs/>
          <w:sz w:val="22"/>
          <w:szCs w:val="22"/>
        </w:rPr>
        <w:t>ECA0049</w:t>
      </w:r>
      <w:r w:rsidRPr="00C93F9D">
        <w:rPr>
          <w:rFonts w:ascii="Calibri" w:hAnsi="Calibri" w:cs="Calibri"/>
          <w:b/>
          <w:bCs/>
          <w:sz w:val="22"/>
          <w:szCs w:val="22"/>
        </w:rPr>
        <w:t>)</w:t>
      </w:r>
    </w:p>
    <w:p w:rsidR="00C93F9D" w:rsidRPr="00C93F9D" w:rsidP="00C93F9D">
      <w:pPr>
        <w:spacing w:after="400"/>
        <w:rPr>
          <w:rFonts w:ascii="Calibri" w:hAnsi="Calibri" w:cs="Calibri"/>
          <w:b/>
          <w:bCs/>
          <w:sz w:val="22"/>
          <w:szCs w:val="22"/>
        </w:rPr>
      </w:pPr>
      <w:r w:rsidRPr="00C93F9D">
        <w:rPr>
          <w:rFonts w:ascii="Calibri" w:hAnsi="Calibri" w:cs="Calibri"/>
          <w:b/>
          <w:bCs/>
          <w:sz w:val="22"/>
          <w:szCs w:val="22"/>
        </w:rPr>
        <w:t>Education Committee</w:t>
      </w:r>
    </w:p>
    <w:p w:rsidR="00C93F9D" w:rsidRPr="00C93F9D" w:rsidP="00C93F9D">
      <w:pPr>
        <w:spacing w:after="400"/>
        <w:rPr>
          <w:rFonts w:ascii="Calibri" w:hAnsi="Calibri" w:cs="Calibri"/>
          <w:b/>
          <w:bCs/>
          <w:sz w:val="22"/>
          <w:szCs w:val="22"/>
        </w:rPr>
      </w:pPr>
      <w:r w:rsidRPr="00C93F9D">
        <w:rPr>
          <w:rFonts w:ascii="Calibri" w:hAnsi="Calibri" w:cs="Calibri"/>
          <w:b/>
          <w:bCs/>
          <w:sz w:val="22"/>
          <w:szCs w:val="22"/>
        </w:rPr>
        <w:t>Every Child Achieving and Thriving’ White Paper</w:t>
      </w:r>
    </w:p>
    <w:p w:rsidR="0093158E" w:rsidRPr="00C93F9D" w:rsidP="00C93F9D">
      <w:pPr>
        <w:spacing w:after="400"/>
        <w:rPr>
          <w:rFonts w:ascii="Calibri" w:hAnsi="Calibri" w:cs="Calibri"/>
          <w:b/>
          <w:bCs/>
          <w:sz w:val="22"/>
          <w:szCs w:val="22"/>
        </w:rPr>
      </w:pPr>
      <w:r w:rsidRPr="00C93F9D">
        <w:rPr>
          <w:rFonts w:ascii="Calibri" w:hAnsi="Calibri" w:cs="Calibri"/>
          <w:i/>
          <w:iCs/>
          <w:sz w:val="22"/>
          <w:szCs w:val="22"/>
        </w:rPr>
        <w:t>The Country Trust is a national charity connecting children from disadvantaged communities across England with food, farming and the countryside, through farm visits, food education and residential experiences.</w:t>
      </w:r>
    </w:p>
    <w:p w:rsidR="0093158E" w:rsidRPr="00C93F9D">
      <w:pPr>
        <w:pStyle w:val="Heading1"/>
        <w:spacing w:before="300" w:after="200"/>
        <w:rPr>
          <w:rFonts w:ascii="Calibri" w:hAnsi="Calibri" w:cs="Calibri"/>
          <w:sz w:val="22"/>
          <w:szCs w:val="22"/>
        </w:rPr>
      </w:pPr>
      <w:r w:rsidRPr="00C93F9D">
        <w:rPr>
          <w:rFonts w:ascii="Calibri" w:hAnsi="Calibri" w:cs="Calibri"/>
          <w:b/>
          <w:bCs/>
          <w:sz w:val="22"/>
          <w:szCs w:val="22"/>
        </w:rPr>
        <w:t>Summary</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 </w:t>
      </w:r>
      <w:r w:rsidRPr="00C93F9D">
        <w:rPr>
          <w:rFonts w:ascii="Calibri" w:hAnsi="Calibri" w:cs="Calibri"/>
          <w:sz w:val="22"/>
          <w:szCs w:val="22"/>
        </w:rPr>
        <w:t xml:space="preserve">The Country Trust welcomes the opportunity to respond to this call for evidence. We raise a structural concern about how the </w:t>
      </w:r>
      <w:r w:rsidRPr="00C93F9D">
        <w:rPr>
          <w:rFonts w:ascii="Calibri" w:hAnsi="Calibri" w:cs="Calibri"/>
          <w:sz w:val="22"/>
          <w:szCs w:val="22"/>
        </w:rPr>
        <w:t xml:space="preserve">potentially </w:t>
      </w:r>
      <w:r w:rsidRPr="00C93F9D">
        <w:rPr>
          <w:rFonts w:ascii="Calibri" w:hAnsi="Calibri" w:cs="Calibri"/>
          <w:sz w:val="22"/>
          <w:szCs w:val="22"/>
        </w:rPr>
        <w:t>proposed grant-writing support model may disadvantage mission-led providers relative to commercial enrichment providers, and set out a constructive proposal for a national support hub to address non-financial barriers to participation, drawing on our own delivery experience and the independent Indicators of Change evaluation.</w:t>
      </w:r>
    </w:p>
    <w:p w:rsidR="0093158E" w:rsidRPr="00C93F9D">
      <w:pPr>
        <w:pStyle w:val="Heading1"/>
        <w:spacing w:before="300" w:after="200"/>
        <w:rPr>
          <w:rFonts w:ascii="Calibri" w:hAnsi="Calibri" w:cs="Calibri"/>
          <w:sz w:val="22"/>
          <w:szCs w:val="22"/>
        </w:rPr>
      </w:pPr>
      <w:r w:rsidRPr="00C93F9D">
        <w:rPr>
          <w:rFonts w:ascii="Calibri" w:hAnsi="Calibri" w:cs="Calibri"/>
          <w:b/>
          <w:bCs/>
          <w:sz w:val="22"/>
          <w:szCs w:val="22"/>
        </w:rPr>
        <w:t>Section 1: Structural impact on mission-led providers</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2. </w:t>
      </w:r>
      <w:r w:rsidRPr="00C93F9D">
        <w:rPr>
          <w:rFonts w:ascii="Calibri" w:hAnsi="Calibri" w:cs="Calibri"/>
          <w:sz w:val="22"/>
          <w:szCs w:val="22"/>
        </w:rPr>
        <w:t>We wish to register a continuing concern that the proposed model may, unintentionally, disadvantage the organisations best placed to support enrichment-poor schools.</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3. </w:t>
      </w:r>
      <w:r w:rsidRPr="00C93F9D">
        <w:rPr>
          <w:rFonts w:ascii="Calibri" w:hAnsi="Calibri" w:cs="Calibri"/>
          <w:sz w:val="22"/>
          <w:szCs w:val="22"/>
        </w:rPr>
        <w:t xml:space="preserve">By supporting schools to write grant bids and channelling funding through schools, the programme risks placing further strain on an already stretched charitable trusts and grants </w:t>
      </w:r>
      <w:r w:rsidRPr="00C93F9D">
        <w:rPr>
          <w:rFonts w:ascii="Calibri" w:hAnsi="Calibri" w:cs="Calibri"/>
          <w:sz w:val="22"/>
          <w:szCs w:val="22"/>
        </w:rPr>
        <w:t>ecosystem, and</w:t>
      </w:r>
      <w:r w:rsidRPr="00C93F9D">
        <w:rPr>
          <w:rFonts w:ascii="Calibri" w:hAnsi="Calibri" w:cs="Calibri"/>
          <w:sz w:val="22"/>
          <w:szCs w:val="22"/>
        </w:rPr>
        <w:t xml:space="preserve"> directing a significant proportion of available funding toward private enrichment providers with established commercial models but a lesser demonstrated commitment to equitable access. Organisations such as The Country Trust, which have spent decades securing charitable funding to offer free or heavily subsidised experiences to disadvantaged pupils, would need to adapt our funding model to compete for this new funding stream, at cost to our existing free to access offer, while commercial providers with no </w:t>
      </w:r>
      <w:r w:rsidRPr="00C93F9D">
        <w:rPr>
          <w:rFonts w:ascii="Calibri" w:hAnsi="Calibri" w:cs="Calibri"/>
          <w:sz w:val="22"/>
          <w:szCs w:val="22"/>
        </w:rPr>
        <w:t>such constraint stand to benefit disproportionately.</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4. </w:t>
      </w:r>
      <w:r w:rsidRPr="00C93F9D">
        <w:rPr>
          <w:rFonts w:ascii="Calibri" w:hAnsi="Calibri" w:cs="Calibri"/>
          <w:sz w:val="22"/>
          <w:szCs w:val="22"/>
        </w:rPr>
        <w:t>This creates a structural imbalance: the providers with the deepest expertise in working with the most underserved schools are the least likely to be sustainably resourced under this model.</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5. </w:t>
      </w:r>
      <w:r w:rsidRPr="00C93F9D">
        <w:rPr>
          <w:rFonts w:ascii="Calibri" w:hAnsi="Calibri" w:cs="Calibri"/>
          <w:sz w:val="22"/>
          <w:szCs w:val="22"/>
        </w:rPr>
        <w:t>Independent evaluation lends further weight to this point. The Indicators of Change study, conducted by Anna Gawthorpe of the University of East London, examined the sustained impact of our programmes on 122 children via questionnaire, alongside six focus groups with pupils eligible for Free School Meals and six one to one interviews with teachers, across eight schools all located in areas of high deprivation (Index of Multiple Deprivation deciles 1 to 8), at least 18 months after participation. The evaluat</w:t>
      </w:r>
      <w:r w:rsidRPr="00C93F9D">
        <w:rPr>
          <w:rFonts w:ascii="Calibri" w:hAnsi="Calibri" w:cs="Calibri"/>
          <w:sz w:val="22"/>
          <w:szCs w:val="22"/>
        </w:rPr>
        <w:t xml:space="preserve">ion found that schools’ ability to offer these experiences at all was frequently dependent on the Country Trust’s provision of logistical, financial and organisational support, including funding, planning, risk assessment and facilitation, particularly given constrained school budgets and reduced staff capacity. As the evaluation notes, this dependency reflects the reality that disadvantaged children disproportionately lack access to enriching real world </w:t>
      </w:r>
      <w:r w:rsidRPr="00C93F9D">
        <w:rPr>
          <w:rFonts w:ascii="Calibri" w:hAnsi="Calibri" w:cs="Calibri"/>
          <w:sz w:val="22"/>
          <w:szCs w:val="22"/>
        </w:rPr>
        <w:t>experiences, and positions organisations such as ours</w:t>
      </w:r>
      <w:r w:rsidRPr="00C93F9D">
        <w:rPr>
          <w:rFonts w:ascii="Calibri" w:hAnsi="Calibri" w:cs="Calibri"/>
          <w:sz w:val="22"/>
          <w:szCs w:val="22"/>
        </w:rPr>
        <w:t xml:space="preserve"> as anchor institutions for the schools we serve. This directly evidences the ambition set out in </w:t>
      </w:r>
      <w:r w:rsidRPr="00C93F9D">
        <w:rPr>
          <w:rFonts w:ascii="Calibri" w:hAnsi="Calibri" w:cs="Calibri"/>
          <w:sz w:val="22"/>
          <w:szCs w:val="22"/>
        </w:rPr>
        <w:t>the Every</w:t>
      </w:r>
      <w:r w:rsidRPr="00C93F9D">
        <w:rPr>
          <w:rFonts w:ascii="Calibri" w:hAnsi="Calibri" w:cs="Calibri"/>
          <w:sz w:val="22"/>
          <w:szCs w:val="22"/>
        </w:rPr>
        <w:t xml:space="preserve"> Child Achieving and Thriving white paper to halve the disadvantage gap and ensure that no child’s access to enrichment depends on chance of circumstance.</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6. </w:t>
      </w:r>
      <w:r w:rsidRPr="00C93F9D">
        <w:rPr>
          <w:rFonts w:ascii="Calibri" w:hAnsi="Calibri" w:cs="Calibri"/>
          <w:sz w:val="22"/>
          <w:szCs w:val="22"/>
        </w:rPr>
        <w:t>We have the expertise, the relationships and the capacity to scale responsibly, given appropriate support. We would ask the Committee to consider how the programme can ensure that organisations delivering mission-led, barrier-removing enrichment are not left competing for funding while more commercially oriented providers benefit disproportionately from grant-writing support offered to schools.</w:t>
      </w:r>
    </w:p>
    <w:p w:rsidR="0093158E" w:rsidRPr="00C93F9D">
      <w:pPr>
        <w:pStyle w:val="Heading1"/>
        <w:spacing w:before="300" w:after="200"/>
        <w:rPr>
          <w:rFonts w:ascii="Calibri" w:hAnsi="Calibri" w:cs="Calibri"/>
          <w:sz w:val="22"/>
          <w:szCs w:val="22"/>
        </w:rPr>
      </w:pPr>
      <w:r w:rsidRPr="00C93F9D">
        <w:rPr>
          <w:rFonts w:ascii="Calibri" w:hAnsi="Calibri" w:cs="Calibri"/>
          <w:b/>
          <w:bCs/>
          <w:sz w:val="22"/>
          <w:szCs w:val="22"/>
        </w:rPr>
        <w:t>Section 2: A constructive proposal, structured support to remove non-financial barriers</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7. </w:t>
      </w:r>
      <w:r w:rsidRPr="00C93F9D">
        <w:rPr>
          <w:rFonts w:ascii="Calibri" w:hAnsi="Calibri" w:cs="Calibri"/>
          <w:sz w:val="22"/>
          <w:szCs w:val="22"/>
        </w:rPr>
        <w:t xml:space="preserve">We welcome the proposed investment in local strategic coordinator roles. Our own experience confirms that schools with a </w:t>
      </w:r>
      <w:r w:rsidRPr="00C93F9D">
        <w:rPr>
          <w:rFonts w:ascii="Calibri" w:hAnsi="Calibri" w:cs="Calibri"/>
          <w:sz w:val="22"/>
          <w:szCs w:val="22"/>
        </w:rPr>
        <w:t>designated enrichment lead show increased levels of participation</w:t>
      </w:r>
      <w:r w:rsidRPr="00C93F9D">
        <w:rPr>
          <w:rFonts w:ascii="Calibri" w:hAnsi="Calibri" w:cs="Calibri"/>
          <w:sz w:val="22"/>
          <w:szCs w:val="22"/>
        </w:rPr>
        <w:t xml:space="preserve">. However, evidence and </w:t>
      </w:r>
      <w:r w:rsidRPr="00C93F9D">
        <w:rPr>
          <w:rFonts w:ascii="Calibri" w:hAnsi="Calibri" w:cs="Calibri"/>
          <w:sz w:val="22"/>
          <w:szCs w:val="22"/>
        </w:rPr>
        <w:t>long standing</w:t>
      </w:r>
      <w:r w:rsidRPr="00C93F9D">
        <w:rPr>
          <w:rFonts w:ascii="Calibri" w:hAnsi="Calibri" w:cs="Calibri"/>
          <w:sz w:val="22"/>
          <w:szCs w:val="22"/>
        </w:rPr>
        <w:t xml:space="preserve"> practice demonstrate that time and signposting alone do not remove the deeper barriers preventing disadvantaged pupils and schools from engaging with enrichment.</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8. </w:t>
      </w:r>
      <w:r w:rsidRPr="00C93F9D">
        <w:rPr>
          <w:rFonts w:ascii="Calibri" w:hAnsi="Calibri" w:cs="Calibri"/>
          <w:sz w:val="22"/>
          <w:szCs w:val="22"/>
        </w:rPr>
        <w:t>Beyond cost, these barriers include: parental and pupil anxiety; teacher confidence; cultural concerns; unfamiliarity with unfamiliar settings; the management of risk, particularly for children with additional or high needs; teachers’ physical capacity and confidence in unfamiliar spaces; and a deeper, multi-generational disconnection from nature and food systems. These barriers are particularly acute in schools serving areas of high disadvantage. Our work with the Outdoor Week of Learning (OWL) Collaborati</w:t>
      </w:r>
      <w:r w:rsidRPr="00C93F9D">
        <w:rPr>
          <w:rFonts w:ascii="Calibri" w:hAnsi="Calibri" w:cs="Calibri"/>
          <w:sz w:val="22"/>
          <w:szCs w:val="22"/>
        </w:rPr>
        <w:t>on highlighted that organisations which do not typically serve schools from highly deprived areas, because such schools cannot otherwise afford their offer, can struggle to meet these schools’ needs even where cost and time are not obstacles.</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9. </w:t>
      </w:r>
      <w:r w:rsidRPr="00C93F9D">
        <w:rPr>
          <w:rFonts w:ascii="Calibri" w:hAnsi="Calibri" w:cs="Calibri"/>
          <w:sz w:val="22"/>
          <w:szCs w:val="22"/>
        </w:rPr>
        <w:t xml:space="preserve">For this reason, a temporary coordination role, while valuable, cannot alone generate sustained, equitable access. Our experience shows that even where access is enabled, further support is required to ensure that all participants, including teachers, </w:t>
      </w:r>
      <w:r w:rsidRPr="00C93F9D">
        <w:rPr>
          <w:rFonts w:ascii="Calibri" w:hAnsi="Calibri" w:cs="Calibri"/>
          <w:sz w:val="22"/>
          <w:szCs w:val="22"/>
        </w:rPr>
        <w:t>are able to</w:t>
      </w:r>
      <w:r w:rsidRPr="00C93F9D">
        <w:rPr>
          <w:rFonts w:ascii="Calibri" w:hAnsi="Calibri" w:cs="Calibri"/>
          <w:sz w:val="22"/>
          <w:szCs w:val="22"/>
        </w:rPr>
        <w:t xml:space="preserve"> engage with and benefit from the enrichment offer. This is corroborated by the Indicators of Change evaluation, in which one teacher described the anxiety felt by staff unfamiliar with outdoor settings before their school’s first visit:</w:t>
      </w:r>
    </w:p>
    <w:p w:rsidR="0093158E" w:rsidRPr="00C93F9D">
      <w:pPr>
        <w:spacing w:after="200" w:line="276" w:lineRule="auto"/>
        <w:ind w:left="400"/>
        <w:rPr>
          <w:rFonts w:ascii="Calibri" w:hAnsi="Calibri" w:cs="Calibri"/>
          <w:sz w:val="22"/>
          <w:szCs w:val="22"/>
        </w:rPr>
      </w:pPr>
      <w:r w:rsidRPr="00C93F9D">
        <w:rPr>
          <w:rFonts w:ascii="Calibri" w:hAnsi="Calibri" w:cs="Calibri"/>
          <w:i/>
          <w:iCs/>
          <w:sz w:val="22"/>
          <w:szCs w:val="22"/>
        </w:rPr>
        <w:t xml:space="preserve">“There was a wariness, there was a lack of confidence, slight anxiety about how it was managed. And then the reality of how easily and how well planned it was and just how much the children got out of it </w:t>
      </w:r>
      <w:r w:rsidRPr="00C93F9D">
        <w:rPr>
          <w:rFonts w:ascii="Calibri" w:hAnsi="Calibri" w:cs="Calibri"/>
          <w:i/>
          <w:iCs/>
          <w:sz w:val="22"/>
          <w:szCs w:val="22"/>
        </w:rPr>
        <w:t>definitely made</w:t>
      </w:r>
      <w:r w:rsidRPr="00C93F9D">
        <w:rPr>
          <w:rFonts w:ascii="Calibri" w:hAnsi="Calibri" w:cs="Calibri"/>
          <w:i/>
          <w:iCs/>
          <w:sz w:val="22"/>
          <w:szCs w:val="22"/>
        </w:rPr>
        <w:t xml:space="preserve"> them think differently.” (St Mary’s Primary, Farm Discovery)</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10. </w:t>
      </w:r>
      <w:r w:rsidRPr="00C93F9D">
        <w:rPr>
          <w:rFonts w:ascii="Calibri" w:hAnsi="Calibri" w:cs="Calibri"/>
          <w:sz w:val="22"/>
          <w:szCs w:val="22"/>
        </w:rPr>
        <w:t xml:space="preserve">The same evaluation found that children, too, frequently arrived carrying a number of anxieties, of animals, of staying away from home overnight, of new environments, which structured, well facilitated preparation and exposure were able to resolve, in several cases becoming turning points in children’s confidence that teachers continued to draw on months later. This pattern is precisely what pre-visit scaffolding is designed to front-load, so that the anxiety is addressed before arrival rather than managed </w:t>
      </w:r>
      <w:r w:rsidRPr="00C93F9D">
        <w:rPr>
          <w:rFonts w:ascii="Calibri" w:hAnsi="Calibri" w:cs="Calibri"/>
          <w:sz w:val="22"/>
          <w:szCs w:val="22"/>
        </w:rPr>
        <w:t>on the day.</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11. </w:t>
      </w:r>
      <w:r w:rsidRPr="00C93F9D">
        <w:rPr>
          <w:rFonts w:ascii="Calibri" w:hAnsi="Calibri" w:cs="Calibri"/>
          <w:sz w:val="22"/>
          <w:szCs w:val="22"/>
        </w:rPr>
        <w:t>Evaluation evidence bears this out: the strongest impact was seen among children with additional needs or heightened anxiety, for whom structured, well facilitated enrichment functioned as a preventative, confidence-building intervention rather than an add-on.</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12. </w:t>
      </w:r>
      <w:r w:rsidRPr="00C93F9D">
        <w:rPr>
          <w:rFonts w:ascii="Calibri" w:hAnsi="Calibri" w:cs="Calibri"/>
          <w:sz w:val="22"/>
          <w:szCs w:val="22"/>
        </w:rPr>
        <w:t>In our view, what is currently missing is a resource that provides both schools and delivery organisations with structured support to address these non-time, non-cost barriers. The Enrichment for All report, published this summer, identifies the need for support that goes beyond operational guidance, addressing the cultural, emotional and confidence-related barriers to participation. We believe organisations themselves would also benefit from such support, which would strengthen both access to, and the effe</w:t>
      </w:r>
      <w:r w:rsidRPr="00C93F9D">
        <w:rPr>
          <w:rFonts w:ascii="Calibri" w:hAnsi="Calibri" w:cs="Calibri"/>
          <w:sz w:val="22"/>
          <w:szCs w:val="22"/>
        </w:rPr>
        <w:t>ctiveness of, enrichment opportunities.</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13. </w:t>
      </w:r>
      <w:r w:rsidRPr="00C93F9D">
        <w:rPr>
          <w:rFonts w:ascii="Calibri" w:hAnsi="Calibri" w:cs="Calibri"/>
          <w:sz w:val="22"/>
          <w:szCs w:val="22"/>
        </w:rPr>
        <w:t xml:space="preserve">The Country Trust, alongside other organisations serving enrichment-poor schools, holds substantial expertise in this area. Our Residential Teacher Pack, Residential in a Box and Farm in a </w:t>
      </w:r>
      <w:r w:rsidRPr="00C93F9D">
        <w:rPr>
          <w:rFonts w:ascii="Calibri" w:hAnsi="Calibri" w:cs="Calibri"/>
          <w:sz w:val="22"/>
          <w:szCs w:val="22"/>
        </w:rPr>
        <w:t>Box resources</w:t>
      </w:r>
      <w:r w:rsidRPr="00C93F9D">
        <w:rPr>
          <w:rFonts w:ascii="Calibri" w:hAnsi="Calibri" w:cs="Calibri"/>
          <w:sz w:val="22"/>
          <w:szCs w:val="22"/>
        </w:rPr>
        <w:t xml:space="preserve"> illustrate the kind of scaffolding required to make enrichment activities genuinely accessible, high quality and anxiety-reducing for all involved. Pre- and post-visit support extends beyond helping teachers align activities with school priorities: it includes social stories, the gradual introduction of sensory stimuli, clear information for parents, guidance to support children’s confidence, and mobile-friendly post-visit content for use at home.</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14. </w:t>
      </w:r>
      <w:r w:rsidRPr="00C93F9D">
        <w:rPr>
          <w:rFonts w:ascii="Calibri" w:hAnsi="Calibri" w:cs="Calibri"/>
          <w:sz w:val="22"/>
          <w:szCs w:val="22"/>
        </w:rPr>
        <w:t xml:space="preserve">Farm in a Bag, a simplified version of our Farm in a Box resource, has proved an effective means of extending this preparatory model into long term programme delivery. In the last academic year, we distributed Farm in a </w:t>
      </w:r>
      <w:r w:rsidRPr="00C93F9D">
        <w:rPr>
          <w:rFonts w:ascii="Calibri" w:hAnsi="Calibri" w:cs="Calibri"/>
          <w:sz w:val="22"/>
          <w:szCs w:val="22"/>
        </w:rPr>
        <w:t>Bag resources</w:t>
      </w:r>
      <w:r w:rsidRPr="00C93F9D">
        <w:rPr>
          <w:rFonts w:ascii="Calibri" w:hAnsi="Calibri" w:cs="Calibri"/>
          <w:sz w:val="22"/>
          <w:szCs w:val="22"/>
        </w:rPr>
        <w:t xml:space="preserve"> to 5,038 pupils, just under a quarter of the pupils we worked with in </w:t>
      </w:r>
      <w:r w:rsidRPr="00C93F9D">
        <w:rPr>
          <w:rFonts w:ascii="Calibri" w:hAnsi="Calibri" w:cs="Calibri"/>
          <w:sz w:val="22"/>
          <w:szCs w:val="22"/>
        </w:rPr>
        <w:t>person, and</w:t>
      </w:r>
      <w:r w:rsidRPr="00C93F9D">
        <w:rPr>
          <w:rFonts w:ascii="Calibri" w:hAnsi="Calibri" w:cs="Calibri"/>
          <w:sz w:val="22"/>
          <w:szCs w:val="22"/>
        </w:rPr>
        <w:t xml:space="preserve"> received consistent feedback on the value of this preparatory support. One teacher noted:</w:t>
      </w:r>
    </w:p>
    <w:p w:rsidR="0093158E" w:rsidRPr="00C93F9D">
      <w:pPr>
        <w:spacing w:after="200" w:line="276" w:lineRule="auto"/>
        <w:ind w:left="400"/>
        <w:rPr>
          <w:rFonts w:ascii="Calibri" w:hAnsi="Calibri" w:cs="Calibri"/>
          <w:sz w:val="22"/>
          <w:szCs w:val="22"/>
        </w:rPr>
      </w:pPr>
      <w:r w:rsidRPr="00C93F9D">
        <w:rPr>
          <w:rFonts w:ascii="Calibri" w:hAnsi="Calibri" w:cs="Calibri"/>
          <w:i/>
          <w:iCs/>
          <w:sz w:val="22"/>
          <w:szCs w:val="22"/>
        </w:rPr>
        <w:t>“This class of 30 is made from children across KS2 who are of lower ability. Their prior knowledge was very limited. The ‘Farm in a Bag’ was a great resource for them and they spent days last week preparing for the visit.” (Teacher feedback)</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15. </w:t>
      </w:r>
      <w:r w:rsidRPr="00C93F9D">
        <w:rPr>
          <w:rFonts w:ascii="Calibri" w:hAnsi="Calibri" w:cs="Calibri"/>
          <w:sz w:val="22"/>
          <w:szCs w:val="22"/>
        </w:rPr>
        <w:t xml:space="preserve">Teachers in the same evaluation consistently identified the quality of pre- and post-visit facilitation as central to its value, rather than incidental to it. One noted that the risk assessment and organisational support “has enriched our children’s learning,” while another observed that the preparation and follow-through determined whether children who would “normally refuse to go on the trip” ultimately took part and stepped out of their comfort zones. Notably, the evaluation’s own recommendations arrive </w:t>
      </w:r>
      <w:r w:rsidRPr="00C93F9D">
        <w:rPr>
          <w:rFonts w:ascii="Calibri" w:hAnsi="Calibri" w:cs="Calibri"/>
          <w:sz w:val="22"/>
          <w:szCs w:val="22"/>
        </w:rPr>
        <w:t>at a similar conclusion to our own: it proposes a reflective resource and light pedagogic guidance to help teachers recognise, name and build on children’s confidence-building moments over time, precisely the kind of scaffolding, co-designed and teacher-facing, that we are proposing be resourced and extended nationally.</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16. </w:t>
      </w:r>
      <w:r w:rsidRPr="00C93F9D">
        <w:rPr>
          <w:rFonts w:ascii="Calibri" w:hAnsi="Calibri" w:cs="Calibri"/>
          <w:sz w:val="22"/>
          <w:szCs w:val="22"/>
        </w:rPr>
        <w:t>These examples represent only a fraction of what we currently deliver, have in development, or could offer with appropriate support. With increased capacity, we, and others delivering complementary strands of the Framework, could expand this work into a national support hub, offering:</w:t>
      </w:r>
    </w:p>
    <w:p w:rsidR="0093158E" w:rsidRPr="00C93F9D">
      <w:pPr>
        <w:spacing w:after="120" w:line="276" w:lineRule="auto"/>
        <w:ind w:left="400"/>
        <w:rPr>
          <w:rFonts w:ascii="Calibri" w:hAnsi="Calibri" w:cs="Calibri"/>
          <w:sz w:val="22"/>
          <w:szCs w:val="22"/>
        </w:rPr>
      </w:pPr>
      <w:r w:rsidRPr="00C93F9D">
        <w:rPr>
          <w:rFonts w:ascii="Calibri" w:hAnsi="Calibri" w:cs="Calibri"/>
          <w:sz w:val="22"/>
          <w:szCs w:val="22"/>
        </w:rPr>
        <w:t>a. guidance for coordinators on preparing teachers, pupils and families for successful engagement, including end-to-end support from initial contact through to follow-up;</w:t>
      </w:r>
    </w:p>
    <w:p w:rsidR="0093158E" w:rsidRPr="00C93F9D">
      <w:pPr>
        <w:spacing w:after="120" w:line="276" w:lineRule="auto"/>
        <w:ind w:left="400"/>
        <w:rPr>
          <w:rFonts w:ascii="Calibri" w:hAnsi="Calibri" w:cs="Calibri"/>
          <w:sz w:val="22"/>
          <w:szCs w:val="22"/>
        </w:rPr>
      </w:pPr>
      <w:r w:rsidRPr="00C93F9D">
        <w:rPr>
          <w:rFonts w:ascii="Calibri" w:hAnsi="Calibri" w:cs="Calibri"/>
          <w:sz w:val="22"/>
          <w:szCs w:val="22"/>
        </w:rPr>
        <w:t>b. practical resources co-designed with schools, as our existing resources have been, in partnership with teachers, parents and pupils, focused on naming and addressing barriers to successful participation;</w:t>
      </w:r>
    </w:p>
    <w:p w:rsidR="0093158E" w:rsidRPr="00C93F9D">
      <w:pPr>
        <w:spacing w:after="120" w:line="276" w:lineRule="auto"/>
        <w:ind w:left="400"/>
        <w:rPr>
          <w:rFonts w:ascii="Calibri" w:hAnsi="Calibri" w:cs="Calibri"/>
          <w:sz w:val="22"/>
          <w:szCs w:val="22"/>
        </w:rPr>
      </w:pPr>
      <w:r w:rsidRPr="00C93F9D">
        <w:rPr>
          <w:rFonts w:ascii="Calibri" w:hAnsi="Calibri" w:cs="Calibri"/>
          <w:sz w:val="22"/>
          <w:szCs w:val="22"/>
        </w:rPr>
        <w:t>c. tools to help organisations adapt their offer for underserved communities</w:t>
      </w:r>
      <w:r w:rsidRPr="00C93F9D">
        <w:rPr>
          <w:rFonts w:ascii="Calibri" w:hAnsi="Calibri" w:cs="Calibri"/>
          <w:sz w:val="22"/>
          <w:szCs w:val="22"/>
        </w:rPr>
        <w:t>, intentionally our inclusive pedagogy</w:t>
      </w:r>
      <w:r w:rsidRPr="00C93F9D">
        <w:rPr>
          <w:rFonts w:ascii="Calibri" w:hAnsi="Calibri" w:cs="Calibri"/>
          <w:sz w:val="22"/>
          <w:szCs w:val="22"/>
        </w:rPr>
        <w:t>; and</w:t>
      </w:r>
    </w:p>
    <w:p w:rsidR="0093158E" w:rsidRPr="00C93F9D">
      <w:pPr>
        <w:spacing w:after="120" w:line="276" w:lineRule="auto"/>
        <w:ind w:left="400"/>
        <w:rPr>
          <w:rFonts w:ascii="Calibri" w:hAnsi="Calibri" w:cs="Calibri"/>
          <w:sz w:val="22"/>
          <w:szCs w:val="22"/>
        </w:rPr>
      </w:pPr>
      <w:r w:rsidRPr="00C93F9D">
        <w:rPr>
          <w:rFonts w:ascii="Calibri" w:hAnsi="Calibri" w:cs="Calibri"/>
          <w:sz w:val="22"/>
          <w:szCs w:val="22"/>
        </w:rPr>
        <w:t>d. shared learning generated by a coalition of organisations working to remove barriers to inclusion in food, farming and nature-based experiences, extended to other strands of the Framework.</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17. </w:t>
      </w:r>
      <w:r w:rsidRPr="00C93F9D">
        <w:rPr>
          <w:rFonts w:ascii="Calibri" w:hAnsi="Calibri" w:cs="Calibri"/>
          <w:sz w:val="22"/>
          <w:szCs w:val="22"/>
        </w:rPr>
        <w:t>Such a hub could sit alongside the Enrichment Framework and complement local coordination roles, ensuring that the schools targeted by the programme receive not only signposting, but the confidence, capability and support needed to act on it.</w:t>
      </w:r>
    </w:p>
    <w:p w:rsidR="0093158E" w:rsidRPr="00C93F9D">
      <w:pPr>
        <w:spacing w:after="200" w:line="276" w:lineRule="auto"/>
        <w:rPr>
          <w:rFonts w:ascii="Calibri" w:hAnsi="Calibri" w:cs="Calibri"/>
          <w:sz w:val="22"/>
          <w:szCs w:val="22"/>
        </w:rPr>
      </w:pPr>
      <w:r w:rsidRPr="00C93F9D">
        <w:rPr>
          <w:rFonts w:ascii="Calibri" w:hAnsi="Calibri" w:cs="Calibri"/>
          <w:b/>
          <w:bCs/>
          <w:sz w:val="22"/>
          <w:szCs w:val="22"/>
        </w:rPr>
        <w:t xml:space="preserve">18. </w:t>
      </w:r>
      <w:r w:rsidRPr="00C93F9D">
        <w:rPr>
          <w:rFonts w:ascii="Calibri" w:hAnsi="Calibri" w:cs="Calibri"/>
          <w:sz w:val="22"/>
          <w:szCs w:val="22"/>
        </w:rPr>
        <w:t>We would welcome the opportunity to discuss this proposal further. We are also in the process of convening a group of organisations specialising in the removal of barriers to participation for disadvantaged young people in food, farming and nature-based experiences. We believe this collective expertise could be a valuable resource to the Department for Education and the Department for Culture, Media and Sport as the Framework and delivery model are developed further.</w:t>
      </w:r>
    </w:p>
    <w:p w:rsidR="0093158E" w:rsidRPr="00C93F9D">
      <w:pPr>
        <w:spacing w:after="200" w:line="276" w:lineRule="auto"/>
        <w:rPr>
          <w:rFonts w:ascii="Calibri" w:hAnsi="Calibri" w:cs="Calibri"/>
          <w:sz w:val="22"/>
          <w:szCs w:val="22"/>
        </w:rPr>
      </w:pPr>
      <w:r w:rsidRPr="00C93F9D">
        <w:rPr>
          <w:rFonts w:ascii="Calibri" w:hAnsi="Calibri" w:cs="Calibri"/>
          <w:sz w:val="22"/>
          <w:szCs w:val="22"/>
        </w:rPr>
        <w:t xml:space="preserve"> </w:t>
      </w:r>
    </w:p>
    <w:p w:rsidR="0093158E" w:rsidRPr="00C93F9D">
      <w:pPr>
        <w:spacing w:after="200" w:line="276" w:lineRule="auto"/>
        <w:rPr>
          <w:rFonts w:ascii="Calibri" w:hAnsi="Calibri" w:cs="Calibri"/>
          <w:i/>
          <w:iCs/>
          <w:sz w:val="22"/>
          <w:szCs w:val="22"/>
        </w:rPr>
      </w:pPr>
      <w:r w:rsidRPr="00C93F9D">
        <w:rPr>
          <w:rFonts w:ascii="Calibri" w:hAnsi="Calibri" w:cs="Calibri"/>
          <w:i/>
          <w:iCs/>
          <w:sz w:val="22"/>
          <w:szCs w:val="22"/>
        </w:rPr>
        <w:t>September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DA1EC1"/>
    <w:multiLevelType w:val="hybridMultilevel"/>
    <w:tmpl w:val="FC1ECEE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ECA0049</dc:title>
  <cp:revision>0</cp:revision>
</cp:coreProperties>
</file>