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3775" w:rsidRPr="00274FCA" w:rsidP="00367440">
      <w:pPr>
        <w:spacing w:after="60" w:line="276" w:lineRule="auto"/>
        <w:jc w:val="center"/>
        <w:rPr>
          <w:rFonts w:ascii="Calibri" w:hAnsi="Calibri" w:cs="Calibri"/>
          <w:b/>
          <w:bCs/>
          <w:sz w:val="22"/>
          <w:szCs w:val="22"/>
        </w:rPr>
      </w:pPr>
      <w:r w:rsidRPr="00274FCA">
        <w:rPr>
          <w:rFonts w:ascii="Calibri" w:hAnsi="Calibri" w:cs="Calibri"/>
          <w:b/>
          <w:bCs/>
          <w:sz w:val="22"/>
          <w:szCs w:val="22"/>
        </w:rPr>
        <w:t>Written evidence</w:t>
      </w:r>
      <w:r w:rsidRPr="00274FCA" w:rsidR="00274FCA">
        <w:rPr>
          <w:rFonts w:ascii="Calibri" w:hAnsi="Calibri" w:cs="Calibri"/>
          <w:b/>
          <w:bCs/>
          <w:sz w:val="22"/>
          <w:szCs w:val="22"/>
        </w:rPr>
        <w:t xml:space="preserve"> </w:t>
      </w:r>
      <w:r w:rsidRPr="00274FCA">
        <w:rPr>
          <w:rFonts w:ascii="Calibri" w:hAnsi="Calibri" w:cs="Calibri"/>
          <w:b/>
          <w:bCs/>
          <w:sz w:val="22"/>
          <w:szCs w:val="22"/>
        </w:rPr>
        <w:t xml:space="preserve">by </w:t>
      </w:r>
      <w:r w:rsidRPr="00274FCA">
        <w:rPr>
          <w:rFonts w:ascii="Calibri" w:hAnsi="Calibri" w:cs="Calibri"/>
          <w:b/>
          <w:bCs/>
          <w:i/>
          <w:iCs/>
          <w:sz w:val="22"/>
          <w:szCs w:val="22"/>
        </w:rPr>
        <w:t>Dr Katie J. Parsons</w:t>
      </w:r>
      <w:r w:rsidRPr="00274FCA">
        <w:rPr>
          <w:rFonts w:ascii="Calibri" w:hAnsi="Calibri" w:cs="Calibri"/>
          <w:b/>
          <w:bCs/>
          <w:i/>
          <w:iCs/>
          <w:sz w:val="22"/>
          <w:szCs w:val="22"/>
        </w:rPr>
        <w:t xml:space="preserve"> </w:t>
      </w:r>
      <w:r w:rsidRPr="00274FCA">
        <w:rPr>
          <w:rFonts w:ascii="Calibri" w:hAnsi="Calibri" w:cs="Calibri"/>
          <w:b/>
          <w:bCs/>
          <w:sz w:val="22"/>
          <w:szCs w:val="22"/>
        </w:rPr>
        <w:t>and</w:t>
      </w:r>
      <w:r w:rsidRPr="00274FCA">
        <w:rPr>
          <w:rFonts w:ascii="Calibri" w:hAnsi="Calibri" w:cs="Calibri"/>
          <w:b/>
          <w:bCs/>
          <w:i/>
          <w:iCs/>
          <w:sz w:val="22"/>
          <w:szCs w:val="22"/>
        </w:rPr>
        <w:t xml:space="preserve"> </w:t>
      </w:r>
      <w:r w:rsidRPr="00274FCA">
        <w:rPr>
          <w:rFonts w:ascii="Calibri" w:hAnsi="Calibri" w:cs="Calibri"/>
          <w:b/>
          <w:bCs/>
          <w:i/>
          <w:iCs/>
          <w:sz w:val="22"/>
          <w:szCs w:val="22"/>
        </w:rPr>
        <w:t xml:space="preserve">Dr Simona </w:t>
      </w:r>
      <w:r w:rsidRPr="00274FCA">
        <w:rPr>
          <w:rFonts w:ascii="Calibri" w:hAnsi="Calibri" w:cs="Calibri"/>
          <w:b/>
          <w:bCs/>
          <w:i/>
          <w:iCs/>
          <w:sz w:val="22"/>
          <w:szCs w:val="22"/>
        </w:rPr>
        <w:t>Rasciute</w:t>
      </w:r>
      <w:r w:rsidRPr="00274FCA" w:rsidR="00274FCA">
        <w:rPr>
          <w:rFonts w:ascii="Calibri" w:hAnsi="Calibri" w:cs="Calibri"/>
          <w:b/>
          <w:bCs/>
          <w:sz w:val="22"/>
          <w:szCs w:val="22"/>
        </w:rPr>
        <w:t xml:space="preserve"> (</w:t>
      </w:r>
      <w:r w:rsidRPr="00274FCA" w:rsidR="00274FCA">
        <w:rPr>
          <w:rFonts w:ascii="Calibri" w:hAnsi="Calibri" w:cs="Calibri"/>
          <w:b/>
          <w:bCs/>
          <w:sz w:val="22"/>
          <w:szCs w:val="22"/>
        </w:rPr>
        <w:t>ECA0045</w:t>
      </w:r>
      <w:r w:rsidRPr="00274FCA" w:rsidR="00274FCA">
        <w:rPr>
          <w:rFonts w:ascii="Calibri" w:hAnsi="Calibri" w:cs="Calibri"/>
          <w:b/>
          <w:bCs/>
          <w:sz w:val="22"/>
          <w:szCs w:val="22"/>
        </w:rPr>
        <w:t>)</w:t>
      </w:r>
    </w:p>
    <w:p w:rsidR="00274FCA" w:rsidRPr="00274FCA" w:rsidP="00274FCA">
      <w:pPr>
        <w:spacing w:after="60" w:line="276" w:lineRule="auto"/>
        <w:rPr>
          <w:rFonts w:ascii="Calibri" w:hAnsi="Calibri" w:cs="Calibri"/>
          <w:b/>
          <w:bCs/>
          <w:sz w:val="22"/>
          <w:szCs w:val="22"/>
        </w:rPr>
      </w:pPr>
      <w:r w:rsidRPr="00274FCA">
        <w:rPr>
          <w:rFonts w:ascii="Calibri" w:hAnsi="Calibri" w:cs="Calibri"/>
          <w:b/>
          <w:bCs/>
          <w:sz w:val="22"/>
          <w:szCs w:val="22"/>
        </w:rPr>
        <w:t>Education Committee</w:t>
      </w:r>
    </w:p>
    <w:p w:rsidR="00274FCA" w:rsidRPr="00274FCA" w:rsidP="00274FCA">
      <w:pPr>
        <w:spacing w:after="60" w:line="276" w:lineRule="auto"/>
        <w:rPr>
          <w:rFonts w:ascii="Calibri" w:hAnsi="Calibri" w:cs="Calibri"/>
          <w:b/>
          <w:bCs/>
          <w:sz w:val="22"/>
          <w:szCs w:val="22"/>
        </w:rPr>
      </w:pPr>
      <w:r w:rsidRPr="00274FCA">
        <w:rPr>
          <w:rFonts w:ascii="Calibri" w:hAnsi="Calibri" w:cs="Calibri"/>
          <w:b/>
          <w:bCs/>
          <w:sz w:val="22"/>
          <w:szCs w:val="22"/>
        </w:rPr>
        <w:t>Every Child Achieving and Thriving’ White Paper</w:t>
      </w:r>
    </w:p>
    <w:p w:rsidR="00133775" w:rsidRPr="00274FCA" w:rsidP="00367440">
      <w:pPr>
        <w:spacing w:after="60" w:line="276" w:lineRule="auto"/>
        <w:jc w:val="both"/>
        <w:rPr>
          <w:rFonts w:ascii="Calibri" w:hAnsi="Calibri" w:cs="Calibri"/>
          <w:b/>
          <w:bCs/>
          <w:sz w:val="22"/>
          <w:szCs w:val="22"/>
        </w:rPr>
      </w:pPr>
      <w:r w:rsidRPr="00274FCA">
        <w:rPr>
          <w:rFonts w:ascii="Calibri" w:hAnsi="Calibri" w:cs="Calibri"/>
          <w:noProof/>
          <w:sz w:val="22"/>
          <w:szCs w:val="22"/>
        </w:rPr>
        <mc:AlternateContent>
          <mc:Choice Requires="wps">
            <w:drawing>
              <wp:anchor distT="0" distB="0" distL="114300" distR="114300" simplePos="0" relativeHeight="251658240" behindDoc="1" locked="0" layoutInCell="1" allowOverlap="1">
                <wp:simplePos x="0" y="0"/>
                <wp:positionH relativeFrom="column">
                  <wp:posOffset>-254935</wp:posOffset>
                </wp:positionH>
                <wp:positionV relativeFrom="paragraph">
                  <wp:posOffset>136239</wp:posOffset>
                </wp:positionV>
                <wp:extent cx="6479540" cy="4734867"/>
                <wp:effectExtent l="38100" t="38100" r="111760" b="123190"/>
                <wp:wrapNone/>
                <wp:docPr id="1892088468"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6479540" cy="4734867"/>
                        </a:xfrm>
                        <a:prstGeom prst="rect">
                          <a:avLst/>
                        </a:prstGeom>
                        <a:solidFill>
                          <a:schemeClr val="accent6">
                            <a:lumMod val="20000"/>
                            <a:lumOff val="80000"/>
                            <a:alpha val="92000"/>
                          </a:schemeClr>
                        </a:solidFill>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5" style="height:372.8pt;margin-left:-20.05pt;margin-top:10.75pt;mso-height-percent:0;mso-height-relative:margin;mso-width-percent:0;mso-width-relative:margin;mso-wrap-distance-bottom:0;mso-wrap-distance-left:9pt;mso-wrap-distance-right:9pt;mso-wrap-distance-top:0;mso-wrap-style:square;position:absolute;v-text-anchor:middle;visibility:visible;width:510.2pt;z-index:-251657216" fillcolor="#d9f2d0" strokecolor="#030e13" strokeweight="1pt">
                <v:fill opacity="60395f"/>
                <v:shadow on="t" color="black" opacity="26214f" origin="-0.5,-0.5" offset="2.12pt,2.12pt"/>
              </v:rect>
            </w:pict>
          </mc:Fallback>
        </mc:AlternateContent>
      </w:r>
    </w:p>
    <w:p w:rsidR="00133775" w:rsidRPr="00274FCA" w:rsidP="00367440">
      <w:pPr>
        <w:spacing w:after="60" w:line="276" w:lineRule="auto"/>
        <w:jc w:val="both"/>
        <w:rPr>
          <w:rFonts w:ascii="Calibri" w:hAnsi="Calibri" w:cs="Calibri"/>
          <w:b/>
          <w:bCs/>
          <w:sz w:val="22"/>
          <w:szCs w:val="22"/>
        </w:rPr>
      </w:pPr>
      <w:r w:rsidRPr="00274FCA">
        <w:rPr>
          <w:rFonts w:ascii="Calibri" w:hAnsi="Calibri" w:cs="Calibri"/>
          <w:b/>
          <w:bCs/>
          <w:sz w:val="22"/>
          <w:szCs w:val="22"/>
        </w:rPr>
        <w:t xml:space="preserve">Key </w:t>
      </w:r>
      <w:r w:rsidRPr="00274FCA">
        <w:rPr>
          <w:rFonts w:ascii="Calibri" w:hAnsi="Calibri" w:cs="Calibri"/>
          <w:b/>
          <w:bCs/>
          <w:sz w:val="22"/>
          <w:szCs w:val="22"/>
        </w:rPr>
        <w:t>messages</w:t>
      </w:r>
      <w:r w:rsidRPr="00274FCA">
        <w:rPr>
          <w:rFonts w:ascii="Calibri" w:hAnsi="Calibri" w:cs="Calibri"/>
          <w:b/>
          <w:bCs/>
          <w:sz w:val="22"/>
          <w:szCs w:val="22"/>
        </w:rPr>
        <w:t>:</w:t>
      </w:r>
    </w:p>
    <w:p w:rsidR="00133775" w:rsidRPr="00274FCA" w:rsidP="00367440">
      <w:pPr>
        <w:pStyle w:val="ListParagraph"/>
        <w:numPr>
          <w:ilvl w:val="0"/>
          <w:numId w:val="4"/>
        </w:numPr>
        <w:spacing w:after="60" w:line="276" w:lineRule="auto"/>
        <w:jc w:val="both"/>
        <w:rPr>
          <w:rFonts w:ascii="Calibri" w:hAnsi="Calibri" w:cs="Calibri"/>
          <w:sz w:val="22"/>
          <w:szCs w:val="22"/>
        </w:rPr>
      </w:pPr>
      <w:r w:rsidRPr="00274FCA">
        <w:rPr>
          <w:rFonts w:ascii="Calibri" w:hAnsi="Calibri" w:cs="Calibri"/>
          <w:b/>
          <w:bCs/>
          <w:sz w:val="22"/>
          <w:szCs w:val="22"/>
        </w:rPr>
        <w:t xml:space="preserve">Climate change is already affecting children’s education. </w:t>
      </w:r>
      <w:r w:rsidRPr="00274FCA">
        <w:rPr>
          <w:rFonts w:ascii="Calibri" w:hAnsi="Calibri" w:cs="Calibri"/>
          <w:sz w:val="22"/>
          <w:szCs w:val="22"/>
        </w:rPr>
        <w:t>Flooding, extreme heat, poor air quality are already disrupting attendance,</w:t>
      </w:r>
      <w:r w:rsidRPr="00274FCA">
        <w:rPr>
          <w:rFonts w:ascii="Calibri" w:hAnsi="Calibri" w:cs="Calibri"/>
          <w:sz w:val="22"/>
          <w:szCs w:val="22"/>
        </w:rPr>
        <w:t xml:space="preserve"> school journeys, outdoor</w:t>
      </w:r>
      <w:r w:rsidRPr="00274FCA">
        <w:rPr>
          <w:rFonts w:ascii="Calibri" w:hAnsi="Calibri" w:cs="Calibri"/>
          <w:sz w:val="22"/>
          <w:szCs w:val="22"/>
        </w:rPr>
        <w:t xml:space="preserve"> play, </w:t>
      </w:r>
      <w:r w:rsidRPr="00274FCA">
        <w:rPr>
          <w:rFonts w:ascii="Calibri" w:hAnsi="Calibri" w:cs="Calibri"/>
          <w:sz w:val="22"/>
          <w:szCs w:val="22"/>
        </w:rPr>
        <w:t xml:space="preserve">connection, </w:t>
      </w:r>
      <w:r w:rsidRPr="00274FCA">
        <w:rPr>
          <w:rFonts w:ascii="Calibri" w:hAnsi="Calibri" w:cs="Calibri"/>
          <w:sz w:val="22"/>
          <w:szCs w:val="22"/>
        </w:rPr>
        <w:t xml:space="preserve">PE, </w:t>
      </w:r>
      <w:r w:rsidRPr="00274FCA">
        <w:rPr>
          <w:rFonts w:ascii="Calibri" w:hAnsi="Calibri" w:cs="Calibri"/>
          <w:sz w:val="22"/>
          <w:szCs w:val="22"/>
        </w:rPr>
        <w:t xml:space="preserve">sport, </w:t>
      </w:r>
      <w:r w:rsidRPr="00274FCA">
        <w:rPr>
          <w:rFonts w:ascii="Calibri" w:hAnsi="Calibri" w:cs="Calibri"/>
          <w:sz w:val="22"/>
          <w:szCs w:val="22"/>
        </w:rPr>
        <w:t xml:space="preserve">school trips, </w:t>
      </w:r>
      <w:r w:rsidRPr="00274FCA">
        <w:rPr>
          <w:rFonts w:ascii="Calibri" w:hAnsi="Calibri" w:cs="Calibri"/>
          <w:sz w:val="22"/>
          <w:szCs w:val="22"/>
        </w:rPr>
        <w:t>outdoor learning, enrichment and children’s sense of belonging</w:t>
      </w:r>
      <w:r w:rsidRPr="00274FCA">
        <w:rPr>
          <w:rFonts w:ascii="Calibri" w:hAnsi="Calibri" w:cs="Calibri"/>
          <w:sz w:val="22"/>
          <w:szCs w:val="22"/>
        </w:rPr>
        <w:t xml:space="preserve"> </w:t>
      </w:r>
      <w:r w:rsidRPr="00274FCA">
        <w:rPr>
          <w:rFonts w:ascii="Calibri" w:hAnsi="Calibri" w:cs="Calibri"/>
          <w:sz w:val="22"/>
          <w:szCs w:val="22"/>
        </w:rPr>
        <w:t>[1, 2, 3]</w:t>
      </w:r>
      <w:r w:rsidRPr="00274FCA">
        <w:rPr>
          <w:rFonts w:ascii="Calibri" w:hAnsi="Calibri" w:cs="Calibri"/>
          <w:sz w:val="22"/>
          <w:szCs w:val="22"/>
        </w:rPr>
        <w:t>.</w:t>
      </w:r>
    </w:p>
    <w:p w:rsidR="00133775" w:rsidRPr="00274FCA" w:rsidP="00367440">
      <w:pPr>
        <w:pStyle w:val="ListParagraph"/>
        <w:numPr>
          <w:ilvl w:val="0"/>
          <w:numId w:val="4"/>
        </w:numPr>
        <w:spacing w:after="60" w:line="276" w:lineRule="auto"/>
        <w:jc w:val="both"/>
        <w:rPr>
          <w:rFonts w:ascii="Calibri" w:hAnsi="Calibri" w:cs="Calibri"/>
          <w:b/>
          <w:bCs/>
          <w:sz w:val="22"/>
          <w:szCs w:val="22"/>
        </w:rPr>
      </w:pPr>
      <w:r w:rsidRPr="00274FCA">
        <w:rPr>
          <w:rFonts w:ascii="Calibri" w:hAnsi="Calibri" w:cs="Calibri"/>
          <w:b/>
          <w:bCs/>
          <w:sz w:val="22"/>
          <w:szCs w:val="22"/>
        </w:rPr>
        <w:t xml:space="preserve">These impacts are unequal. </w:t>
      </w:r>
      <w:r w:rsidRPr="00274FCA">
        <w:rPr>
          <w:rFonts w:ascii="Calibri" w:hAnsi="Calibri" w:cs="Calibri"/>
          <w:sz w:val="22"/>
          <w:szCs w:val="22"/>
        </w:rPr>
        <w:t>Children in disadvantaged or poorly resourced</w:t>
      </w:r>
      <w:r w:rsidRPr="00274FCA">
        <w:rPr>
          <w:rFonts w:ascii="Calibri" w:hAnsi="Calibri" w:cs="Calibri"/>
          <w:sz w:val="22"/>
          <w:szCs w:val="22"/>
        </w:rPr>
        <w:t>, poorly environmentally adapted</w:t>
      </w:r>
      <w:r w:rsidRPr="00274FCA">
        <w:rPr>
          <w:rFonts w:ascii="Calibri" w:hAnsi="Calibri" w:cs="Calibri"/>
          <w:sz w:val="22"/>
          <w:szCs w:val="22"/>
        </w:rPr>
        <w:t xml:space="preserve"> communities are more likely to lose access to safe ou</w:t>
      </w:r>
      <w:r w:rsidRPr="00274FCA">
        <w:rPr>
          <w:rFonts w:ascii="Calibri" w:hAnsi="Calibri" w:cs="Calibri"/>
          <w:sz w:val="22"/>
          <w:szCs w:val="22"/>
        </w:rPr>
        <w:t xml:space="preserve">tdoor </w:t>
      </w:r>
      <w:r w:rsidRPr="00274FCA">
        <w:rPr>
          <w:rFonts w:ascii="Calibri" w:hAnsi="Calibri" w:cs="Calibri"/>
          <w:sz w:val="22"/>
          <w:szCs w:val="22"/>
        </w:rPr>
        <w:t>space</w:t>
      </w:r>
      <w:r w:rsidRPr="00274FCA">
        <w:rPr>
          <w:rFonts w:ascii="Calibri" w:hAnsi="Calibri" w:cs="Calibri"/>
          <w:sz w:val="22"/>
          <w:szCs w:val="22"/>
        </w:rPr>
        <w:t xml:space="preserve">s, </w:t>
      </w:r>
      <w:r w:rsidRPr="00274FCA">
        <w:rPr>
          <w:rFonts w:ascii="Calibri" w:hAnsi="Calibri" w:cs="Calibri"/>
          <w:sz w:val="22"/>
          <w:szCs w:val="22"/>
        </w:rPr>
        <w:t>community facilities and climate-resilient school environments</w:t>
      </w:r>
      <w:r w:rsidRPr="00274FCA">
        <w:rPr>
          <w:rFonts w:ascii="Calibri" w:hAnsi="Calibri" w:cs="Calibri"/>
          <w:sz w:val="22"/>
          <w:szCs w:val="22"/>
        </w:rPr>
        <w:t xml:space="preserve"> [2, 4]</w:t>
      </w:r>
      <w:r w:rsidRPr="00274FCA">
        <w:rPr>
          <w:rFonts w:ascii="Calibri" w:hAnsi="Calibri" w:cs="Calibri"/>
          <w:sz w:val="22"/>
          <w:szCs w:val="22"/>
        </w:rPr>
        <w:t>.</w:t>
      </w:r>
    </w:p>
    <w:p w:rsidR="00133775" w:rsidRPr="00274FCA" w:rsidP="00367440">
      <w:pPr>
        <w:pStyle w:val="ListParagraph"/>
        <w:numPr>
          <w:ilvl w:val="0"/>
          <w:numId w:val="4"/>
        </w:numPr>
        <w:spacing w:after="60" w:line="276" w:lineRule="auto"/>
        <w:jc w:val="both"/>
        <w:rPr>
          <w:rFonts w:ascii="Calibri" w:hAnsi="Calibri" w:cs="Calibri"/>
          <w:sz w:val="22"/>
          <w:szCs w:val="22"/>
        </w:rPr>
      </w:pPr>
      <w:r w:rsidRPr="00274FCA">
        <w:rPr>
          <w:rFonts w:ascii="Calibri" w:hAnsi="Calibri" w:cs="Calibri"/>
          <w:b/>
          <w:bCs/>
          <w:sz w:val="22"/>
          <w:szCs w:val="22"/>
        </w:rPr>
        <w:t xml:space="preserve">Climate change </w:t>
      </w:r>
      <w:r w:rsidRPr="00274FCA">
        <w:rPr>
          <w:rFonts w:ascii="Calibri" w:hAnsi="Calibri" w:cs="Calibri"/>
          <w:b/>
          <w:bCs/>
          <w:sz w:val="22"/>
          <w:szCs w:val="22"/>
        </w:rPr>
        <w:t>amplifies</w:t>
      </w:r>
      <w:r w:rsidRPr="00274FCA">
        <w:rPr>
          <w:rFonts w:ascii="Calibri" w:hAnsi="Calibri" w:cs="Calibri"/>
          <w:b/>
          <w:bCs/>
          <w:sz w:val="22"/>
          <w:szCs w:val="22"/>
        </w:rPr>
        <w:t xml:space="preserve"> </w:t>
      </w:r>
      <w:r w:rsidRPr="00274FCA">
        <w:rPr>
          <w:rFonts w:ascii="Calibri" w:hAnsi="Calibri" w:cs="Calibri"/>
          <w:b/>
          <w:bCs/>
          <w:sz w:val="22"/>
          <w:szCs w:val="22"/>
        </w:rPr>
        <w:t>child</w:t>
      </w:r>
      <w:r w:rsidRPr="00274FCA">
        <w:rPr>
          <w:rFonts w:ascii="Calibri" w:hAnsi="Calibri" w:cs="Calibri"/>
          <w:b/>
          <w:bCs/>
          <w:sz w:val="22"/>
          <w:szCs w:val="22"/>
        </w:rPr>
        <w:t xml:space="preserve"> </w:t>
      </w:r>
      <w:r w:rsidRPr="00274FCA">
        <w:rPr>
          <w:rFonts w:ascii="Calibri" w:hAnsi="Calibri" w:cs="Calibri"/>
          <w:b/>
          <w:bCs/>
          <w:sz w:val="22"/>
          <w:szCs w:val="22"/>
        </w:rPr>
        <w:t xml:space="preserve">development </w:t>
      </w:r>
      <w:r w:rsidRPr="00274FCA">
        <w:rPr>
          <w:rFonts w:ascii="Calibri" w:hAnsi="Calibri" w:cs="Calibri"/>
          <w:b/>
          <w:bCs/>
          <w:sz w:val="22"/>
          <w:szCs w:val="22"/>
        </w:rPr>
        <w:t>inequality</w:t>
      </w:r>
      <w:r w:rsidRPr="00274FCA">
        <w:rPr>
          <w:rFonts w:ascii="Calibri" w:hAnsi="Calibri" w:cs="Calibri"/>
          <w:sz w:val="22"/>
          <w:szCs w:val="22"/>
        </w:rPr>
        <w:t xml:space="preserve">. The cumulative loss </w:t>
      </w:r>
      <w:r w:rsidRPr="00274FCA">
        <w:rPr>
          <w:rFonts w:ascii="Calibri" w:hAnsi="Calibri" w:cs="Calibri"/>
          <w:sz w:val="22"/>
          <w:szCs w:val="22"/>
        </w:rPr>
        <w:t xml:space="preserve">of </w:t>
      </w:r>
      <w:r w:rsidRPr="00274FCA">
        <w:rPr>
          <w:rFonts w:ascii="Calibri" w:hAnsi="Calibri" w:cs="Calibri"/>
          <w:sz w:val="22"/>
          <w:szCs w:val="22"/>
        </w:rPr>
        <w:t xml:space="preserve">PE, </w:t>
      </w:r>
      <w:r w:rsidRPr="00274FCA">
        <w:rPr>
          <w:rFonts w:ascii="Calibri" w:hAnsi="Calibri" w:cs="Calibri"/>
          <w:sz w:val="22"/>
          <w:szCs w:val="22"/>
        </w:rPr>
        <w:t xml:space="preserve">playtimes, outdoor learning, sports fixtures, trips and safe local spaces </w:t>
      </w:r>
      <w:r w:rsidRPr="00274FCA">
        <w:rPr>
          <w:rFonts w:ascii="Calibri" w:hAnsi="Calibri" w:cs="Calibri"/>
          <w:sz w:val="22"/>
          <w:szCs w:val="22"/>
        </w:rPr>
        <w:t xml:space="preserve">are detrimental to overall child development and </w:t>
      </w:r>
      <w:r w:rsidRPr="00274FCA">
        <w:rPr>
          <w:rFonts w:ascii="Calibri" w:hAnsi="Calibri" w:cs="Calibri"/>
          <w:sz w:val="22"/>
          <w:szCs w:val="22"/>
        </w:rPr>
        <w:t xml:space="preserve">the </w:t>
      </w:r>
      <w:r w:rsidRPr="00274FCA">
        <w:rPr>
          <w:rFonts w:ascii="Calibri" w:hAnsi="Calibri" w:cs="Calibri"/>
          <w:sz w:val="22"/>
          <w:szCs w:val="22"/>
        </w:rPr>
        <w:t>ability to achieve and thrive</w:t>
      </w:r>
      <w:r w:rsidRPr="00274FCA">
        <w:rPr>
          <w:rFonts w:ascii="Calibri" w:hAnsi="Calibri" w:cs="Calibri"/>
          <w:sz w:val="22"/>
          <w:szCs w:val="22"/>
        </w:rPr>
        <w:t xml:space="preserve"> </w:t>
      </w:r>
      <w:r w:rsidRPr="00274FCA">
        <w:rPr>
          <w:rFonts w:ascii="Calibri" w:hAnsi="Calibri" w:cs="Calibri"/>
          <w:sz w:val="22"/>
          <w:szCs w:val="22"/>
        </w:rPr>
        <w:t>[2, 4].</w:t>
      </w:r>
    </w:p>
    <w:p w:rsidR="00133775" w:rsidRPr="00274FCA" w:rsidP="00367440">
      <w:pPr>
        <w:pStyle w:val="ListParagraph"/>
        <w:numPr>
          <w:ilvl w:val="0"/>
          <w:numId w:val="4"/>
        </w:numPr>
        <w:spacing w:after="60" w:line="276" w:lineRule="auto"/>
        <w:jc w:val="both"/>
        <w:rPr>
          <w:rFonts w:ascii="Calibri" w:hAnsi="Calibri" w:cs="Calibri"/>
          <w:b/>
          <w:bCs/>
          <w:sz w:val="22"/>
          <w:szCs w:val="22"/>
        </w:rPr>
      </w:pPr>
      <w:r w:rsidRPr="00274FCA">
        <w:rPr>
          <w:rFonts w:ascii="Calibri" w:hAnsi="Calibri" w:cs="Calibri"/>
          <w:b/>
          <w:bCs/>
          <w:sz w:val="22"/>
          <w:szCs w:val="22"/>
        </w:rPr>
        <w:t xml:space="preserve">Enrichment is </w:t>
      </w:r>
      <w:r w:rsidRPr="00274FCA">
        <w:rPr>
          <w:rFonts w:ascii="Calibri" w:hAnsi="Calibri" w:cs="Calibri"/>
          <w:b/>
          <w:bCs/>
          <w:sz w:val="22"/>
          <w:szCs w:val="22"/>
        </w:rPr>
        <w:t xml:space="preserve">a </w:t>
      </w:r>
      <w:r w:rsidRPr="00274FCA">
        <w:rPr>
          <w:rFonts w:ascii="Calibri" w:hAnsi="Calibri" w:cs="Calibri"/>
          <w:b/>
          <w:bCs/>
          <w:sz w:val="22"/>
          <w:szCs w:val="22"/>
        </w:rPr>
        <w:t>core educational infrastructure, not an optional extra.</w:t>
      </w:r>
      <w:r w:rsidRPr="00274FCA">
        <w:rPr>
          <w:rFonts w:ascii="Calibri" w:hAnsi="Calibri" w:cs="Calibri"/>
          <w:b/>
          <w:bCs/>
          <w:sz w:val="22"/>
          <w:szCs w:val="22"/>
        </w:rPr>
        <w:t xml:space="preserve"> </w:t>
      </w:r>
      <w:r w:rsidRPr="00274FCA">
        <w:rPr>
          <w:rFonts w:ascii="Calibri" w:hAnsi="Calibri" w:cs="Calibri"/>
          <w:sz w:val="22"/>
          <w:szCs w:val="22"/>
        </w:rPr>
        <w:t>These activities are needed for overall child development and growth</w:t>
      </w:r>
      <w:r w:rsidRPr="00274FCA">
        <w:rPr>
          <w:rFonts w:ascii="Calibri" w:hAnsi="Calibri" w:cs="Calibri"/>
          <w:sz w:val="22"/>
          <w:szCs w:val="22"/>
        </w:rPr>
        <w:t>.</w:t>
      </w:r>
    </w:p>
    <w:p w:rsidR="00133775" w:rsidRPr="00274FCA" w:rsidP="00367440">
      <w:pPr>
        <w:pStyle w:val="ListParagraph"/>
        <w:numPr>
          <w:ilvl w:val="0"/>
          <w:numId w:val="4"/>
        </w:numPr>
        <w:spacing w:after="60" w:line="276" w:lineRule="auto"/>
        <w:jc w:val="both"/>
        <w:rPr>
          <w:rFonts w:ascii="Calibri" w:hAnsi="Calibri" w:cs="Calibri"/>
          <w:sz w:val="22"/>
          <w:szCs w:val="22"/>
        </w:rPr>
      </w:pPr>
      <w:r w:rsidRPr="00274FCA">
        <w:rPr>
          <w:rFonts w:ascii="Calibri" w:hAnsi="Calibri" w:cs="Calibri"/>
          <w:b/>
          <w:bCs/>
          <w:sz w:val="22"/>
          <w:szCs w:val="22"/>
        </w:rPr>
        <w:t>Attendance polic</w:t>
      </w:r>
      <w:r w:rsidRPr="00274FCA">
        <w:rPr>
          <w:rFonts w:ascii="Calibri" w:hAnsi="Calibri" w:cs="Calibri"/>
          <w:b/>
          <w:bCs/>
          <w:sz w:val="22"/>
          <w:szCs w:val="22"/>
        </w:rPr>
        <w:t>ies</w:t>
      </w:r>
      <w:r w:rsidRPr="00274FCA">
        <w:rPr>
          <w:rFonts w:ascii="Calibri" w:hAnsi="Calibri" w:cs="Calibri"/>
          <w:b/>
          <w:bCs/>
          <w:sz w:val="22"/>
          <w:szCs w:val="22"/>
        </w:rPr>
        <w:t xml:space="preserve"> should recognise environmental barriers.</w:t>
      </w:r>
      <w:r w:rsidRPr="00274FCA">
        <w:rPr>
          <w:rFonts w:ascii="Calibri" w:hAnsi="Calibri" w:cs="Calibri"/>
          <w:sz w:val="22"/>
          <w:szCs w:val="22"/>
        </w:rPr>
        <w:t xml:space="preserve"> Flooded routes, heat stress, poor air quality, family disruption, housing insecurity and climate-related anxiety can all contribute to absence</w:t>
      </w:r>
      <w:r w:rsidRPr="00274FCA">
        <w:rPr>
          <w:rFonts w:ascii="Calibri" w:hAnsi="Calibri" w:cs="Calibri"/>
          <w:sz w:val="22"/>
          <w:szCs w:val="22"/>
        </w:rPr>
        <w:t xml:space="preserve"> [3, 5, 6, 7]</w:t>
      </w:r>
      <w:r w:rsidRPr="00274FCA">
        <w:rPr>
          <w:rFonts w:ascii="Calibri" w:hAnsi="Calibri" w:cs="Calibri"/>
          <w:sz w:val="22"/>
          <w:szCs w:val="22"/>
        </w:rPr>
        <w:t>. Schools cannot address these issues alone.</w:t>
      </w:r>
    </w:p>
    <w:p w:rsidR="00133775" w:rsidRPr="00274FCA" w:rsidP="00367440">
      <w:pPr>
        <w:pStyle w:val="ListParagraph"/>
        <w:numPr>
          <w:ilvl w:val="0"/>
          <w:numId w:val="4"/>
        </w:numPr>
        <w:spacing w:after="60" w:line="276" w:lineRule="auto"/>
        <w:jc w:val="both"/>
        <w:rPr>
          <w:rFonts w:ascii="Calibri" w:hAnsi="Calibri" w:cs="Calibri"/>
          <w:b/>
          <w:bCs/>
          <w:sz w:val="22"/>
          <w:szCs w:val="22"/>
        </w:rPr>
      </w:pPr>
      <w:r w:rsidRPr="00274FCA">
        <w:rPr>
          <w:rFonts w:ascii="Calibri" w:hAnsi="Calibri" w:cs="Calibri"/>
          <w:b/>
          <w:bCs/>
          <w:sz w:val="22"/>
          <w:szCs w:val="22"/>
        </w:rPr>
        <w:t xml:space="preserve">Climate education must move beyond information-only approaches. </w:t>
      </w:r>
      <w:r w:rsidRPr="00274FCA">
        <w:rPr>
          <w:rFonts w:ascii="Calibri" w:hAnsi="Calibri" w:cs="Calibri"/>
          <w:sz w:val="22"/>
          <w:szCs w:val="22"/>
        </w:rPr>
        <w:t>Children need place-based</w:t>
      </w:r>
      <w:r w:rsidRPr="00274FCA">
        <w:rPr>
          <w:rFonts w:ascii="Calibri" w:hAnsi="Calibri" w:cs="Calibri"/>
          <w:sz w:val="22"/>
          <w:szCs w:val="22"/>
        </w:rPr>
        <w:t xml:space="preserve">, </w:t>
      </w:r>
      <w:r w:rsidRPr="00274FCA">
        <w:rPr>
          <w:rFonts w:ascii="Calibri" w:hAnsi="Calibri" w:cs="Calibri"/>
          <w:sz w:val="22"/>
          <w:szCs w:val="22"/>
        </w:rPr>
        <w:t>participatory</w:t>
      </w:r>
      <w:r w:rsidRPr="00274FCA">
        <w:rPr>
          <w:rFonts w:ascii="Calibri" w:hAnsi="Calibri" w:cs="Calibri"/>
          <w:sz w:val="22"/>
          <w:szCs w:val="22"/>
        </w:rPr>
        <w:t xml:space="preserve"> and action-linked</w:t>
      </w:r>
      <w:r w:rsidRPr="00274FCA">
        <w:rPr>
          <w:rFonts w:ascii="Calibri" w:hAnsi="Calibri" w:cs="Calibri"/>
          <w:sz w:val="22"/>
          <w:szCs w:val="22"/>
        </w:rPr>
        <w:t xml:space="preserve"> learning that connects knowledge with lived experience, emotion, dialogue and practical action</w:t>
      </w:r>
      <w:r w:rsidRPr="00274FCA">
        <w:rPr>
          <w:rFonts w:ascii="Calibri" w:hAnsi="Calibri" w:cs="Calibri"/>
          <w:sz w:val="22"/>
          <w:szCs w:val="22"/>
        </w:rPr>
        <w:t xml:space="preserve"> </w:t>
      </w:r>
      <w:r w:rsidRPr="00274FCA">
        <w:rPr>
          <w:rFonts w:ascii="Calibri" w:hAnsi="Calibri" w:cs="Calibri"/>
          <w:sz w:val="22"/>
          <w:szCs w:val="22"/>
        </w:rPr>
        <w:t>[8]</w:t>
      </w:r>
      <w:r w:rsidRPr="00274FCA">
        <w:rPr>
          <w:rFonts w:ascii="Calibri" w:hAnsi="Calibri" w:cs="Calibri"/>
          <w:sz w:val="22"/>
          <w:szCs w:val="22"/>
        </w:rPr>
        <w:t>.</w:t>
      </w:r>
    </w:p>
    <w:p w:rsidR="00133775" w:rsidRPr="00274FCA" w:rsidP="00367440">
      <w:pPr>
        <w:pStyle w:val="ListParagraph"/>
        <w:numPr>
          <w:ilvl w:val="0"/>
          <w:numId w:val="4"/>
        </w:numPr>
        <w:spacing w:after="60" w:line="276" w:lineRule="auto"/>
        <w:jc w:val="both"/>
        <w:rPr>
          <w:rFonts w:ascii="Calibri" w:hAnsi="Calibri" w:cs="Calibri"/>
          <w:sz w:val="22"/>
          <w:szCs w:val="22"/>
        </w:rPr>
      </w:pPr>
      <w:r w:rsidRPr="00274FCA">
        <w:rPr>
          <w:rFonts w:ascii="Calibri" w:hAnsi="Calibri" w:cs="Calibri"/>
          <w:b/>
          <w:bCs/>
          <w:sz w:val="22"/>
          <w:szCs w:val="22"/>
        </w:rPr>
        <w:t>Children should be recognised as social actors</w:t>
      </w:r>
      <w:r w:rsidRPr="00274FCA">
        <w:rPr>
          <w:rFonts w:ascii="Calibri" w:hAnsi="Calibri" w:cs="Calibri"/>
          <w:sz w:val="22"/>
          <w:szCs w:val="22"/>
        </w:rPr>
        <w:t>. Children have lived knowledge of their schools, communities and changing environments</w:t>
      </w:r>
      <w:r w:rsidRPr="00274FCA">
        <w:rPr>
          <w:rFonts w:ascii="Calibri" w:hAnsi="Calibri" w:cs="Calibri"/>
          <w:sz w:val="22"/>
          <w:szCs w:val="22"/>
        </w:rPr>
        <w:t>. Th</w:t>
      </w:r>
      <w:r w:rsidRPr="00274FCA">
        <w:rPr>
          <w:rFonts w:ascii="Calibri" w:hAnsi="Calibri" w:cs="Calibri"/>
          <w:sz w:val="22"/>
          <w:szCs w:val="22"/>
        </w:rPr>
        <w:t>ey should be involved in school and local resilience planning</w:t>
      </w:r>
      <w:r w:rsidRPr="00274FCA">
        <w:rPr>
          <w:rFonts w:ascii="Calibri" w:hAnsi="Calibri" w:cs="Calibri"/>
          <w:sz w:val="22"/>
          <w:szCs w:val="22"/>
        </w:rPr>
        <w:t>, no</w:t>
      </w:r>
      <w:r w:rsidRPr="00274FCA">
        <w:rPr>
          <w:rFonts w:ascii="Calibri" w:hAnsi="Calibri" w:cs="Calibri"/>
          <w:sz w:val="22"/>
          <w:szCs w:val="22"/>
        </w:rPr>
        <w:t>t</w:t>
      </w:r>
      <w:r w:rsidRPr="00274FCA">
        <w:rPr>
          <w:rFonts w:ascii="Calibri" w:hAnsi="Calibri" w:cs="Calibri"/>
          <w:sz w:val="22"/>
          <w:szCs w:val="22"/>
        </w:rPr>
        <w:t xml:space="preserve"> treated only as recipients of adult messages</w:t>
      </w:r>
      <w:r w:rsidRPr="00274FCA">
        <w:rPr>
          <w:rFonts w:ascii="Calibri" w:hAnsi="Calibri" w:cs="Calibri"/>
          <w:sz w:val="22"/>
          <w:szCs w:val="22"/>
        </w:rPr>
        <w:t xml:space="preserve"> </w:t>
      </w:r>
      <w:r w:rsidRPr="00274FCA">
        <w:rPr>
          <w:rFonts w:ascii="Calibri" w:hAnsi="Calibri" w:cs="Calibri"/>
          <w:sz w:val="22"/>
          <w:szCs w:val="22"/>
        </w:rPr>
        <w:t>[4, 8]</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i/>
          <w:iCs/>
          <w:sz w:val="22"/>
          <w:szCs w:val="22"/>
        </w:rPr>
      </w:pPr>
      <w:r w:rsidRPr="00274FCA">
        <w:rPr>
          <w:rFonts w:ascii="Calibri" w:hAnsi="Calibri" w:cs="Calibri"/>
          <w:i/>
          <w:iCs/>
          <w:sz w:val="22"/>
          <w:szCs w:val="22"/>
        </w:rPr>
        <w:t>The White Paper should align with climate adaptation, public health and children’s rights</w:t>
      </w:r>
      <w:r w:rsidRPr="00274FCA">
        <w:rPr>
          <w:rFonts w:ascii="Calibri" w:hAnsi="Calibri" w:cs="Calibri"/>
          <w:i/>
          <w:iCs/>
          <w:sz w:val="22"/>
          <w:szCs w:val="22"/>
        </w:rPr>
        <w:t xml:space="preserve"> [1, 2, 3, 4, 5]</w:t>
      </w:r>
      <w:r w:rsidRPr="00274FCA">
        <w:rPr>
          <w:rFonts w:ascii="Calibri" w:hAnsi="Calibri" w:cs="Calibri"/>
          <w:i/>
          <w:iCs/>
          <w:sz w:val="22"/>
          <w:szCs w:val="22"/>
        </w:rPr>
        <w:t xml:space="preserve">. A school system designed for children’s futures must protect the everyday conditions </w:t>
      </w:r>
      <w:r w:rsidRPr="00274FCA">
        <w:rPr>
          <w:rFonts w:ascii="Calibri" w:hAnsi="Calibri" w:cs="Calibri"/>
          <w:i/>
          <w:iCs/>
          <w:sz w:val="22"/>
          <w:szCs w:val="22"/>
        </w:rPr>
        <w:t xml:space="preserve">in which </w:t>
      </w:r>
      <w:r w:rsidRPr="00274FCA">
        <w:rPr>
          <w:rFonts w:ascii="Calibri" w:hAnsi="Calibri" w:cs="Calibri"/>
          <w:i/>
          <w:iCs/>
          <w:sz w:val="22"/>
          <w:szCs w:val="22"/>
        </w:rPr>
        <w:t>children need to learn, move, play, belong, participate and flourish.</w:t>
      </w:r>
    </w:p>
    <w:p w:rsidR="00133775" w:rsidRPr="00274FCA" w:rsidP="00367440">
      <w:pPr>
        <w:spacing w:after="60" w:line="276" w:lineRule="auto"/>
        <w:jc w:val="both"/>
        <w:rPr>
          <w:rFonts w:ascii="Calibri" w:hAnsi="Calibri" w:cs="Calibri"/>
          <w:sz w:val="22"/>
          <w:szCs w:val="22"/>
        </w:rPr>
      </w:pP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This submission</w:t>
      </w:r>
      <w:r w:rsidRPr="00274FCA">
        <w:rPr>
          <w:rFonts w:ascii="Calibri" w:hAnsi="Calibri" w:cs="Calibri"/>
          <w:sz w:val="22"/>
          <w:szCs w:val="22"/>
        </w:rPr>
        <w:t xml:space="preserve"> relates primarily to the </w:t>
      </w:r>
      <w:r w:rsidRPr="00274FCA">
        <w:rPr>
          <w:rFonts w:ascii="Calibri" w:hAnsi="Calibri" w:cs="Calibri"/>
          <w:sz w:val="22"/>
          <w:szCs w:val="22"/>
        </w:rPr>
        <w:t xml:space="preserve">Committee’s </w:t>
      </w:r>
      <w:r w:rsidRPr="00274FCA">
        <w:rPr>
          <w:rFonts w:ascii="Calibri" w:hAnsi="Calibri" w:cs="Calibri"/>
          <w:sz w:val="22"/>
          <w:szCs w:val="22"/>
        </w:rPr>
        <w:t xml:space="preserve">questions on </w:t>
      </w:r>
      <w:r w:rsidRPr="00274FCA">
        <w:rPr>
          <w:rFonts w:ascii="Calibri" w:hAnsi="Calibri" w:cs="Calibri"/>
          <w:sz w:val="22"/>
          <w:szCs w:val="22"/>
        </w:rPr>
        <w:t>raising attainment, improving attendance, enrichment and belonging, reducing disadvantage gaps</w:t>
      </w:r>
      <w:r w:rsidRPr="00274FCA">
        <w:rPr>
          <w:rFonts w:ascii="Calibri" w:hAnsi="Calibri" w:cs="Calibri"/>
          <w:sz w:val="22"/>
          <w:szCs w:val="22"/>
        </w:rPr>
        <w:t>, workforce support</w:t>
      </w:r>
      <w:r w:rsidRPr="00274FCA">
        <w:rPr>
          <w:rFonts w:ascii="Calibri" w:hAnsi="Calibri" w:cs="Calibri"/>
          <w:sz w:val="22"/>
          <w:szCs w:val="22"/>
        </w:rPr>
        <w:t xml:space="preserve"> and</w:t>
      </w:r>
      <w:r w:rsidRPr="00274FCA">
        <w:rPr>
          <w:rFonts w:ascii="Calibri" w:hAnsi="Calibri" w:cs="Calibri"/>
          <w:sz w:val="22"/>
          <w:szCs w:val="22"/>
        </w:rPr>
        <w:t xml:space="preserve"> wider Government policy</w:t>
      </w:r>
      <w:r w:rsidRPr="00274FCA">
        <w:rPr>
          <w:rFonts w:ascii="Calibri" w:hAnsi="Calibri" w:cs="Calibri"/>
          <w:sz w:val="22"/>
          <w:szCs w:val="22"/>
        </w:rPr>
        <w:t>.</w:t>
      </w:r>
      <w:r w:rsidRPr="00274FCA">
        <w:rPr>
          <w:rFonts w:ascii="Calibri" w:hAnsi="Calibri" w:cs="Calibri"/>
          <w:sz w:val="22"/>
          <w:szCs w:val="22"/>
        </w:rPr>
        <w:t xml:space="preserve"> </w:t>
      </w:r>
      <w:r w:rsidRPr="00274FCA">
        <w:rPr>
          <w:rFonts w:ascii="Calibri" w:hAnsi="Calibri" w:cs="Calibri"/>
          <w:sz w:val="22"/>
          <w:szCs w:val="22"/>
        </w:rPr>
        <w:t>We</w:t>
      </w:r>
      <w:r w:rsidRPr="00274FCA">
        <w:rPr>
          <w:rFonts w:ascii="Calibri" w:hAnsi="Calibri" w:cs="Calibri"/>
          <w:sz w:val="22"/>
          <w:szCs w:val="22"/>
        </w:rPr>
        <w:t xml:space="preserve"> draw on research and practice in children’s geographies, climate and environmental education, adaptation and participatory methods. This includes participatory </w:t>
      </w:r>
      <w:r w:rsidRPr="00274FCA">
        <w:rPr>
          <w:rFonts w:ascii="Calibri" w:hAnsi="Calibri" w:cs="Calibri"/>
          <w:sz w:val="22"/>
          <w:szCs w:val="22"/>
        </w:rPr>
        <w:t>work with children and young people in flood-affected, coastal and climate-impacted communities</w:t>
      </w:r>
      <w:r w:rsidRPr="00274FCA">
        <w:rPr>
          <w:rFonts w:ascii="Calibri" w:hAnsi="Calibri" w:cs="Calibri"/>
          <w:sz w:val="22"/>
          <w:szCs w:val="22"/>
        </w:rPr>
        <w:t xml:space="preserve"> through projects including Children Weathering Change, INSECURE, Flood Stories, </w:t>
      </w:r>
      <w:r w:rsidRPr="00274FCA">
        <w:rPr>
          <w:rFonts w:ascii="Calibri" w:hAnsi="Calibri" w:cs="Calibri"/>
          <w:sz w:val="22"/>
          <w:szCs w:val="22"/>
        </w:rPr>
        <w:t>Reimagining</w:t>
      </w:r>
      <w:r w:rsidRPr="00274FCA">
        <w:rPr>
          <w:rFonts w:ascii="Calibri" w:hAnsi="Calibri" w:cs="Calibri"/>
          <w:sz w:val="22"/>
          <w:szCs w:val="22"/>
        </w:rPr>
        <w:t xml:space="preserve"> Rivers and Creative Conversations</w:t>
      </w:r>
      <w:r w:rsidRPr="00274FCA">
        <w:rPr>
          <w:rFonts w:ascii="Calibri" w:hAnsi="Calibri" w:cs="Calibri"/>
          <w:sz w:val="22"/>
          <w:szCs w:val="22"/>
        </w:rPr>
        <w:t xml:space="preserve"> conducted in partnership with schools</w:t>
      </w:r>
      <w:r w:rsidRPr="00274FCA">
        <w:rPr>
          <w:rFonts w:ascii="Calibri" w:hAnsi="Calibri" w:cs="Calibri"/>
          <w:sz w:val="22"/>
          <w:szCs w:val="22"/>
        </w:rPr>
        <w:t>, local government and the Environment Agency.</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Our work has involved:</w:t>
      </w:r>
    </w:p>
    <w:p w:rsidR="00133775" w:rsidRPr="00274FCA" w:rsidP="00367440">
      <w:pPr>
        <w:pStyle w:val="ListParagraph"/>
        <w:numPr>
          <w:ilvl w:val="0"/>
          <w:numId w:val="5"/>
        </w:numPr>
        <w:spacing w:after="60" w:line="276" w:lineRule="auto"/>
        <w:jc w:val="both"/>
        <w:rPr>
          <w:rFonts w:ascii="Calibri" w:hAnsi="Calibri" w:cs="Calibri"/>
          <w:sz w:val="22"/>
          <w:szCs w:val="22"/>
        </w:rPr>
      </w:pPr>
      <w:r w:rsidRPr="00274FCA">
        <w:rPr>
          <w:rFonts w:ascii="Calibri" w:hAnsi="Calibri" w:cs="Calibri"/>
          <w:sz w:val="22"/>
          <w:szCs w:val="22"/>
        </w:rPr>
        <w:t>Participatory, creative and place-based research with children and young people experiencing flooding, coastal change, environmental loss and disrupted outdoor life.</w:t>
      </w:r>
    </w:p>
    <w:p w:rsidR="00133775" w:rsidRPr="00274FCA" w:rsidP="00367440">
      <w:pPr>
        <w:pStyle w:val="ListParagraph"/>
        <w:numPr>
          <w:ilvl w:val="0"/>
          <w:numId w:val="5"/>
        </w:numPr>
        <w:spacing w:after="60" w:line="276" w:lineRule="auto"/>
        <w:jc w:val="both"/>
        <w:rPr>
          <w:rFonts w:ascii="Calibri" w:hAnsi="Calibri" w:cs="Calibri"/>
          <w:sz w:val="22"/>
          <w:szCs w:val="22"/>
        </w:rPr>
      </w:pPr>
      <w:r w:rsidRPr="00274FCA">
        <w:rPr>
          <w:rFonts w:ascii="Calibri" w:hAnsi="Calibri" w:cs="Calibri"/>
          <w:sz w:val="22"/>
          <w:szCs w:val="22"/>
        </w:rPr>
        <w:t>Development of child-centred climate and flood education approaches, including immersive storytelling, intergenerational dialogue, creative workshops and school-based resources.</w:t>
      </w:r>
    </w:p>
    <w:p w:rsidR="00133775" w:rsidRPr="00274FCA" w:rsidP="00367440">
      <w:pPr>
        <w:pStyle w:val="ListParagraph"/>
        <w:numPr>
          <w:ilvl w:val="0"/>
          <w:numId w:val="5"/>
        </w:numPr>
        <w:spacing w:after="60" w:line="276" w:lineRule="auto"/>
        <w:jc w:val="both"/>
        <w:rPr>
          <w:rFonts w:ascii="Calibri" w:hAnsi="Calibri" w:cs="Calibri"/>
          <w:sz w:val="22"/>
          <w:szCs w:val="22"/>
        </w:rPr>
      </w:pPr>
      <w:r w:rsidRPr="00274FCA">
        <w:rPr>
          <w:rFonts w:ascii="Calibri" w:hAnsi="Calibri" w:cs="Calibri"/>
          <w:sz w:val="22"/>
          <w:szCs w:val="22"/>
        </w:rPr>
        <w:t>Conceptual work on flood and climate pedagogies, arguing that risk education should not be limited to awareness-raising or one-way communication, but should support agency, belonging, dialogue and action</w:t>
      </w:r>
      <w:r w:rsidRPr="00274FCA">
        <w:rPr>
          <w:rFonts w:ascii="Calibri" w:hAnsi="Calibri" w:cs="Calibri"/>
          <w:sz w:val="22"/>
          <w:szCs w:val="22"/>
        </w:rPr>
        <w:t xml:space="preserve"> [8].</w:t>
      </w:r>
    </w:p>
    <w:p w:rsidR="00133775" w:rsidRPr="00274FCA" w:rsidP="00367440">
      <w:pPr>
        <w:spacing w:after="60" w:line="276" w:lineRule="auto"/>
        <w:jc w:val="both"/>
        <w:rPr>
          <w:rFonts w:ascii="Calibri" w:hAnsi="Calibri" w:cs="Calibri"/>
          <w:sz w:val="22"/>
          <w:szCs w:val="22"/>
        </w:rPr>
      </w:pPr>
    </w:p>
    <w:p w:rsidR="00133775" w:rsidRPr="00274FCA" w:rsidP="00367440">
      <w:pPr>
        <w:spacing w:after="60" w:line="276" w:lineRule="auto"/>
        <w:jc w:val="both"/>
        <w:rPr>
          <w:rFonts w:ascii="Calibri" w:hAnsi="Calibri" w:cs="Calibri"/>
          <w:b/>
          <w:bCs/>
          <w:sz w:val="22"/>
          <w:szCs w:val="22"/>
        </w:rPr>
      </w:pPr>
      <w:r w:rsidRPr="00274FCA">
        <w:rPr>
          <w:rFonts w:ascii="Calibri" w:hAnsi="Calibri" w:cs="Calibri"/>
          <w:b/>
          <w:bCs/>
          <w:sz w:val="22"/>
          <w:szCs w:val="22"/>
        </w:rPr>
        <w:t>Raising attainment and reducing disadvantage gaps</w:t>
      </w:r>
      <w:r w:rsidRPr="00274FCA">
        <w:rPr>
          <w:rFonts w:ascii="Calibri" w:hAnsi="Calibri" w:cs="Calibri"/>
          <w:b/>
          <w:bCs/>
          <w:sz w:val="22"/>
          <w:szCs w:val="22"/>
        </w:rPr>
        <w:t xml:space="preserve"> </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 xml:space="preserve">The White Paper’s ambition to raise attainment and reduce disadvantage is welcome. However, attainment cannot be separated from the environmental conditions in which children are now </w:t>
      </w:r>
      <w:r w:rsidRPr="00274FCA">
        <w:rPr>
          <w:rFonts w:ascii="Calibri" w:hAnsi="Calibri" w:cs="Calibri"/>
          <w:sz w:val="22"/>
          <w:szCs w:val="22"/>
        </w:rPr>
        <w:t>learning</w:t>
      </w:r>
      <w:r w:rsidRPr="00274FCA">
        <w:rPr>
          <w:rFonts w:ascii="Calibri" w:hAnsi="Calibri" w:cs="Calibri"/>
          <w:sz w:val="22"/>
          <w:szCs w:val="22"/>
        </w:rPr>
        <w:t xml:space="preserve"> and </w:t>
      </w:r>
      <w:r w:rsidRPr="00274FCA">
        <w:rPr>
          <w:rFonts w:ascii="Calibri" w:hAnsi="Calibri" w:cs="Calibri"/>
          <w:sz w:val="22"/>
          <w:szCs w:val="22"/>
        </w:rPr>
        <w:t>socio-emotional skills are also shaped by the learning environment</w:t>
      </w:r>
      <w:r w:rsidRPr="00274FCA">
        <w:rPr>
          <w:rFonts w:ascii="Calibri" w:hAnsi="Calibri" w:cs="Calibri"/>
          <w:sz w:val="22"/>
          <w:szCs w:val="22"/>
        </w:rPr>
        <w:t xml:space="preserve"> [2, 9]</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Climate change is often discussed as a future risk, but children already experience it through everyday disruption: a playing field that cannot be used because it is waterlogged; PE or grassroots sport cancelled because conditions are unsafe; outdoor learning withdrawn because of heat; children kept indoors at break; local parks inaccessible after flooding; shaded space unavailable during heatwaves; school trips cancelled; or anxiety about coastal erosion, flood risk or damage to familiar places</w:t>
      </w:r>
      <w:r w:rsidRPr="00274FCA">
        <w:rPr>
          <w:rFonts w:ascii="Calibri" w:hAnsi="Calibri" w:cs="Calibri"/>
          <w:sz w:val="22"/>
          <w:szCs w:val="22"/>
        </w:rPr>
        <w:t xml:space="preserve"> [1, 2, 3, 5]</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These are not minor inconveniences. Taken cumulatively, they reduce children’s opportunities to move, play, socialise, explore, build confidence, learn outdoors and feel connected to school. They also affect the “essential skills” often associated with thriving: communication, collaboration, problem-solving, care, environmental understanding and civic participation</w:t>
      </w:r>
      <w:r w:rsidRPr="00274FCA">
        <w:rPr>
          <w:rFonts w:ascii="Calibri" w:hAnsi="Calibri" w:cs="Calibri"/>
          <w:sz w:val="22"/>
          <w:szCs w:val="22"/>
        </w:rPr>
        <w:t xml:space="preserve"> [4, 9]</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The impacts are not evenly shared</w:t>
      </w:r>
      <w:r w:rsidRPr="00274FCA">
        <w:rPr>
          <w:rFonts w:ascii="Calibri" w:hAnsi="Calibri" w:cs="Calibri"/>
          <w:sz w:val="22"/>
          <w:szCs w:val="22"/>
        </w:rPr>
        <w:t xml:space="preserve"> [2, 4]</w:t>
      </w:r>
      <w:r w:rsidRPr="00274FCA">
        <w:rPr>
          <w:rFonts w:ascii="Calibri" w:hAnsi="Calibri" w:cs="Calibri"/>
          <w:sz w:val="22"/>
          <w:szCs w:val="22"/>
        </w:rPr>
        <w:t xml:space="preserve">. Some families have gardens, cars, shaded spaces, flexible work, insurance, cooling options and </w:t>
      </w:r>
      <w:r w:rsidRPr="00274FCA">
        <w:rPr>
          <w:rFonts w:ascii="Calibri" w:hAnsi="Calibri" w:cs="Calibri"/>
          <w:sz w:val="22"/>
          <w:szCs w:val="22"/>
        </w:rPr>
        <w:t xml:space="preserve">access </w:t>
      </w:r>
      <w:r w:rsidRPr="00274FCA">
        <w:rPr>
          <w:rFonts w:ascii="Calibri" w:hAnsi="Calibri" w:cs="Calibri"/>
          <w:sz w:val="22"/>
          <w:szCs w:val="22"/>
        </w:rPr>
        <w:t xml:space="preserve">to </w:t>
      </w:r>
      <w:r w:rsidRPr="00274FCA">
        <w:rPr>
          <w:rFonts w:ascii="Calibri" w:hAnsi="Calibri" w:cs="Calibri"/>
          <w:sz w:val="22"/>
          <w:szCs w:val="22"/>
        </w:rPr>
        <w:t xml:space="preserve">alternative activities. Some schools can move sport indoors, repair flood damage quickly, provide shade or access alternative facilities. Others cannot. This produces what </w:t>
      </w:r>
      <w:r w:rsidRPr="00274FCA">
        <w:rPr>
          <w:rFonts w:ascii="Calibri" w:hAnsi="Calibri" w:cs="Calibri"/>
          <w:sz w:val="22"/>
          <w:szCs w:val="22"/>
        </w:rPr>
        <w:t>we</w:t>
      </w:r>
      <w:r w:rsidRPr="00274FCA">
        <w:rPr>
          <w:rFonts w:ascii="Calibri" w:hAnsi="Calibri" w:cs="Calibri"/>
          <w:sz w:val="22"/>
          <w:szCs w:val="22"/>
        </w:rPr>
        <w:t xml:space="preserve"> describe as missed opportunity inequality: repeated loss of the ordinary experiences through which children develop confidence, relationships, health, independence and belonging.</w:t>
      </w:r>
    </w:p>
    <w:p w:rsidR="00133775" w:rsidRPr="00274FCA" w:rsidP="00367440">
      <w:pPr>
        <w:spacing w:after="60" w:line="276" w:lineRule="auto"/>
        <w:jc w:val="both"/>
        <w:rPr>
          <w:rFonts w:ascii="Calibri" w:hAnsi="Calibri" w:cs="Calibri"/>
          <w:sz w:val="22"/>
          <w:szCs w:val="22"/>
        </w:rPr>
      </w:pPr>
      <w:r w:rsidRPr="00274FCA">
        <w:rPr>
          <w:rFonts w:ascii="Calibri" w:hAnsi="Calibri" w:cs="Calibri"/>
          <w:b/>
          <w:bCs/>
          <w:i/>
          <w:iCs/>
          <w:sz w:val="22"/>
          <w:szCs w:val="22"/>
        </w:rPr>
        <w:t>Recommendation</w:t>
      </w:r>
      <w:r w:rsidRPr="00274FCA">
        <w:rPr>
          <w:rFonts w:ascii="Calibri" w:hAnsi="Calibri" w:cs="Calibri"/>
          <w:b/>
          <w:bCs/>
          <w:sz w:val="22"/>
          <w:szCs w:val="22"/>
        </w:rPr>
        <w:t xml:space="preserve">: </w:t>
      </w:r>
      <w:r w:rsidRPr="00274FCA">
        <w:rPr>
          <w:rFonts w:ascii="Calibri" w:hAnsi="Calibri" w:cs="Calibri"/>
          <w:sz w:val="22"/>
          <w:szCs w:val="22"/>
        </w:rPr>
        <w:t>Disadvantage policy should recognise local climate and environmental barriers to participation, not only classroom-based interventions. Pupil premium strategy reviews and place-based programmes should allow schools to consider whether flooding, heat, poor air quality, lack of shade, unsafe routes or limited outdoor space are reducing children’s ability to attend, participate and thrive</w:t>
      </w:r>
      <w:r w:rsidRPr="00274FCA">
        <w:rPr>
          <w:rFonts w:ascii="Calibri" w:hAnsi="Calibri" w:cs="Calibri"/>
          <w:sz w:val="22"/>
          <w:szCs w:val="22"/>
        </w:rPr>
        <w:t xml:space="preserve"> [1, 2, 3]</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b/>
          <w:bCs/>
          <w:sz w:val="22"/>
          <w:szCs w:val="22"/>
        </w:rPr>
      </w:pPr>
    </w:p>
    <w:p w:rsidR="00133775" w:rsidRPr="00274FCA" w:rsidP="00367440">
      <w:pPr>
        <w:spacing w:after="60" w:line="276" w:lineRule="auto"/>
        <w:jc w:val="both"/>
        <w:rPr>
          <w:rFonts w:ascii="Calibri" w:hAnsi="Calibri" w:cs="Calibri"/>
          <w:b/>
          <w:bCs/>
          <w:sz w:val="22"/>
          <w:szCs w:val="22"/>
        </w:rPr>
      </w:pPr>
      <w:r w:rsidRPr="00274FCA">
        <w:rPr>
          <w:rFonts w:ascii="Calibri" w:hAnsi="Calibri" w:cs="Calibri"/>
          <w:b/>
          <w:bCs/>
          <w:sz w:val="22"/>
          <w:szCs w:val="22"/>
        </w:rPr>
        <w:t>Improving attendance</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Persistent absence should not be understood only as a matter of parental responsibility, pupil motivation or school behaviour systems. Climate-related disruption can interact with existing barriers to attendance.</w:t>
      </w:r>
      <w:r w:rsidRPr="00274FCA">
        <w:rPr>
          <w:rFonts w:ascii="Calibri" w:hAnsi="Calibri" w:cs="Calibri"/>
          <w:sz w:val="22"/>
          <w:szCs w:val="22"/>
        </w:rPr>
        <w:t xml:space="preserve"> For example, f</w:t>
      </w:r>
      <w:r w:rsidRPr="00274FCA">
        <w:rPr>
          <w:rFonts w:ascii="Calibri" w:hAnsi="Calibri" w:cs="Calibri"/>
          <w:sz w:val="22"/>
          <w:szCs w:val="22"/>
        </w:rPr>
        <w:t>looding can make routes to school unsafe or unreliable</w:t>
      </w:r>
      <w:r w:rsidRPr="00274FCA">
        <w:rPr>
          <w:rFonts w:ascii="Calibri" w:hAnsi="Calibri" w:cs="Calibri"/>
          <w:sz w:val="22"/>
          <w:szCs w:val="22"/>
        </w:rPr>
        <w:t xml:space="preserve"> [5]</w:t>
      </w:r>
      <w:r w:rsidRPr="00274FCA">
        <w:rPr>
          <w:rFonts w:ascii="Calibri" w:hAnsi="Calibri" w:cs="Calibri"/>
          <w:sz w:val="22"/>
          <w:szCs w:val="22"/>
        </w:rPr>
        <w:t>. Extreme heat can affect sleep, concentration, transport, physical health and family routines. Poor air quality can restrict outdoor activity and worsen respiratory conditions</w:t>
      </w:r>
      <w:r w:rsidRPr="00274FCA">
        <w:rPr>
          <w:rFonts w:ascii="Calibri" w:hAnsi="Calibri" w:cs="Calibri"/>
          <w:sz w:val="22"/>
          <w:szCs w:val="22"/>
        </w:rPr>
        <w:t xml:space="preserve"> [2, 3]</w:t>
      </w:r>
      <w:r w:rsidRPr="00274FCA">
        <w:rPr>
          <w:rFonts w:ascii="Calibri" w:hAnsi="Calibri" w:cs="Calibri"/>
          <w:sz w:val="22"/>
          <w:szCs w:val="22"/>
        </w:rPr>
        <w:t>. Children living in insecure housing, overcrowded homes, overheated buildings, flood-affected areas or neighbourhoods with limited green space may find it harder to recover from disruption.</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For some children, absence may also be linked to anxiety, distress or loss</w:t>
      </w:r>
      <w:r w:rsidRPr="00274FCA">
        <w:rPr>
          <w:rFonts w:ascii="Calibri" w:hAnsi="Calibri" w:cs="Calibri"/>
          <w:sz w:val="22"/>
          <w:szCs w:val="22"/>
        </w:rPr>
        <w:t xml:space="preserve"> </w:t>
      </w:r>
      <w:r w:rsidRPr="00274FCA">
        <w:rPr>
          <w:rFonts w:ascii="Calibri" w:hAnsi="Calibri" w:cs="Calibri"/>
          <w:sz w:val="22"/>
          <w:szCs w:val="22"/>
        </w:rPr>
        <w:t>after environmental events</w:t>
      </w:r>
      <w:r w:rsidRPr="00274FCA">
        <w:rPr>
          <w:rFonts w:ascii="Calibri" w:hAnsi="Calibri" w:cs="Calibri"/>
          <w:sz w:val="22"/>
          <w:szCs w:val="22"/>
        </w:rPr>
        <w:t xml:space="preserve"> </w:t>
      </w:r>
      <w:r w:rsidRPr="00274FCA">
        <w:rPr>
          <w:rFonts w:ascii="Calibri" w:hAnsi="Calibri" w:cs="Calibri"/>
          <w:sz w:val="22"/>
          <w:szCs w:val="22"/>
        </w:rPr>
        <w:t>[</w:t>
      </w:r>
      <w:r w:rsidRPr="00274FCA">
        <w:rPr>
          <w:rFonts w:ascii="Calibri" w:hAnsi="Calibri" w:cs="Calibri"/>
          <w:sz w:val="22"/>
          <w:szCs w:val="22"/>
        </w:rPr>
        <w:t>6, 7</w:t>
      </w:r>
      <w:r w:rsidRPr="00274FCA">
        <w:rPr>
          <w:rFonts w:ascii="Calibri" w:hAnsi="Calibri" w:cs="Calibri"/>
          <w:sz w:val="22"/>
          <w:szCs w:val="22"/>
        </w:rPr>
        <w:t>].</w:t>
      </w:r>
      <w:r w:rsidRPr="00274FCA">
        <w:rPr>
          <w:rFonts w:ascii="Calibri" w:hAnsi="Calibri" w:cs="Calibri"/>
          <w:sz w:val="22"/>
          <w:szCs w:val="22"/>
        </w:rPr>
        <w:t xml:space="preserve"> Flooding can affect homes, belongings, family finances, transport, community spaces and children’s sense of security</w:t>
      </w:r>
      <w:r w:rsidRPr="00274FCA">
        <w:rPr>
          <w:rFonts w:ascii="Calibri" w:hAnsi="Calibri" w:cs="Calibri"/>
          <w:sz w:val="22"/>
          <w:szCs w:val="22"/>
        </w:rPr>
        <w:t xml:space="preserve"> [6]</w:t>
      </w:r>
      <w:r w:rsidRPr="00274FCA">
        <w:rPr>
          <w:rFonts w:ascii="Calibri" w:hAnsi="Calibri" w:cs="Calibri"/>
          <w:sz w:val="22"/>
          <w:szCs w:val="22"/>
        </w:rPr>
        <w:t xml:space="preserve">. Coastal change can </w:t>
      </w:r>
      <w:r w:rsidRPr="00274FCA">
        <w:rPr>
          <w:rFonts w:ascii="Calibri" w:hAnsi="Calibri" w:cs="Calibri"/>
          <w:sz w:val="22"/>
          <w:szCs w:val="22"/>
        </w:rPr>
        <w:t xml:space="preserve">also </w:t>
      </w:r>
      <w:r w:rsidRPr="00274FCA">
        <w:rPr>
          <w:rFonts w:ascii="Calibri" w:hAnsi="Calibri" w:cs="Calibri"/>
          <w:sz w:val="22"/>
          <w:szCs w:val="22"/>
        </w:rPr>
        <w:t>create uncertainty about the future of places, schools and communities</w:t>
      </w:r>
      <w:r w:rsidRPr="00274FCA">
        <w:rPr>
          <w:rFonts w:ascii="Calibri" w:hAnsi="Calibri" w:cs="Calibri"/>
          <w:sz w:val="22"/>
          <w:szCs w:val="22"/>
        </w:rPr>
        <w:t xml:space="preserve"> [5]</w:t>
      </w:r>
      <w:r w:rsidRPr="00274FCA">
        <w:rPr>
          <w:rFonts w:ascii="Calibri" w:hAnsi="Calibri" w:cs="Calibri"/>
          <w:sz w:val="22"/>
          <w:szCs w:val="22"/>
        </w:rPr>
        <w:t>. Heatwaves can disrupt sleep and make classrooms uncomfortable or difficult to learn in</w:t>
      </w:r>
      <w:r w:rsidRPr="00274FCA">
        <w:rPr>
          <w:rFonts w:ascii="Calibri" w:hAnsi="Calibri" w:cs="Calibri"/>
          <w:sz w:val="22"/>
          <w:szCs w:val="22"/>
        </w:rPr>
        <w:t xml:space="preserve"> [3]</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 xml:space="preserve">Schools cannot solve these issues alone. Attendance is vital because schools do far more than </w:t>
      </w:r>
      <w:r w:rsidRPr="00274FCA">
        <w:rPr>
          <w:rFonts w:ascii="Calibri" w:hAnsi="Calibri" w:cs="Calibri"/>
          <w:sz w:val="22"/>
          <w:szCs w:val="22"/>
        </w:rPr>
        <w:t>educate:</w:t>
      </w:r>
      <w:r w:rsidRPr="00274FCA">
        <w:rPr>
          <w:rFonts w:ascii="Calibri" w:hAnsi="Calibri" w:cs="Calibri"/>
          <w:sz w:val="22"/>
          <w:szCs w:val="22"/>
        </w:rPr>
        <w:t xml:space="preserve"> they safeguard children’s wellbeing, provide free school meals for children from low-income families, create opportunities for structured social interaction, and connect children and families with wider sources of support. Attendance policy must therefore link schools effectively with local authorities, public health, transport, housing, youth services, environmental agencies and community organisations.</w:t>
      </w:r>
    </w:p>
    <w:p w:rsidR="00133775" w:rsidRPr="00274FCA" w:rsidP="00367440">
      <w:pPr>
        <w:spacing w:after="60" w:line="276" w:lineRule="auto"/>
        <w:jc w:val="both"/>
        <w:rPr>
          <w:rFonts w:ascii="Calibri" w:hAnsi="Calibri" w:cs="Calibri"/>
          <w:sz w:val="22"/>
          <w:szCs w:val="22"/>
        </w:rPr>
      </w:pPr>
      <w:r w:rsidRPr="00274FCA">
        <w:rPr>
          <w:rFonts w:ascii="Calibri" w:hAnsi="Calibri" w:cs="Calibri"/>
          <w:b/>
          <w:bCs/>
          <w:i/>
          <w:iCs/>
          <w:sz w:val="22"/>
          <w:szCs w:val="22"/>
        </w:rPr>
        <w:t>Recommendation</w:t>
      </w:r>
      <w:r w:rsidRPr="00274FCA">
        <w:rPr>
          <w:rFonts w:ascii="Calibri" w:hAnsi="Calibri" w:cs="Calibri"/>
          <w:sz w:val="22"/>
          <w:szCs w:val="22"/>
        </w:rPr>
        <w:t>:</w:t>
      </w:r>
      <w:r w:rsidRPr="00274FCA">
        <w:rPr>
          <w:rFonts w:ascii="Calibri" w:hAnsi="Calibri" w:cs="Calibri"/>
          <w:sz w:val="22"/>
          <w:szCs w:val="22"/>
        </w:rPr>
        <w:t xml:space="preserve"> The Department for Education should issue guidance to schools to incorporate climate-related barriers into existing attendance and </w:t>
      </w:r>
      <w:r w:rsidRPr="00274FCA">
        <w:rPr>
          <w:rFonts w:ascii="Calibri" w:hAnsi="Calibri" w:cs="Calibri"/>
          <w:sz w:val="22"/>
          <w:szCs w:val="22"/>
        </w:rPr>
        <w:t>participation</w:t>
      </w:r>
      <w:r w:rsidRPr="00274FCA">
        <w:rPr>
          <w:rFonts w:ascii="Calibri" w:hAnsi="Calibri" w:cs="Calibri"/>
          <w:sz w:val="22"/>
          <w:szCs w:val="22"/>
        </w:rPr>
        <w:t xml:space="preserve"> </w:t>
      </w:r>
      <w:r w:rsidRPr="00274FCA">
        <w:rPr>
          <w:rFonts w:ascii="Calibri" w:hAnsi="Calibri" w:cs="Calibri"/>
          <w:sz w:val="22"/>
          <w:szCs w:val="22"/>
        </w:rPr>
        <w:t>policies</w:t>
      </w:r>
      <w:r w:rsidRPr="00274FCA">
        <w:rPr>
          <w:rFonts w:ascii="Calibri" w:hAnsi="Calibri" w:cs="Calibri"/>
          <w:sz w:val="22"/>
          <w:szCs w:val="22"/>
        </w:rPr>
        <w:t>. Reintegration support should be relational, practical and child-centred, especially where children have experienced flooding, displacement, heat stress, anxiety or disruption to family and community life</w:t>
      </w:r>
      <w:r w:rsidRPr="00274FCA">
        <w:rPr>
          <w:rFonts w:ascii="Calibri" w:hAnsi="Calibri" w:cs="Calibri"/>
          <w:sz w:val="22"/>
          <w:szCs w:val="22"/>
        </w:rPr>
        <w:t xml:space="preserve"> [3, 6, 7]</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p>
    <w:p w:rsidR="00133775" w:rsidRPr="00274FCA" w:rsidP="00367440">
      <w:pPr>
        <w:spacing w:after="60" w:line="276" w:lineRule="auto"/>
        <w:jc w:val="both"/>
        <w:rPr>
          <w:rFonts w:ascii="Calibri" w:hAnsi="Calibri" w:cs="Calibri"/>
          <w:b/>
          <w:bCs/>
          <w:sz w:val="22"/>
          <w:szCs w:val="22"/>
        </w:rPr>
      </w:pPr>
      <w:r w:rsidRPr="00274FCA">
        <w:rPr>
          <w:rFonts w:ascii="Calibri" w:hAnsi="Calibri" w:cs="Calibri"/>
          <w:b/>
          <w:bCs/>
          <w:sz w:val="22"/>
          <w:szCs w:val="22"/>
        </w:rPr>
        <w:t>Enrichment, belonging and behaviour</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 xml:space="preserve">Enrichment activities, including outdoor learning, sport, arts, civic engagement and community-based activities, are central to children’s wellbeing and educational experience. They support confidence, </w:t>
      </w:r>
      <w:r w:rsidRPr="00274FCA">
        <w:rPr>
          <w:rFonts w:ascii="Calibri" w:hAnsi="Calibri" w:cs="Calibri"/>
          <w:sz w:val="22"/>
          <w:szCs w:val="22"/>
        </w:rPr>
        <w:t xml:space="preserve">wellbeing, </w:t>
      </w:r>
      <w:r w:rsidRPr="00274FCA">
        <w:rPr>
          <w:rFonts w:ascii="Calibri" w:hAnsi="Calibri" w:cs="Calibri"/>
          <w:sz w:val="22"/>
          <w:szCs w:val="22"/>
        </w:rPr>
        <w:t>relationships, identity, agency and belonging</w:t>
      </w:r>
      <w:r w:rsidRPr="00274FCA">
        <w:rPr>
          <w:rFonts w:ascii="Calibri" w:hAnsi="Calibri" w:cs="Calibri"/>
          <w:sz w:val="22"/>
          <w:szCs w:val="22"/>
        </w:rPr>
        <w:t xml:space="preserve"> [4, 9, 10]</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However, climate change is already affecting access to enrichment. Outdoor play and sport are increasingly disrupted by waterlogged grounds, flooding, unsafe heat, poor air quality and weather-related damage to local spaces</w:t>
      </w:r>
      <w:r w:rsidRPr="00274FCA">
        <w:rPr>
          <w:rFonts w:ascii="Calibri" w:hAnsi="Calibri" w:cs="Calibri"/>
          <w:sz w:val="22"/>
          <w:szCs w:val="22"/>
        </w:rPr>
        <w:t xml:space="preserve"> [1, 2, 3, 5]</w:t>
      </w:r>
      <w:r w:rsidRPr="00274FCA">
        <w:rPr>
          <w:rFonts w:ascii="Calibri" w:hAnsi="Calibri" w:cs="Calibri"/>
          <w:sz w:val="22"/>
          <w:szCs w:val="22"/>
        </w:rPr>
        <w:t>. These disruptions are often treated as temporary, but for children they can mean repeated losses of movement, friendship, confidence and joy</w:t>
      </w:r>
      <w:r w:rsidRPr="00274FCA">
        <w:rPr>
          <w:rFonts w:ascii="Calibri" w:hAnsi="Calibri" w:cs="Calibri"/>
          <w:sz w:val="22"/>
          <w:szCs w:val="22"/>
        </w:rPr>
        <w:t xml:space="preserve"> – impacting</w:t>
      </w:r>
      <w:r w:rsidRPr="00274FCA">
        <w:rPr>
          <w:rFonts w:ascii="Calibri" w:hAnsi="Calibri" w:cs="Calibri"/>
          <w:sz w:val="22"/>
          <w:szCs w:val="22"/>
        </w:rPr>
        <w:t xml:space="preserve"> the five key areas of child development</w:t>
      </w:r>
      <w:r w:rsidRPr="00274FCA">
        <w:rPr>
          <w:rFonts w:ascii="Calibri" w:hAnsi="Calibri" w:cs="Calibri"/>
          <w:sz w:val="22"/>
          <w:szCs w:val="22"/>
        </w:rPr>
        <w:t xml:space="preserve"> </w:t>
      </w:r>
      <w:r w:rsidRPr="00274FCA">
        <w:rPr>
          <w:rFonts w:ascii="Calibri" w:hAnsi="Calibri" w:cs="Calibri"/>
          <w:sz w:val="22"/>
          <w:szCs w:val="22"/>
        </w:rPr>
        <w:t>(</w:t>
      </w:r>
      <w:r w:rsidRPr="00274FCA">
        <w:rPr>
          <w:rFonts w:ascii="Calibri" w:hAnsi="Calibri" w:cs="Calibri"/>
          <w:sz w:val="22"/>
          <w:szCs w:val="22"/>
        </w:rPr>
        <w:t>social, emotional, language</w:t>
      </w:r>
      <w:r w:rsidRPr="00274FCA">
        <w:rPr>
          <w:rFonts w:ascii="Calibri" w:hAnsi="Calibri" w:cs="Calibri"/>
          <w:sz w:val="22"/>
          <w:szCs w:val="22"/>
        </w:rPr>
        <w:t>, physical and cognitive development</w:t>
      </w:r>
      <w:r w:rsidRPr="00274FCA">
        <w:rPr>
          <w:rFonts w:ascii="Calibri" w:hAnsi="Calibri" w:cs="Calibri"/>
          <w:sz w:val="22"/>
          <w:szCs w:val="22"/>
        </w:rPr>
        <w:t>)</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This matters because enrichment is often the first thing squeezed when schools are under pressure, despite being part of the social and emotional infrastructure that supports learning. A child who is too hot, anxious, inactive, disconnected from peers or repeatedly denied access to outdoor space may struggle to engage positively</w:t>
      </w:r>
      <w:r w:rsidRPr="00274FCA">
        <w:rPr>
          <w:rFonts w:ascii="Calibri" w:hAnsi="Calibri" w:cs="Calibri"/>
          <w:sz w:val="22"/>
          <w:szCs w:val="22"/>
        </w:rPr>
        <w:t xml:space="preserve"> [3, 9, 10]</w:t>
      </w:r>
      <w:r w:rsidRPr="00274FCA">
        <w:rPr>
          <w:rFonts w:ascii="Calibri" w:hAnsi="Calibri" w:cs="Calibri"/>
          <w:sz w:val="22"/>
          <w:szCs w:val="22"/>
        </w:rPr>
        <w:t>. Behaviour policy should therefore sit alongside belonging, wellbeing, participation and environmental conditions.</w:t>
      </w:r>
    </w:p>
    <w:p w:rsidR="00133775" w:rsidRPr="00274FCA" w:rsidP="00367440">
      <w:pPr>
        <w:spacing w:after="60" w:line="276" w:lineRule="auto"/>
        <w:jc w:val="both"/>
        <w:rPr>
          <w:rFonts w:ascii="Calibri" w:hAnsi="Calibri" w:cs="Calibri"/>
          <w:b/>
          <w:bCs/>
          <w:sz w:val="22"/>
          <w:szCs w:val="22"/>
        </w:rPr>
      </w:pPr>
      <w:r w:rsidRPr="00274FCA">
        <w:rPr>
          <w:rFonts w:ascii="Calibri" w:hAnsi="Calibri" w:cs="Calibri"/>
          <w:sz w:val="22"/>
          <w:szCs w:val="22"/>
        </w:rPr>
        <w:t>The proposed Pupil Engagement Framework already recognises that engagement extends beyond attendance and behaviour, encompassing emotional, behavioural and cognitive dimensions. Its focus on factors such as enjoyment of school and pupils’ sense of belonging is therefore welcome. The framework could be strengthened further by asking whether all children have fair access to the spaces, relationships and wider conditions that enable them to feel that they belong, participate fully and enjoy school.</w:t>
      </w:r>
    </w:p>
    <w:p w:rsidR="00133775" w:rsidRPr="00274FCA" w:rsidP="00367440">
      <w:pPr>
        <w:spacing w:after="60" w:line="276" w:lineRule="auto"/>
        <w:jc w:val="both"/>
        <w:rPr>
          <w:rFonts w:ascii="Calibri" w:hAnsi="Calibri" w:cs="Calibri"/>
          <w:sz w:val="22"/>
          <w:szCs w:val="22"/>
        </w:rPr>
      </w:pPr>
      <w:r w:rsidRPr="00274FCA">
        <w:rPr>
          <w:rFonts w:ascii="Calibri" w:hAnsi="Calibri" w:cs="Calibri"/>
          <w:b/>
          <w:bCs/>
          <w:i/>
          <w:iCs/>
          <w:sz w:val="22"/>
          <w:szCs w:val="22"/>
        </w:rPr>
        <w:t>Recommendation</w:t>
      </w:r>
      <w:r w:rsidRPr="00274FCA">
        <w:rPr>
          <w:rFonts w:ascii="Calibri" w:hAnsi="Calibri" w:cs="Calibri"/>
          <w:b/>
          <w:bCs/>
          <w:sz w:val="22"/>
          <w:szCs w:val="22"/>
        </w:rPr>
        <w:t>:</w:t>
      </w:r>
      <w:r w:rsidRPr="00274FCA">
        <w:rPr>
          <w:rFonts w:ascii="Calibri" w:hAnsi="Calibri" w:cs="Calibri"/>
          <w:sz w:val="22"/>
          <w:szCs w:val="22"/>
        </w:rPr>
        <w:t xml:space="preserve"> </w:t>
      </w:r>
      <w:r w:rsidRPr="00274FCA">
        <w:rPr>
          <w:rFonts w:ascii="Calibri" w:hAnsi="Calibri" w:cs="Calibri"/>
          <w:sz w:val="22"/>
          <w:szCs w:val="22"/>
        </w:rPr>
        <w:t>The Pupil Engagement Framework should explicitly recognise access to play, outdoor learning, sport, enrichment and safe outdoor space as important contributors to pupils’ emotional, behavioural and cognitive engagement, alongside pupil voice, enjoyment and a sense of belonging. This would ensure that the Framework’s broader understanding of engagement is translated into practical attention to the spaces, relationships and opportunities that enable children to participate fully in school life.</w:t>
      </w:r>
    </w:p>
    <w:p w:rsidR="00133775" w:rsidRPr="00274FCA" w:rsidP="00367440">
      <w:pPr>
        <w:spacing w:after="60" w:line="276" w:lineRule="auto"/>
        <w:jc w:val="both"/>
        <w:rPr>
          <w:rFonts w:ascii="Calibri" w:hAnsi="Calibri" w:cs="Calibri"/>
          <w:sz w:val="22"/>
          <w:szCs w:val="22"/>
        </w:rPr>
      </w:pPr>
    </w:p>
    <w:p w:rsidR="00133775" w:rsidRPr="00274FCA" w:rsidP="00367440">
      <w:pPr>
        <w:spacing w:after="60" w:line="276" w:lineRule="auto"/>
        <w:jc w:val="both"/>
        <w:rPr>
          <w:rFonts w:ascii="Calibri" w:hAnsi="Calibri" w:cs="Calibri"/>
          <w:b/>
          <w:bCs/>
          <w:sz w:val="22"/>
          <w:szCs w:val="22"/>
        </w:rPr>
      </w:pPr>
      <w:r w:rsidRPr="00274FCA">
        <w:rPr>
          <w:rFonts w:ascii="Calibri" w:hAnsi="Calibri" w:cs="Calibri"/>
          <w:b/>
          <w:bCs/>
          <w:sz w:val="22"/>
          <w:szCs w:val="22"/>
        </w:rPr>
        <w:t>Mission Coastal and place-based disadvantage</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Mission Coastal is an important opportunity, but it must avoid deficit narratives about coastal children and families. Coastal communities often experience overlapping pressures: poverty, seasonal employment, transport limitations, housing insecurity, coastal erosion, flooding, limited access to services and environmental uncertainty</w:t>
      </w:r>
      <w:r w:rsidRPr="00274FCA">
        <w:rPr>
          <w:rFonts w:ascii="Calibri" w:hAnsi="Calibri" w:cs="Calibri"/>
          <w:sz w:val="22"/>
          <w:szCs w:val="22"/>
        </w:rPr>
        <w:t xml:space="preserve"> [</w:t>
      </w:r>
      <w:r w:rsidRPr="00274FCA">
        <w:rPr>
          <w:rFonts w:ascii="Calibri" w:hAnsi="Calibri" w:cs="Calibri"/>
          <w:sz w:val="22"/>
          <w:szCs w:val="22"/>
        </w:rPr>
        <w:t>2, 5]</w:t>
      </w:r>
      <w:r w:rsidRPr="00274FCA">
        <w:rPr>
          <w:rFonts w:ascii="Calibri" w:hAnsi="Calibri" w:cs="Calibri"/>
          <w:sz w:val="22"/>
          <w:szCs w:val="22"/>
        </w:rPr>
        <w:t>. Extreme heat can add further pressure where housing, public space, transport and school buildings are not well adapted</w:t>
      </w:r>
      <w:r w:rsidRPr="00274FCA">
        <w:rPr>
          <w:rFonts w:ascii="Calibri" w:hAnsi="Calibri" w:cs="Calibri"/>
          <w:sz w:val="22"/>
          <w:szCs w:val="22"/>
        </w:rPr>
        <w:t xml:space="preserve"> [3]</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Children in coastal communities may also have rich place knowledge, strong community ties and clear ideas about what needs to change. In projects such as INSECURE and Creative Conversations with children in Skipsea, children explored coastal erosion, flood risk and community futures through creative and intergenerational methods. This showed that children can reflect deeply on risk, belonging, fairness, memory, loss and future possibilities</w:t>
      </w:r>
      <w:r w:rsidRPr="00274FCA">
        <w:rPr>
          <w:rFonts w:ascii="Calibri" w:hAnsi="Calibri" w:cs="Calibri"/>
          <w:sz w:val="22"/>
          <w:szCs w:val="22"/>
        </w:rPr>
        <w:t xml:space="preserve"> [8]</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Educational attainment among children living in coastal communities cannot be considered separately from the changing physical and social conditions that shape their everyday lives</w:t>
      </w:r>
      <w:r w:rsidRPr="00274FCA">
        <w:rPr>
          <w:rFonts w:ascii="Calibri" w:hAnsi="Calibri" w:cs="Calibri"/>
          <w:sz w:val="22"/>
          <w:szCs w:val="22"/>
        </w:rPr>
        <w:t xml:space="preserve"> [2, 5]</w:t>
      </w:r>
      <w:r w:rsidRPr="00274FCA">
        <w:rPr>
          <w:rFonts w:ascii="Calibri" w:hAnsi="Calibri" w:cs="Calibri"/>
          <w:sz w:val="22"/>
          <w:szCs w:val="22"/>
        </w:rPr>
        <w:t>. Schools in these areas therefore need support not only to improve academic outcomes, but also to respond to climate and environmental risks, provide outdoor learning, maintain safe routes to school, build strong community partnerships and enable children to participate in decisions affecting them</w:t>
      </w:r>
      <w:r w:rsidRPr="00274FCA">
        <w:rPr>
          <w:rFonts w:ascii="Calibri" w:hAnsi="Calibri" w:cs="Calibri"/>
          <w:sz w:val="22"/>
          <w:szCs w:val="22"/>
        </w:rPr>
        <w:t xml:space="preserve"> [4]</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b/>
          <w:bCs/>
          <w:i/>
          <w:iCs/>
          <w:sz w:val="22"/>
          <w:szCs w:val="22"/>
        </w:rPr>
        <w:t>Recommendation</w:t>
      </w:r>
      <w:r w:rsidRPr="00274FCA">
        <w:rPr>
          <w:rFonts w:ascii="Calibri" w:hAnsi="Calibri" w:cs="Calibri"/>
          <w:b/>
          <w:bCs/>
          <w:sz w:val="22"/>
          <w:szCs w:val="22"/>
        </w:rPr>
        <w:t>:</w:t>
      </w:r>
      <w:r w:rsidRPr="00274FCA">
        <w:rPr>
          <w:rFonts w:ascii="Calibri" w:hAnsi="Calibri" w:cs="Calibri"/>
          <w:sz w:val="22"/>
          <w:szCs w:val="22"/>
        </w:rPr>
        <w:t xml:space="preserve"> Mission Coastal should include </w:t>
      </w:r>
      <w:r w:rsidRPr="00274FCA">
        <w:rPr>
          <w:rFonts w:ascii="Calibri" w:hAnsi="Calibri" w:cs="Calibri"/>
          <w:sz w:val="22"/>
          <w:szCs w:val="22"/>
        </w:rPr>
        <w:t>children’s</w:t>
      </w:r>
      <w:r w:rsidRPr="00274FCA">
        <w:rPr>
          <w:rFonts w:ascii="Calibri" w:hAnsi="Calibri" w:cs="Calibri"/>
          <w:sz w:val="22"/>
          <w:szCs w:val="22"/>
        </w:rPr>
        <w:t xml:space="preserve"> lived experience of flooding, erosion, extreme heat, environmental loss and local belonging. It should fund child-centred, place-based work connecting schools with communities, local authorities, environmental agencies, arts and heritage organisations, youth services and families</w:t>
      </w:r>
      <w:r w:rsidRPr="00274FCA">
        <w:rPr>
          <w:rFonts w:ascii="Calibri" w:hAnsi="Calibri" w:cs="Calibri"/>
          <w:sz w:val="22"/>
          <w:szCs w:val="22"/>
        </w:rPr>
        <w:t xml:space="preserve"> [4, 5]</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p>
    <w:p w:rsidR="00133775" w:rsidRPr="00274FCA" w:rsidP="00367440">
      <w:pPr>
        <w:spacing w:after="60" w:line="276" w:lineRule="auto"/>
        <w:jc w:val="both"/>
        <w:rPr>
          <w:rFonts w:ascii="Calibri" w:hAnsi="Calibri" w:cs="Calibri"/>
          <w:b/>
          <w:bCs/>
          <w:sz w:val="22"/>
          <w:szCs w:val="22"/>
        </w:rPr>
      </w:pPr>
      <w:r w:rsidRPr="00274FCA">
        <w:rPr>
          <w:rFonts w:ascii="Calibri" w:hAnsi="Calibri" w:cs="Calibri"/>
          <w:b/>
          <w:bCs/>
          <w:sz w:val="22"/>
          <w:szCs w:val="22"/>
        </w:rPr>
        <w:t>Essential skills and climate pedagogies</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T</w:t>
      </w:r>
      <w:r w:rsidRPr="00274FCA">
        <w:rPr>
          <w:rFonts w:ascii="Calibri" w:hAnsi="Calibri" w:cs="Calibri"/>
          <w:sz w:val="22"/>
          <w:szCs w:val="22"/>
        </w:rPr>
        <w:t>he White Paper’s focus on essential skills is welcome, but these should not be limited to employability. This is particularly important given evidence that 15- and 16-year-olds in England have average socio-emotional skill levels well below the OECD average, with greater inequalities than in any of the other 31 countries included in the analysis</w:t>
      </w:r>
      <w:r w:rsidRPr="00274FCA">
        <w:rPr>
          <w:rFonts w:ascii="Calibri" w:hAnsi="Calibri" w:cs="Calibri"/>
          <w:sz w:val="22"/>
          <w:szCs w:val="22"/>
        </w:rPr>
        <w:t xml:space="preserve"> [9]</w:t>
      </w:r>
      <w:r w:rsidRPr="00274FCA">
        <w:rPr>
          <w:rFonts w:ascii="Calibri" w:hAnsi="Calibri" w:cs="Calibri"/>
          <w:sz w:val="22"/>
          <w:szCs w:val="22"/>
        </w:rPr>
        <w:t>. PISA 2022 also found that pupils in England reported significantly lower life satisfaction than the OECD average</w:t>
      </w:r>
      <w:r w:rsidRPr="00274FCA">
        <w:rPr>
          <w:rFonts w:ascii="Calibri" w:hAnsi="Calibri" w:cs="Calibri"/>
          <w:sz w:val="22"/>
          <w:szCs w:val="22"/>
        </w:rPr>
        <w:t xml:space="preserve"> [11, 12]</w:t>
      </w:r>
      <w:r w:rsidRPr="00274FCA">
        <w:rPr>
          <w:rFonts w:ascii="Calibri" w:hAnsi="Calibri" w:cs="Calibri"/>
          <w:sz w:val="22"/>
          <w:szCs w:val="22"/>
        </w:rPr>
        <w:t>, while UK 15-year-olds had the highest proportion reporting low life satisfaction among 27 European countries</w:t>
      </w:r>
      <w:r w:rsidRPr="00274FCA">
        <w:rPr>
          <w:rFonts w:ascii="Calibri" w:hAnsi="Calibri" w:cs="Calibri"/>
          <w:sz w:val="22"/>
          <w:szCs w:val="22"/>
        </w:rPr>
        <w:t xml:space="preserve"> [10]</w:t>
      </w:r>
      <w:r w:rsidRPr="00274FCA">
        <w:rPr>
          <w:rFonts w:ascii="Calibri" w:hAnsi="Calibri" w:cs="Calibri"/>
          <w:sz w:val="22"/>
          <w:szCs w:val="22"/>
        </w:rPr>
        <w:t xml:space="preserve">. These findings strengthen the case for treating communication, collaboration, deliberation, care, critical thinking, environmental literacy, futures thinking and democratic participation as foundations for children’s wellbeing, agency and participation and not simply their future employability. </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This is especially relevant to climate and risk education, which is still often organised around an information-deficit model: provide facts, raise awareness, issue warnings and encourage the “right” behaviour. Information is necessary, but not sufficient. Children do not simply receive climate information; they interpret it through experience, emotion, family life, place, social relationships and what they see happening around them. Effective climate education must therefore create opportunities for childr</w:t>
      </w:r>
      <w:r w:rsidRPr="00274FCA">
        <w:rPr>
          <w:rFonts w:ascii="Calibri" w:hAnsi="Calibri" w:cs="Calibri"/>
          <w:sz w:val="22"/>
          <w:szCs w:val="22"/>
        </w:rPr>
        <w:t>en to discuss uncertainty, work collaboratively, connect learning to their everyday lives and participate meaningfully in shaping responses</w:t>
      </w:r>
      <w:r w:rsidRPr="00274FCA">
        <w:rPr>
          <w:rFonts w:ascii="Calibri" w:hAnsi="Calibri" w:cs="Calibri"/>
          <w:sz w:val="22"/>
          <w:szCs w:val="22"/>
        </w:rPr>
        <w:t xml:space="preserve"> [8]</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Flood warnings, heat alerts, assemblies, risk assessments, school closures, cancelled sports fixtures and playground restrictions all teach children something about climate risk. They can teach children that climate change is something done to them and managed elsewhere by adults. Or they can teach children that their experiences matter, that risk is unequal, and that they can participate in shaping safer and fairer school and community futures</w:t>
      </w:r>
      <w:r w:rsidRPr="00274FCA">
        <w:rPr>
          <w:rFonts w:ascii="Calibri" w:hAnsi="Calibri" w:cs="Calibri"/>
          <w:sz w:val="22"/>
          <w:szCs w:val="22"/>
        </w:rPr>
        <w:t xml:space="preserve"> [4, 8]</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Climate pedagogies should therefore be place-based, participatory and action-linked</w:t>
      </w:r>
      <w:r w:rsidRPr="00274FCA">
        <w:rPr>
          <w:rFonts w:ascii="Calibri" w:hAnsi="Calibri" w:cs="Calibri"/>
          <w:sz w:val="22"/>
          <w:szCs w:val="22"/>
        </w:rPr>
        <w:t xml:space="preserve"> [1, 8]</w:t>
      </w:r>
      <w:r w:rsidRPr="00274FCA">
        <w:rPr>
          <w:rFonts w:ascii="Calibri" w:hAnsi="Calibri" w:cs="Calibri"/>
          <w:sz w:val="22"/>
          <w:szCs w:val="22"/>
        </w:rPr>
        <w:t>. Children can help identify hot spots, flood-prone routes, unsafe play spaces, shaded areas, drainage issues and opportunities for adaptation. They can contribute to shade audits, safe routes to school, adapted outdoor learning, school flood plans, water access, community mapping and local resilience projects</w:t>
      </w:r>
      <w:r w:rsidRPr="00274FCA">
        <w:rPr>
          <w:rFonts w:ascii="Calibri" w:hAnsi="Calibri" w:cs="Calibri"/>
          <w:sz w:val="22"/>
          <w:szCs w:val="22"/>
        </w:rPr>
        <w:t xml:space="preserve"> [4, 8]</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 xml:space="preserve">Children should not be positioned simply as messengers who carry adult-approved information home to families. They are rights-holders and social </w:t>
      </w:r>
      <w:r w:rsidRPr="00274FCA">
        <w:rPr>
          <w:rFonts w:ascii="Calibri" w:hAnsi="Calibri" w:cs="Calibri"/>
          <w:sz w:val="22"/>
          <w:szCs w:val="22"/>
        </w:rPr>
        <w:t>actors in their own right</w:t>
      </w:r>
      <w:r w:rsidRPr="00274FCA">
        <w:rPr>
          <w:rFonts w:ascii="Calibri" w:hAnsi="Calibri" w:cs="Calibri"/>
          <w:sz w:val="22"/>
          <w:szCs w:val="22"/>
        </w:rPr>
        <w:t xml:space="preserve"> [4]</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b/>
          <w:bCs/>
          <w:i/>
          <w:iCs/>
          <w:sz w:val="22"/>
          <w:szCs w:val="22"/>
        </w:rPr>
        <w:t>Recommendation</w:t>
      </w:r>
      <w:r w:rsidRPr="00274FCA">
        <w:rPr>
          <w:rFonts w:ascii="Calibri" w:hAnsi="Calibri" w:cs="Calibri"/>
          <w:b/>
          <w:bCs/>
          <w:sz w:val="22"/>
          <w:szCs w:val="22"/>
        </w:rPr>
        <w:t>:</w:t>
      </w:r>
      <w:r w:rsidRPr="00274FCA">
        <w:rPr>
          <w:rFonts w:ascii="Calibri" w:hAnsi="Calibri" w:cs="Calibri"/>
          <w:sz w:val="22"/>
          <w:szCs w:val="22"/>
        </w:rPr>
        <w:t xml:space="preserve"> Essential skills should include civic agency, environmental literacy, collaboration, communication, place-based problem-solving and participation. These should be embedded through curriculum, enrichment, school councils, outdoor learning and local resilience work</w:t>
      </w:r>
      <w:r w:rsidRPr="00274FCA">
        <w:rPr>
          <w:rFonts w:ascii="Calibri" w:hAnsi="Calibri" w:cs="Calibri"/>
          <w:sz w:val="22"/>
          <w:szCs w:val="22"/>
        </w:rPr>
        <w:t xml:space="preserve"> [1, 4, 8]</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p>
    <w:p w:rsidR="00133775" w:rsidRPr="00274FCA" w:rsidP="00367440">
      <w:pPr>
        <w:spacing w:after="60" w:line="276" w:lineRule="auto"/>
        <w:jc w:val="both"/>
        <w:rPr>
          <w:rFonts w:ascii="Calibri" w:hAnsi="Calibri" w:cs="Calibri"/>
          <w:b/>
          <w:bCs/>
          <w:sz w:val="22"/>
          <w:szCs w:val="22"/>
        </w:rPr>
      </w:pPr>
      <w:r w:rsidRPr="00274FCA">
        <w:rPr>
          <w:rFonts w:ascii="Calibri" w:hAnsi="Calibri" w:cs="Calibri"/>
          <w:b/>
          <w:bCs/>
          <w:sz w:val="22"/>
          <w:szCs w:val="22"/>
        </w:rPr>
        <w:t>Workforce and wider Government policy</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Teachers and support staff are already managing the consequences of climate disruption, often without sufficient guidance, training or resource. This includes overheated classrooms, disrupted outdoor spaces, flood-related absence, anxious children, cancelled activities, unsafe travel, poor air quality and pressure from families</w:t>
      </w:r>
      <w:r w:rsidRPr="00274FCA">
        <w:rPr>
          <w:rFonts w:ascii="Calibri" w:hAnsi="Calibri" w:cs="Calibri"/>
          <w:sz w:val="22"/>
          <w:szCs w:val="22"/>
        </w:rPr>
        <w:t xml:space="preserve"> [1, 2, 3, 5]</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Climate resilience should not be treated as an additional burden on schools. It should be integrated into school improvement, estate planning, safeguarding, attendance strategies, enrichment policy and local authority support</w:t>
      </w:r>
      <w:r w:rsidRPr="00274FCA">
        <w:rPr>
          <w:rFonts w:ascii="Calibri" w:hAnsi="Calibri" w:cs="Calibri"/>
          <w:sz w:val="22"/>
          <w:szCs w:val="22"/>
        </w:rPr>
        <w:t xml:space="preserve"> [1, 3]</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The White Paper should align with the Department for Education’s Sustainability and Climate Change Strategy, public health planning, flood and coastal risk policy, climate adaptation policy and children’s rights obligations</w:t>
      </w:r>
      <w:r w:rsidRPr="00274FCA">
        <w:rPr>
          <w:rFonts w:ascii="Calibri" w:hAnsi="Calibri" w:cs="Calibri"/>
          <w:sz w:val="22"/>
          <w:szCs w:val="22"/>
        </w:rPr>
        <w:t xml:space="preserve"> [1, 2, 3, 4, 5]</w:t>
      </w:r>
      <w:r w:rsidRPr="00274FCA">
        <w:rPr>
          <w:rFonts w:ascii="Calibri" w:hAnsi="Calibri" w:cs="Calibri"/>
          <w:sz w:val="22"/>
          <w:szCs w:val="22"/>
        </w:rPr>
        <w:t>. A school system designed for children’s futures must protect the everyday conditions children need to learn, move, play, belong, participate and flourish.</w:t>
      </w:r>
    </w:p>
    <w:p w:rsidR="00133775" w:rsidRPr="00274FCA" w:rsidP="00367440">
      <w:pPr>
        <w:spacing w:after="60" w:line="276" w:lineRule="auto"/>
        <w:jc w:val="both"/>
        <w:rPr>
          <w:rFonts w:ascii="Calibri" w:hAnsi="Calibri" w:cs="Calibri"/>
          <w:sz w:val="22"/>
          <w:szCs w:val="22"/>
        </w:rPr>
      </w:pPr>
      <w:r w:rsidRPr="00274FCA">
        <w:rPr>
          <w:rFonts w:ascii="Calibri" w:hAnsi="Calibri" w:cs="Calibri"/>
          <w:b/>
          <w:bCs/>
          <w:i/>
          <w:iCs/>
          <w:sz w:val="22"/>
          <w:szCs w:val="22"/>
        </w:rPr>
        <w:t>Recommendation</w:t>
      </w:r>
      <w:r w:rsidRPr="00274FCA">
        <w:rPr>
          <w:rFonts w:ascii="Calibri" w:hAnsi="Calibri" w:cs="Calibri"/>
          <w:sz w:val="22"/>
          <w:szCs w:val="22"/>
        </w:rPr>
        <w:t>: Workforce reform should include training and resources to help teachers and support staff understand and respond to climate-related impacts on children’s learning, wellbeing, attendance and participation</w:t>
      </w:r>
      <w:r w:rsidRPr="00274FCA">
        <w:rPr>
          <w:rFonts w:ascii="Calibri" w:hAnsi="Calibri" w:cs="Calibri"/>
          <w:sz w:val="22"/>
          <w:szCs w:val="22"/>
        </w:rPr>
        <w:t xml:space="preserve"> [1, 3]</w:t>
      </w:r>
      <w:r w:rsidRPr="00274FCA">
        <w:rPr>
          <w:rFonts w:ascii="Calibri" w:hAnsi="Calibri" w:cs="Calibri"/>
          <w:sz w:val="22"/>
          <w:szCs w:val="22"/>
        </w:rPr>
        <w:t>.</w:t>
      </w:r>
    </w:p>
    <w:p w:rsidR="00133775" w:rsidRPr="00274FCA" w:rsidP="00367440">
      <w:pPr>
        <w:spacing w:after="60" w:line="276" w:lineRule="auto"/>
        <w:jc w:val="both"/>
        <w:rPr>
          <w:rFonts w:ascii="Calibri" w:hAnsi="Calibri" w:cs="Calibri"/>
          <w:sz w:val="22"/>
          <w:szCs w:val="22"/>
        </w:rPr>
      </w:pPr>
    </w:p>
    <w:p w:rsidR="00133775" w:rsidRPr="00274FCA" w:rsidP="00367440">
      <w:pPr>
        <w:spacing w:after="60" w:line="276" w:lineRule="auto"/>
        <w:jc w:val="both"/>
        <w:rPr>
          <w:rFonts w:ascii="Calibri" w:hAnsi="Calibri" w:cs="Calibri"/>
          <w:b/>
          <w:bCs/>
          <w:sz w:val="22"/>
          <w:szCs w:val="22"/>
        </w:rPr>
      </w:pPr>
      <w:r w:rsidRPr="00274FCA">
        <w:rPr>
          <w:rFonts w:ascii="Calibri" w:hAnsi="Calibri" w:cs="Calibri"/>
          <w:b/>
          <w:bCs/>
          <w:sz w:val="22"/>
          <w:szCs w:val="22"/>
        </w:rPr>
        <w:t>Conclusion</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Every child achieving and thriving cannot be separated from the climate conditions in which children are growing up. Climate change is already affecting children’s access to school, play, sport, enrichment, outdoor learning, belonging and participation. These impacts are unequal and risk deepening existing disadvantage gaps.</w:t>
      </w:r>
    </w:p>
    <w:p w:rsidR="00133775" w:rsidRPr="00274FCA" w:rsidP="00367440">
      <w:pPr>
        <w:spacing w:after="60" w:line="276" w:lineRule="auto"/>
        <w:jc w:val="both"/>
        <w:rPr>
          <w:rFonts w:ascii="Calibri" w:hAnsi="Calibri" w:cs="Calibri"/>
          <w:sz w:val="22"/>
          <w:szCs w:val="22"/>
        </w:rPr>
      </w:pPr>
      <w:r w:rsidRPr="00274FCA">
        <w:rPr>
          <w:rFonts w:ascii="Calibri" w:hAnsi="Calibri" w:cs="Calibri"/>
          <w:sz w:val="22"/>
          <w:szCs w:val="22"/>
        </w:rPr>
        <w:t>School reform must therefore be climate-aware, place-sensitive and child-centred. It must recognise that achievement is not only about curriculum, assessment and accountability. It is also about whether children have the everyday conditions they need to learn, move, play, belong, participate and flourish.</w:t>
      </w:r>
    </w:p>
    <w:p w:rsidR="00133775" w:rsidRPr="00274FCA" w:rsidP="00367440">
      <w:pPr>
        <w:spacing w:after="60" w:line="276" w:lineRule="auto"/>
        <w:jc w:val="both"/>
        <w:rPr>
          <w:rFonts w:ascii="Calibri" w:hAnsi="Calibri" w:cs="Calibri"/>
          <w:b/>
          <w:bCs/>
          <w:sz w:val="22"/>
          <w:szCs w:val="22"/>
        </w:rPr>
      </w:pPr>
    </w:p>
    <w:p w:rsidR="00133775" w:rsidRPr="00274FCA" w:rsidP="00367440">
      <w:pPr>
        <w:spacing w:after="60" w:line="276" w:lineRule="auto"/>
        <w:jc w:val="both"/>
        <w:rPr>
          <w:rFonts w:ascii="Calibri" w:hAnsi="Calibri" w:cs="Calibri"/>
          <w:b/>
          <w:bCs/>
          <w:sz w:val="22"/>
          <w:szCs w:val="22"/>
        </w:rPr>
      </w:pPr>
      <w:r w:rsidRPr="00274FCA">
        <w:rPr>
          <w:rFonts w:ascii="Calibri" w:hAnsi="Calibri" w:cs="Calibri"/>
          <w:b/>
          <w:bCs/>
          <w:sz w:val="22"/>
          <w:szCs w:val="22"/>
        </w:rPr>
        <w:t>References</w:t>
      </w:r>
    </w:p>
    <w:p w:rsidR="00133775" w:rsidRPr="00274FCA" w:rsidP="00471521">
      <w:pPr>
        <w:pStyle w:val="ListParagraph"/>
        <w:numPr>
          <w:ilvl w:val="0"/>
          <w:numId w:val="9"/>
        </w:numPr>
        <w:spacing w:after="60" w:line="276" w:lineRule="auto"/>
        <w:rPr>
          <w:rFonts w:ascii="Calibri" w:hAnsi="Calibri" w:cs="Calibri"/>
          <w:sz w:val="22"/>
          <w:szCs w:val="22"/>
        </w:rPr>
      </w:pPr>
      <w:r w:rsidRPr="00274FCA">
        <w:rPr>
          <w:rFonts w:ascii="Calibri" w:hAnsi="Calibri" w:cs="Calibri"/>
          <w:sz w:val="22"/>
          <w:szCs w:val="22"/>
        </w:rPr>
        <w:t xml:space="preserve">Department for Education. (2023). </w:t>
      </w:r>
      <w:r w:rsidRPr="00274FCA">
        <w:rPr>
          <w:rFonts w:ascii="Calibri" w:hAnsi="Calibri" w:cs="Calibri"/>
          <w:i/>
          <w:iCs/>
          <w:sz w:val="22"/>
          <w:szCs w:val="22"/>
        </w:rPr>
        <w:t>Sustainability and climate change: A strategy for the education and children’s services systems</w:t>
      </w:r>
      <w:r w:rsidRPr="00274FCA">
        <w:rPr>
          <w:rFonts w:ascii="Calibri" w:hAnsi="Calibri" w:cs="Calibri"/>
          <w:sz w:val="22"/>
          <w:szCs w:val="22"/>
        </w:rPr>
        <w:t xml:space="preserve">. </w:t>
      </w:r>
      <w:r>
        <w:fldChar w:fldCharType="begin"/>
      </w:r>
      <w:r>
        <w:instrText xml:space="preserve"> HYPERLINK "https://www.gov.uk/government/publications/sustainability-and-climate-change-strategy/sustainability-and-climate-change-a-strategy-for-the-education-and-childrens-services-systems" </w:instrText>
      </w:r>
      <w:r>
        <w:fldChar w:fldCharType="separate"/>
      </w:r>
      <w:r w:rsidRPr="00274FCA">
        <w:rPr>
          <w:rStyle w:val="Hyperlink"/>
          <w:rFonts w:ascii="Calibri" w:hAnsi="Calibri" w:cs="Calibri"/>
          <w:sz w:val="22"/>
          <w:szCs w:val="22"/>
        </w:rPr>
        <w:t>https://www.gov.uk/government/publications/sustainability-and-climate-change-strategy/sustainability-and-climate-change-a-strategy-for-the-education-and-childrens-services-systems</w:t>
      </w:r>
      <w:r>
        <w:fldChar w:fldCharType="end"/>
      </w:r>
    </w:p>
    <w:p w:rsidR="00133775" w:rsidRPr="00274FCA" w:rsidP="00471521">
      <w:pPr>
        <w:pStyle w:val="ListParagraph"/>
        <w:numPr>
          <w:ilvl w:val="0"/>
          <w:numId w:val="9"/>
        </w:numPr>
        <w:spacing w:after="60" w:line="276" w:lineRule="auto"/>
        <w:rPr>
          <w:rFonts w:ascii="Calibri" w:hAnsi="Calibri" w:cs="Calibri"/>
          <w:sz w:val="22"/>
          <w:szCs w:val="22"/>
        </w:rPr>
      </w:pPr>
      <w:r w:rsidRPr="00274FCA">
        <w:rPr>
          <w:rFonts w:ascii="Calibri" w:hAnsi="Calibri" w:cs="Calibri"/>
          <w:sz w:val="22"/>
          <w:szCs w:val="22"/>
        </w:rPr>
        <w:t xml:space="preserve">Intergovernmental Panel on Climate Change. (2022). </w:t>
      </w:r>
      <w:r w:rsidRPr="00274FCA">
        <w:rPr>
          <w:rFonts w:ascii="Calibri" w:hAnsi="Calibri" w:cs="Calibri"/>
          <w:i/>
          <w:iCs/>
          <w:sz w:val="22"/>
          <w:szCs w:val="22"/>
        </w:rPr>
        <w:t>Climate change 2022: Impacts, adaptation and vulnerability</w:t>
      </w:r>
      <w:r w:rsidRPr="00274FCA">
        <w:rPr>
          <w:rFonts w:ascii="Calibri" w:hAnsi="Calibri" w:cs="Calibri"/>
          <w:sz w:val="22"/>
          <w:szCs w:val="22"/>
        </w:rPr>
        <w:t xml:space="preserve">. Cambridge University Press. </w:t>
      </w:r>
      <w:r>
        <w:fldChar w:fldCharType="begin"/>
      </w:r>
      <w:r>
        <w:instrText xml:space="preserve"> HYPERLINK "https://www.ipcc.ch/report/ar6/wg2/" </w:instrText>
      </w:r>
      <w:r>
        <w:fldChar w:fldCharType="separate"/>
      </w:r>
      <w:r w:rsidRPr="00274FCA">
        <w:rPr>
          <w:rStyle w:val="Hyperlink"/>
          <w:rFonts w:ascii="Calibri" w:hAnsi="Calibri" w:cs="Calibri"/>
          <w:sz w:val="22"/>
          <w:szCs w:val="22"/>
        </w:rPr>
        <w:t>https://www.ipcc.ch/report/ar6/wg2/</w:t>
      </w:r>
      <w:r>
        <w:fldChar w:fldCharType="end"/>
      </w:r>
    </w:p>
    <w:p w:rsidR="00133775" w:rsidRPr="00274FCA" w:rsidP="00471521">
      <w:pPr>
        <w:pStyle w:val="ListParagraph"/>
        <w:numPr>
          <w:ilvl w:val="0"/>
          <w:numId w:val="9"/>
        </w:numPr>
        <w:spacing w:after="60" w:line="276" w:lineRule="auto"/>
        <w:rPr>
          <w:rFonts w:ascii="Calibri" w:hAnsi="Calibri" w:cs="Calibri"/>
          <w:sz w:val="22"/>
          <w:szCs w:val="22"/>
        </w:rPr>
      </w:pPr>
      <w:r w:rsidRPr="00274FCA">
        <w:rPr>
          <w:rFonts w:ascii="Calibri" w:hAnsi="Calibri" w:cs="Calibri"/>
          <w:sz w:val="22"/>
          <w:szCs w:val="22"/>
        </w:rPr>
        <w:t xml:space="preserve">UK Health Security Agency. (2026). </w:t>
      </w:r>
      <w:r w:rsidRPr="00274FCA">
        <w:rPr>
          <w:rFonts w:ascii="Calibri" w:hAnsi="Calibri" w:cs="Calibri"/>
          <w:i/>
          <w:iCs/>
          <w:sz w:val="22"/>
          <w:szCs w:val="22"/>
        </w:rPr>
        <w:t>Adverse weather and health plan 2026 to 2027</w:t>
      </w:r>
      <w:r w:rsidRPr="00274FCA">
        <w:rPr>
          <w:rFonts w:ascii="Calibri" w:hAnsi="Calibri" w:cs="Calibri"/>
          <w:sz w:val="22"/>
          <w:szCs w:val="22"/>
        </w:rPr>
        <w:t xml:space="preserve">. </w:t>
      </w:r>
      <w:r>
        <w:fldChar w:fldCharType="begin"/>
      </w:r>
      <w:r>
        <w:instrText xml:space="preserve"> HYPERLINK "https://www.gov.uk/government/publications/adverse-weather-and-health-plan" </w:instrText>
      </w:r>
      <w:r>
        <w:fldChar w:fldCharType="separate"/>
      </w:r>
      <w:r w:rsidRPr="00274FCA">
        <w:rPr>
          <w:rStyle w:val="Hyperlink"/>
          <w:rFonts w:ascii="Calibri" w:hAnsi="Calibri" w:cs="Calibri"/>
          <w:sz w:val="22"/>
          <w:szCs w:val="22"/>
        </w:rPr>
        <w:t>https://www.gov.uk/government/publications/adverse-weather-and-health-plan</w:t>
      </w:r>
      <w:r>
        <w:fldChar w:fldCharType="end"/>
      </w:r>
    </w:p>
    <w:p w:rsidR="00133775" w:rsidRPr="00274FCA" w:rsidP="00471521">
      <w:pPr>
        <w:pStyle w:val="ListParagraph"/>
        <w:numPr>
          <w:ilvl w:val="0"/>
          <w:numId w:val="9"/>
        </w:numPr>
        <w:spacing w:after="60" w:line="276" w:lineRule="auto"/>
        <w:rPr>
          <w:rFonts w:ascii="Calibri" w:hAnsi="Calibri" w:cs="Calibri"/>
          <w:sz w:val="22"/>
          <w:szCs w:val="22"/>
        </w:rPr>
      </w:pPr>
      <w:r w:rsidRPr="00274FCA">
        <w:rPr>
          <w:rFonts w:ascii="Calibri" w:hAnsi="Calibri" w:cs="Calibri"/>
          <w:sz w:val="22"/>
          <w:szCs w:val="22"/>
        </w:rPr>
        <w:t xml:space="preserve">United Nations Committee on the Rights of the Child. (2023). </w:t>
      </w:r>
      <w:r w:rsidRPr="00274FCA">
        <w:rPr>
          <w:rFonts w:ascii="Calibri" w:hAnsi="Calibri" w:cs="Calibri"/>
          <w:i/>
          <w:iCs/>
          <w:sz w:val="22"/>
          <w:szCs w:val="22"/>
        </w:rPr>
        <w:t>General comment No. 26 (2023) on children’s rights and the environment, with a special focus on climate change</w:t>
      </w:r>
      <w:r w:rsidRPr="00274FCA">
        <w:rPr>
          <w:rFonts w:ascii="Calibri" w:hAnsi="Calibri" w:cs="Calibri"/>
          <w:sz w:val="22"/>
          <w:szCs w:val="22"/>
        </w:rPr>
        <w:t xml:space="preserve">. </w:t>
      </w:r>
      <w:r>
        <w:fldChar w:fldCharType="begin"/>
      </w:r>
      <w:r>
        <w:instrText xml:space="preserve"> HYPERLINK "https://www.ohchr.org/en/documents/general-comments-and-recommendations/crccgc26-general-comment-no-26-2023-childrens-rights" </w:instrText>
      </w:r>
      <w:r>
        <w:fldChar w:fldCharType="separate"/>
      </w:r>
      <w:r w:rsidRPr="00274FCA">
        <w:rPr>
          <w:rStyle w:val="Hyperlink"/>
          <w:rFonts w:ascii="Calibri" w:hAnsi="Calibri" w:cs="Calibri"/>
          <w:sz w:val="22"/>
          <w:szCs w:val="22"/>
        </w:rPr>
        <w:t>CRC/C/GC/26: General comment No. 26 (2023) on children’s rights and the environment with a special focus on climate change | OHCHR</w:t>
      </w:r>
      <w:r>
        <w:fldChar w:fldCharType="end"/>
      </w:r>
      <w:r w:rsidRPr="00274FCA">
        <w:rPr>
          <w:rFonts w:ascii="Calibri" w:hAnsi="Calibri" w:cs="Calibri"/>
          <w:sz w:val="22"/>
          <w:szCs w:val="22"/>
        </w:rPr>
        <w:t xml:space="preserve"> </w:t>
      </w:r>
    </w:p>
    <w:p w:rsidR="00133775" w:rsidRPr="00274FCA" w:rsidP="00471521">
      <w:pPr>
        <w:pStyle w:val="ListParagraph"/>
        <w:numPr>
          <w:ilvl w:val="0"/>
          <w:numId w:val="9"/>
        </w:numPr>
        <w:spacing w:after="60" w:line="276" w:lineRule="auto"/>
        <w:rPr>
          <w:rFonts w:ascii="Calibri" w:hAnsi="Calibri" w:cs="Calibri"/>
          <w:sz w:val="22"/>
          <w:szCs w:val="22"/>
        </w:rPr>
      </w:pPr>
      <w:r w:rsidRPr="00274FCA">
        <w:rPr>
          <w:rFonts w:ascii="Calibri" w:hAnsi="Calibri" w:cs="Calibri"/>
          <w:sz w:val="22"/>
          <w:szCs w:val="22"/>
        </w:rPr>
        <w:t xml:space="preserve">Environment Agency. (2024). </w:t>
      </w:r>
      <w:r w:rsidRPr="00274FCA">
        <w:rPr>
          <w:rFonts w:ascii="Calibri" w:hAnsi="Calibri" w:cs="Calibri"/>
          <w:i/>
          <w:iCs/>
          <w:sz w:val="22"/>
          <w:szCs w:val="22"/>
        </w:rPr>
        <w:t>National assessment of flood and coastal erosion risk in England 2024</w:t>
      </w:r>
      <w:r w:rsidRPr="00274FCA">
        <w:rPr>
          <w:rFonts w:ascii="Calibri" w:hAnsi="Calibri" w:cs="Calibri"/>
          <w:sz w:val="22"/>
          <w:szCs w:val="22"/>
        </w:rPr>
        <w:t xml:space="preserve">. </w:t>
      </w:r>
      <w:r>
        <w:fldChar w:fldCharType="begin"/>
      </w:r>
      <w:r>
        <w:instrText xml:space="preserve"> HYPERLINK "https://www.gov.uk/government/publications/national-assessment-of-flood-and-coastal-erosion-risk-in-england-2024" </w:instrText>
      </w:r>
      <w:r>
        <w:fldChar w:fldCharType="separate"/>
      </w:r>
      <w:r w:rsidRPr="00274FCA">
        <w:rPr>
          <w:rStyle w:val="Hyperlink"/>
          <w:rFonts w:ascii="Calibri" w:hAnsi="Calibri" w:cs="Calibri"/>
          <w:sz w:val="22"/>
          <w:szCs w:val="22"/>
        </w:rPr>
        <w:t>https://www.gov.uk/government/publications/national-assessment-of-flood-and-coastal-erosion-risk-in-england-2024</w:t>
      </w:r>
      <w:r>
        <w:fldChar w:fldCharType="end"/>
      </w:r>
    </w:p>
    <w:p w:rsidR="00133775" w:rsidRPr="00274FCA" w:rsidP="00471521">
      <w:pPr>
        <w:pStyle w:val="ListParagraph"/>
        <w:numPr>
          <w:ilvl w:val="0"/>
          <w:numId w:val="9"/>
        </w:numPr>
        <w:spacing w:after="60" w:line="276" w:lineRule="auto"/>
        <w:rPr>
          <w:rFonts w:ascii="Calibri" w:hAnsi="Calibri" w:cs="Calibri"/>
          <w:sz w:val="22"/>
          <w:szCs w:val="22"/>
        </w:rPr>
      </w:pPr>
      <w:r w:rsidRPr="00274FCA">
        <w:rPr>
          <w:rFonts w:ascii="Calibri" w:hAnsi="Calibri" w:cs="Calibri"/>
          <w:sz w:val="22"/>
          <w:szCs w:val="22"/>
        </w:rPr>
        <w:t xml:space="preserve">Mort, M., Walker, M., Lloyd Williams, A., Bingley, A., &amp; Howells, V. (2016). </w:t>
      </w:r>
      <w:r w:rsidRPr="00274FCA">
        <w:rPr>
          <w:rFonts w:ascii="Calibri" w:hAnsi="Calibri" w:cs="Calibri"/>
          <w:i/>
          <w:iCs/>
          <w:sz w:val="22"/>
          <w:szCs w:val="22"/>
        </w:rPr>
        <w:t>Children, young people and flooding: Recovery and resilience</w:t>
      </w:r>
      <w:r w:rsidRPr="00274FCA">
        <w:rPr>
          <w:rFonts w:ascii="Calibri" w:hAnsi="Calibri" w:cs="Calibri"/>
          <w:sz w:val="22"/>
          <w:szCs w:val="22"/>
        </w:rPr>
        <w:t xml:space="preserve">. Lancaster University. </w:t>
      </w:r>
      <w:r>
        <w:fldChar w:fldCharType="begin"/>
      </w:r>
      <w:r>
        <w:instrText xml:space="preserve"> HYPERLINK "https://eprints.lancs.ac.uk/id/eprint/82478/" </w:instrText>
      </w:r>
      <w:r>
        <w:fldChar w:fldCharType="separate"/>
      </w:r>
      <w:r w:rsidRPr="00274FCA">
        <w:rPr>
          <w:rStyle w:val="Hyperlink"/>
          <w:rFonts w:ascii="Calibri" w:hAnsi="Calibri" w:cs="Calibri"/>
          <w:sz w:val="22"/>
          <w:szCs w:val="22"/>
        </w:rPr>
        <w:t>https://eprints.lancs.ac.uk/id/eprint/82478/</w:t>
      </w:r>
      <w:r>
        <w:fldChar w:fldCharType="end"/>
      </w:r>
    </w:p>
    <w:p w:rsidR="00133775" w:rsidRPr="00274FCA" w:rsidP="00471521">
      <w:pPr>
        <w:pStyle w:val="ListParagraph"/>
        <w:numPr>
          <w:ilvl w:val="0"/>
          <w:numId w:val="9"/>
        </w:numPr>
        <w:spacing w:after="60" w:line="276" w:lineRule="auto"/>
        <w:rPr>
          <w:rFonts w:ascii="Calibri" w:hAnsi="Calibri" w:cs="Calibri"/>
          <w:sz w:val="22"/>
          <w:szCs w:val="22"/>
        </w:rPr>
      </w:pPr>
      <w:r w:rsidRPr="00274FCA">
        <w:rPr>
          <w:rFonts w:ascii="Calibri" w:hAnsi="Calibri" w:cs="Calibri"/>
          <w:sz w:val="22"/>
          <w:szCs w:val="22"/>
        </w:rPr>
        <w:t xml:space="preserve">Office for National Statistics. (2025, September 9). </w:t>
      </w:r>
      <w:r w:rsidRPr="00274FCA">
        <w:rPr>
          <w:rFonts w:ascii="Calibri" w:hAnsi="Calibri" w:cs="Calibri"/>
          <w:i/>
          <w:iCs/>
          <w:sz w:val="22"/>
          <w:szCs w:val="22"/>
        </w:rPr>
        <w:t>Child mental ill health and absence from school, England: 2021 to 2022</w:t>
      </w:r>
      <w:r w:rsidRPr="00274FCA">
        <w:rPr>
          <w:rFonts w:ascii="Calibri" w:hAnsi="Calibri" w:cs="Calibri"/>
          <w:sz w:val="22"/>
          <w:szCs w:val="22"/>
        </w:rPr>
        <w:t xml:space="preserve">. </w:t>
      </w:r>
      <w:r>
        <w:fldChar w:fldCharType="begin"/>
      </w:r>
      <w:r>
        <w:instrText xml:space="preserve"> HYPERLINK "https://www.ons.gov.uk/peoplepopulationandcommunity/healthandsocialcare/childhealth/articles/childmentalillhealthandabsencefromschoolengland/2021to2022" </w:instrText>
      </w:r>
      <w:r>
        <w:fldChar w:fldCharType="separate"/>
      </w:r>
      <w:r w:rsidRPr="00274FCA">
        <w:rPr>
          <w:rStyle w:val="Hyperlink"/>
          <w:rFonts w:ascii="Calibri" w:hAnsi="Calibri" w:cs="Calibri"/>
          <w:sz w:val="22"/>
          <w:szCs w:val="22"/>
        </w:rPr>
        <w:t>https://www.ons.gov.uk/peoplepopulationandcommunity/healthandsocialcare/childhealth/articles/childmentalillhealthandabsencefromschoolengland/2021to2022</w:t>
      </w:r>
      <w:r>
        <w:fldChar w:fldCharType="end"/>
      </w:r>
    </w:p>
    <w:p w:rsidR="00133775" w:rsidRPr="00274FCA" w:rsidP="00471521">
      <w:pPr>
        <w:pStyle w:val="ListParagraph"/>
        <w:numPr>
          <w:ilvl w:val="0"/>
          <w:numId w:val="9"/>
        </w:numPr>
        <w:spacing w:after="60" w:line="276" w:lineRule="auto"/>
        <w:rPr>
          <w:rFonts w:ascii="Calibri" w:hAnsi="Calibri" w:cs="Calibri"/>
          <w:sz w:val="22"/>
          <w:szCs w:val="22"/>
        </w:rPr>
      </w:pPr>
      <w:r w:rsidRPr="00274FCA">
        <w:rPr>
          <w:rFonts w:ascii="Calibri" w:hAnsi="Calibri" w:cs="Calibri"/>
          <w:sz w:val="22"/>
          <w:szCs w:val="22"/>
        </w:rPr>
        <w:t xml:space="preserve">Parsons, K. J., Lloyd Williams, A., Cruz, R., Chmutina, K., &amp; Cotton, J. (2026). </w:t>
      </w:r>
      <w:r w:rsidRPr="00274FCA">
        <w:rPr>
          <w:rFonts w:ascii="Calibri" w:hAnsi="Calibri" w:cs="Calibri"/>
          <w:i/>
          <w:iCs/>
          <w:sz w:val="22"/>
          <w:szCs w:val="22"/>
        </w:rPr>
        <w:t>Flood pedagogies and adaptive learning: Toward a critical framework for flood education</w:t>
      </w:r>
      <w:r w:rsidRPr="00274FCA">
        <w:rPr>
          <w:rFonts w:ascii="Calibri" w:hAnsi="Calibri" w:cs="Calibri"/>
          <w:sz w:val="22"/>
          <w:szCs w:val="22"/>
        </w:rPr>
        <w:t xml:space="preserve"> [Manuscript submitted for publication].</w:t>
      </w:r>
    </w:p>
    <w:p w:rsidR="00133775" w:rsidRPr="00274FCA" w:rsidP="00471521">
      <w:pPr>
        <w:pStyle w:val="ListParagraph"/>
        <w:numPr>
          <w:ilvl w:val="0"/>
          <w:numId w:val="9"/>
        </w:numPr>
        <w:spacing w:after="60" w:line="276" w:lineRule="auto"/>
        <w:rPr>
          <w:rFonts w:ascii="Calibri" w:hAnsi="Calibri" w:cs="Calibri"/>
          <w:sz w:val="22"/>
          <w:szCs w:val="22"/>
        </w:rPr>
      </w:pPr>
      <w:r w:rsidRPr="00274FCA">
        <w:rPr>
          <w:rFonts w:ascii="Calibri" w:hAnsi="Calibri" w:cs="Calibri"/>
          <w:sz w:val="22"/>
          <w:szCs w:val="22"/>
        </w:rPr>
        <w:t xml:space="preserve">Lucas, M., Bocock, L., del Pozo Segura, J. M., &amp; Hillary, J. (2025). </w:t>
      </w:r>
      <w:r w:rsidRPr="00274FCA">
        <w:rPr>
          <w:rFonts w:ascii="Calibri" w:hAnsi="Calibri" w:cs="Calibri"/>
          <w:i/>
          <w:iCs/>
          <w:sz w:val="22"/>
          <w:szCs w:val="22"/>
        </w:rPr>
        <w:t>International comparisons: Investigating cross-country differences in young people’s skill development and identifying factors associated with high performance</w:t>
      </w:r>
      <w:r w:rsidRPr="00274FCA">
        <w:rPr>
          <w:rFonts w:ascii="Calibri" w:hAnsi="Calibri" w:cs="Calibri"/>
          <w:sz w:val="22"/>
          <w:szCs w:val="22"/>
        </w:rPr>
        <w:t xml:space="preserve"> (The Skills Imperative 2035 Working Paper No. 7). National Foundation for Educational Research. </w:t>
      </w:r>
      <w:r>
        <w:fldChar w:fldCharType="begin"/>
      </w:r>
      <w:r>
        <w:instrText xml:space="preserve"> HYPERLINK "https://www.nfer.ac.uk/publications/investigating-cross-country-differences-in-young-people-s-skill-development-and-identifying-factors-associated-with-high-performance/" </w:instrText>
      </w:r>
      <w:r>
        <w:fldChar w:fldCharType="separate"/>
      </w:r>
      <w:r w:rsidRPr="00274FCA">
        <w:rPr>
          <w:rStyle w:val="Hyperlink"/>
          <w:rFonts w:ascii="Calibri" w:hAnsi="Calibri" w:cs="Calibri"/>
          <w:sz w:val="22"/>
          <w:szCs w:val="22"/>
        </w:rPr>
        <w:t>https://www.nfer.ac.uk/publications/investigating-cross-country-differences-in-young-people-s-skill-development-and-identifying-factors-associated-with-high-performance/</w:t>
      </w:r>
      <w:r>
        <w:fldChar w:fldCharType="end"/>
      </w:r>
    </w:p>
    <w:p w:rsidR="00133775" w:rsidRPr="00274FCA" w:rsidP="00471521">
      <w:pPr>
        <w:pStyle w:val="ListParagraph"/>
        <w:numPr>
          <w:ilvl w:val="0"/>
          <w:numId w:val="9"/>
        </w:numPr>
        <w:spacing w:after="60" w:line="276" w:lineRule="auto"/>
        <w:rPr>
          <w:rFonts w:ascii="Calibri" w:hAnsi="Calibri" w:cs="Calibri"/>
          <w:sz w:val="22"/>
          <w:szCs w:val="22"/>
        </w:rPr>
      </w:pPr>
      <w:r w:rsidRPr="00274FCA">
        <w:rPr>
          <w:rFonts w:ascii="Calibri" w:hAnsi="Calibri" w:cs="Calibri"/>
          <w:sz w:val="22"/>
          <w:szCs w:val="22"/>
        </w:rPr>
        <w:t xml:space="preserve">The Children’s Society. (2024). </w:t>
      </w:r>
      <w:r w:rsidRPr="00274FCA">
        <w:rPr>
          <w:rFonts w:ascii="Calibri" w:hAnsi="Calibri" w:cs="Calibri"/>
          <w:i/>
          <w:iCs/>
          <w:sz w:val="22"/>
          <w:szCs w:val="22"/>
        </w:rPr>
        <w:t>The Good Childhood Report 2024</w:t>
      </w:r>
      <w:r w:rsidRPr="00274FCA">
        <w:rPr>
          <w:rFonts w:ascii="Calibri" w:hAnsi="Calibri" w:cs="Calibri"/>
          <w:sz w:val="22"/>
          <w:szCs w:val="22"/>
        </w:rPr>
        <w:t xml:space="preserve">. </w:t>
      </w:r>
      <w:r>
        <w:fldChar w:fldCharType="begin"/>
      </w:r>
      <w:r>
        <w:instrText xml:space="preserve"> HYPERLINK "https://www.childrenssociety.org.uk/information/professionals/resources/good-childhood-report-2024" </w:instrText>
      </w:r>
      <w:r>
        <w:fldChar w:fldCharType="separate"/>
      </w:r>
      <w:r w:rsidRPr="00274FCA">
        <w:rPr>
          <w:rStyle w:val="Hyperlink"/>
          <w:rFonts w:ascii="Calibri" w:hAnsi="Calibri" w:cs="Calibri"/>
          <w:sz w:val="22"/>
          <w:szCs w:val="22"/>
        </w:rPr>
        <w:t>https://www.childrenssociety.org.uk/information/professionals/resources/good-childhood-report-2024</w:t>
      </w:r>
      <w:r>
        <w:fldChar w:fldCharType="end"/>
      </w:r>
    </w:p>
    <w:p w:rsidR="00133775" w:rsidRPr="00274FCA" w:rsidP="00471521">
      <w:pPr>
        <w:pStyle w:val="ListParagraph"/>
        <w:numPr>
          <w:ilvl w:val="0"/>
          <w:numId w:val="9"/>
        </w:numPr>
        <w:spacing w:after="60" w:line="276" w:lineRule="auto"/>
        <w:rPr>
          <w:rFonts w:ascii="Calibri" w:hAnsi="Calibri" w:cs="Calibri"/>
          <w:sz w:val="22"/>
          <w:szCs w:val="22"/>
        </w:rPr>
      </w:pPr>
      <w:r w:rsidRPr="00274FCA">
        <w:rPr>
          <w:rFonts w:ascii="Calibri" w:hAnsi="Calibri" w:cs="Calibri"/>
          <w:sz w:val="22"/>
          <w:szCs w:val="22"/>
        </w:rPr>
        <w:t xml:space="preserve">Ingram, J., Stiff, J., Cadwallader, S., Lee, G., &amp; Kayton, H. (2023). </w:t>
      </w:r>
      <w:r w:rsidRPr="00274FCA">
        <w:rPr>
          <w:rFonts w:ascii="Calibri" w:hAnsi="Calibri" w:cs="Calibri"/>
          <w:i/>
          <w:iCs/>
          <w:sz w:val="22"/>
          <w:szCs w:val="22"/>
        </w:rPr>
        <w:t>PISA 2022: National report for England</w:t>
      </w:r>
      <w:r w:rsidRPr="00274FCA">
        <w:rPr>
          <w:rFonts w:ascii="Calibri" w:hAnsi="Calibri" w:cs="Calibri"/>
          <w:sz w:val="22"/>
          <w:szCs w:val="22"/>
        </w:rPr>
        <w:t xml:space="preserve">. Department for Education. </w:t>
      </w:r>
      <w:r>
        <w:fldChar w:fldCharType="begin"/>
      </w:r>
      <w:r>
        <w:instrText xml:space="preserve"> HYPERLINK "https://www.gov.uk/government/publications/pisa-2022-national-report-for-england" </w:instrText>
      </w:r>
      <w:r>
        <w:fldChar w:fldCharType="separate"/>
      </w:r>
      <w:r w:rsidRPr="00274FCA">
        <w:rPr>
          <w:rStyle w:val="Hyperlink"/>
          <w:rFonts w:ascii="Calibri" w:hAnsi="Calibri" w:cs="Calibri"/>
          <w:sz w:val="22"/>
          <w:szCs w:val="22"/>
        </w:rPr>
        <w:t>https://www.gov.uk/government/publications/pisa-2022-national-report-for-england</w:t>
      </w:r>
      <w:r>
        <w:fldChar w:fldCharType="end"/>
      </w:r>
    </w:p>
    <w:p w:rsidR="00133775" w:rsidRPr="00274FCA" w:rsidP="00471521">
      <w:pPr>
        <w:pStyle w:val="ListParagraph"/>
        <w:numPr>
          <w:ilvl w:val="0"/>
          <w:numId w:val="9"/>
        </w:numPr>
        <w:spacing w:after="60" w:line="276" w:lineRule="auto"/>
        <w:rPr>
          <w:rFonts w:ascii="Calibri" w:hAnsi="Calibri" w:cs="Calibri"/>
          <w:sz w:val="22"/>
          <w:szCs w:val="22"/>
        </w:rPr>
      </w:pPr>
      <w:r w:rsidRPr="00274FCA">
        <w:rPr>
          <w:rFonts w:ascii="Calibri" w:hAnsi="Calibri" w:cs="Calibri"/>
          <w:sz w:val="22"/>
          <w:szCs w:val="22"/>
        </w:rPr>
        <w:t xml:space="preserve">Organisation for Economic Co-operation and Development. (2023). </w:t>
      </w:r>
      <w:r w:rsidRPr="00274FCA">
        <w:rPr>
          <w:rFonts w:ascii="Calibri" w:hAnsi="Calibri" w:cs="Calibri"/>
          <w:i/>
          <w:iCs/>
          <w:sz w:val="22"/>
          <w:szCs w:val="22"/>
        </w:rPr>
        <w:t>PISA 2022 results (Volume II): Learning during—and from—disruption</w:t>
      </w:r>
      <w:r w:rsidRPr="00274FCA">
        <w:rPr>
          <w:rFonts w:ascii="Calibri" w:hAnsi="Calibri" w:cs="Calibri"/>
          <w:sz w:val="22"/>
          <w:szCs w:val="22"/>
        </w:rPr>
        <w:t xml:space="preserve">. OECD Publishing. </w:t>
      </w:r>
      <w:r>
        <w:fldChar w:fldCharType="begin"/>
      </w:r>
      <w:r>
        <w:instrText xml:space="preserve"> HYPERLINK "https://doi.org/10.1787/a97db61c-en" </w:instrText>
      </w:r>
      <w:r>
        <w:fldChar w:fldCharType="separate"/>
      </w:r>
      <w:r w:rsidRPr="00274FCA">
        <w:rPr>
          <w:rStyle w:val="Hyperlink"/>
          <w:rFonts w:ascii="Calibri" w:hAnsi="Calibri" w:cs="Calibri"/>
          <w:sz w:val="22"/>
          <w:szCs w:val="22"/>
        </w:rPr>
        <w:t>https://doi.org/10.1787/a97db61c-en</w:t>
      </w:r>
      <w:r>
        <w:fldChar w:fldCharType="end"/>
      </w:r>
    </w:p>
    <w:p w:rsidR="00274FCA" w:rsidRPr="00274FCA" w:rsidP="00274FCA">
      <w:pPr>
        <w:spacing w:after="60" w:line="276" w:lineRule="auto"/>
        <w:rPr>
          <w:rFonts w:ascii="Calibri" w:hAnsi="Calibri" w:cs="Calibri"/>
          <w:sz w:val="22"/>
          <w:szCs w:val="22"/>
        </w:rPr>
      </w:pPr>
    </w:p>
    <w:p w:rsidR="00274FCA" w:rsidRPr="00274FCA" w:rsidP="00274FCA">
      <w:pPr>
        <w:spacing w:after="60" w:line="276" w:lineRule="auto"/>
        <w:rPr>
          <w:rFonts w:ascii="Calibri" w:hAnsi="Calibri" w:cs="Calibri"/>
          <w:i/>
          <w:iCs/>
          <w:sz w:val="22"/>
          <w:szCs w:val="22"/>
        </w:rPr>
      </w:pPr>
      <w:r w:rsidRPr="00274FCA">
        <w:rPr>
          <w:rFonts w:ascii="Calibri" w:hAnsi="Calibri" w:cs="Calibri"/>
          <w:i/>
          <w:iCs/>
          <w:sz w:val="22"/>
          <w:szCs w:val="22"/>
        </w:rPr>
        <w:t>September 2026</w:t>
      </w:r>
    </w:p>
    <w:sectPr w:rsidSect="00E2289D">
      <w:pgSz w:w="11906" w:h="16838"/>
      <w:pgMar w:top="102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BB3272"/>
    <w:multiLevelType w:val="multilevel"/>
    <w:tmpl w:val="D85E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A90A79"/>
    <w:multiLevelType w:val="hybridMultilevel"/>
    <w:tmpl w:val="CA5A73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77D2C22"/>
    <w:multiLevelType w:val="multilevel"/>
    <w:tmpl w:val="9C469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F55EF8"/>
    <w:multiLevelType w:val="hybridMultilevel"/>
    <w:tmpl w:val="40D227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20E7624"/>
    <w:multiLevelType w:val="hybridMultilevel"/>
    <w:tmpl w:val="49E89A2C"/>
    <w:lvl w:ilvl="0">
      <w:start w:val="5"/>
      <w:numFmt w:val="bullet"/>
      <w:lvlText w:val=""/>
      <w:lvlJc w:val="left"/>
      <w:pPr>
        <w:ind w:left="360" w:hanging="360"/>
      </w:pPr>
      <w:rPr>
        <w:rFonts w:ascii="Symbol" w:hAnsi="Symbol" w:eastAsiaTheme="minorHAnsi" w:cstheme="minorBidi"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363B444C"/>
    <w:multiLevelType w:val="hybridMultilevel"/>
    <w:tmpl w:val="491AEBD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6755648"/>
    <w:multiLevelType w:val="hybridMultilevel"/>
    <w:tmpl w:val="93DE167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0C03474"/>
    <w:multiLevelType w:val="multilevel"/>
    <w:tmpl w:val="0D3C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B97B63"/>
    <w:multiLevelType w:val="hybridMultilevel"/>
    <w:tmpl w:val="2DE2BB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4"/>
  </w:num>
  <w:num w:numId="5">
    <w:abstractNumId w:val="1"/>
  </w:num>
  <w:num w:numId="6">
    <w:abstractNumId w:val="8"/>
  </w:num>
  <w:num w:numId="7">
    <w:abstractNumId w:val="3"/>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708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8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8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8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8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8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8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8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8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8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8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8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8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8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8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8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8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818"/>
    <w:rPr>
      <w:rFonts w:eastAsiaTheme="majorEastAsia" w:cstheme="majorBidi"/>
      <w:color w:val="272727" w:themeColor="text1" w:themeTint="D8"/>
    </w:rPr>
  </w:style>
  <w:style w:type="paragraph" w:styleId="Title">
    <w:name w:val="Title"/>
    <w:basedOn w:val="Normal"/>
    <w:next w:val="Normal"/>
    <w:link w:val="TitleChar"/>
    <w:uiPriority w:val="10"/>
    <w:qFormat/>
    <w:rsid w:val="002708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8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8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8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818"/>
    <w:pPr>
      <w:spacing w:before="160"/>
      <w:jc w:val="center"/>
    </w:pPr>
    <w:rPr>
      <w:i/>
      <w:iCs/>
      <w:color w:val="404040" w:themeColor="text1" w:themeTint="BF"/>
    </w:rPr>
  </w:style>
  <w:style w:type="character" w:customStyle="1" w:styleId="QuoteChar">
    <w:name w:val="Quote Char"/>
    <w:basedOn w:val="DefaultParagraphFont"/>
    <w:link w:val="Quote"/>
    <w:uiPriority w:val="29"/>
    <w:rsid w:val="00270818"/>
    <w:rPr>
      <w:i/>
      <w:iCs/>
      <w:color w:val="404040" w:themeColor="text1" w:themeTint="BF"/>
    </w:rPr>
  </w:style>
  <w:style w:type="paragraph" w:styleId="ListParagraph">
    <w:name w:val="List Paragraph"/>
    <w:basedOn w:val="Normal"/>
    <w:uiPriority w:val="34"/>
    <w:qFormat/>
    <w:rsid w:val="00270818"/>
    <w:pPr>
      <w:ind w:left="720"/>
      <w:contextualSpacing/>
    </w:pPr>
  </w:style>
  <w:style w:type="character" w:styleId="IntenseEmphasis">
    <w:name w:val="Intense Emphasis"/>
    <w:basedOn w:val="DefaultParagraphFont"/>
    <w:uiPriority w:val="21"/>
    <w:qFormat/>
    <w:rsid w:val="00270818"/>
    <w:rPr>
      <w:i/>
      <w:iCs/>
      <w:color w:val="0F4761" w:themeColor="accent1" w:themeShade="BF"/>
    </w:rPr>
  </w:style>
  <w:style w:type="paragraph" w:styleId="IntenseQuote">
    <w:name w:val="Intense Quote"/>
    <w:basedOn w:val="Normal"/>
    <w:next w:val="Normal"/>
    <w:link w:val="IntenseQuoteChar"/>
    <w:uiPriority w:val="30"/>
    <w:qFormat/>
    <w:rsid w:val="002708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818"/>
    <w:rPr>
      <w:i/>
      <w:iCs/>
      <w:color w:val="0F4761" w:themeColor="accent1" w:themeShade="BF"/>
    </w:rPr>
  </w:style>
  <w:style w:type="character" w:styleId="IntenseReference">
    <w:name w:val="Intense Reference"/>
    <w:basedOn w:val="DefaultParagraphFont"/>
    <w:uiPriority w:val="32"/>
    <w:qFormat/>
    <w:rsid w:val="00270818"/>
    <w:rPr>
      <w:b/>
      <w:bCs/>
      <w:smallCaps/>
      <w:color w:val="0F4761" w:themeColor="accent1" w:themeShade="BF"/>
      <w:spacing w:val="5"/>
    </w:rPr>
  </w:style>
  <w:style w:type="character" w:styleId="Hyperlink">
    <w:name w:val="Hyperlink"/>
    <w:basedOn w:val="DefaultParagraphFont"/>
    <w:uiPriority w:val="99"/>
    <w:unhideWhenUsed/>
    <w:rsid w:val="00270818"/>
    <w:rPr>
      <w:color w:val="467886" w:themeColor="hyperlink"/>
      <w:u w:val="single"/>
    </w:rPr>
  </w:style>
  <w:style w:type="character" w:customStyle="1" w:styleId="UnresolvedMention1">
    <w:name w:val="Unresolved Mention1"/>
    <w:basedOn w:val="DefaultParagraphFont"/>
    <w:uiPriority w:val="99"/>
    <w:semiHidden/>
    <w:unhideWhenUsed/>
    <w:rsid w:val="00270818"/>
    <w:rPr>
      <w:color w:val="605E5C"/>
      <w:shd w:val="clear" w:color="auto" w:fill="E1DFDD"/>
    </w:rPr>
  </w:style>
  <w:style w:type="character" w:styleId="CommentReference">
    <w:name w:val="annotation reference"/>
    <w:basedOn w:val="DefaultParagraphFont"/>
    <w:uiPriority w:val="99"/>
    <w:semiHidden/>
    <w:unhideWhenUsed/>
    <w:rsid w:val="00A84F55"/>
    <w:rPr>
      <w:sz w:val="16"/>
      <w:szCs w:val="16"/>
    </w:rPr>
  </w:style>
  <w:style w:type="paragraph" w:styleId="CommentText">
    <w:name w:val="annotation text"/>
    <w:basedOn w:val="Normal"/>
    <w:link w:val="CommentTextChar"/>
    <w:uiPriority w:val="99"/>
    <w:unhideWhenUsed/>
    <w:rsid w:val="00A84F55"/>
    <w:pPr>
      <w:spacing w:line="240" w:lineRule="auto"/>
    </w:pPr>
    <w:rPr>
      <w:sz w:val="20"/>
      <w:szCs w:val="20"/>
    </w:rPr>
  </w:style>
  <w:style w:type="character" w:customStyle="1" w:styleId="CommentTextChar">
    <w:name w:val="Comment Text Char"/>
    <w:basedOn w:val="DefaultParagraphFont"/>
    <w:link w:val="CommentText"/>
    <w:uiPriority w:val="99"/>
    <w:rsid w:val="00A84F55"/>
    <w:rPr>
      <w:sz w:val="20"/>
      <w:szCs w:val="20"/>
    </w:rPr>
  </w:style>
  <w:style w:type="paragraph" w:styleId="CommentSubject">
    <w:name w:val="annotation subject"/>
    <w:basedOn w:val="CommentText"/>
    <w:next w:val="CommentText"/>
    <w:link w:val="CommentSubjectChar"/>
    <w:uiPriority w:val="99"/>
    <w:semiHidden/>
    <w:unhideWhenUsed/>
    <w:rsid w:val="00A84F55"/>
    <w:rPr>
      <w:b/>
      <w:bCs/>
    </w:rPr>
  </w:style>
  <w:style w:type="character" w:customStyle="1" w:styleId="CommentSubjectChar">
    <w:name w:val="Comment Subject Char"/>
    <w:basedOn w:val="CommentTextChar"/>
    <w:link w:val="CommentSubject"/>
    <w:uiPriority w:val="99"/>
    <w:semiHidden/>
    <w:rsid w:val="00A84F55"/>
    <w:rPr>
      <w:b/>
      <w:bCs/>
      <w:sz w:val="20"/>
      <w:szCs w:val="20"/>
    </w:rPr>
  </w:style>
  <w:style w:type="paragraph" w:styleId="Revision">
    <w:name w:val="Revision"/>
    <w:hidden/>
    <w:uiPriority w:val="99"/>
    <w:semiHidden/>
    <w:rsid w:val="00E1716E"/>
    <w:pPr>
      <w:spacing w:after="0" w:line="240" w:lineRule="auto"/>
    </w:pPr>
  </w:style>
  <w:style w:type="paragraph" w:styleId="NormalWeb">
    <w:name w:val="Normal (Web)"/>
    <w:basedOn w:val="Normal"/>
    <w:uiPriority w:val="99"/>
    <w:semiHidden/>
    <w:unhideWhenUsed/>
    <w:rsid w:val="00E15F5E"/>
    <w:pPr>
      <w:spacing w:before="100" w:beforeAutospacing="1" w:after="100" w:afterAutospacing="1" w:line="240" w:lineRule="auto"/>
    </w:pPr>
    <w:rPr>
      <w:rFonts w:ascii="Times New Roman" w:eastAsia="Times New Roman" w:hAnsi="Times New Roman" w:cs="Times New Roman"/>
      <w:kern w:val="0"/>
      <w:lang w:eastAsia="en-GB"/>
    </w:rPr>
  </w:style>
  <w:style w:type="character" w:styleId="Emphasis">
    <w:name w:val="Emphasis"/>
    <w:basedOn w:val="DefaultParagraphFont"/>
    <w:uiPriority w:val="20"/>
    <w:qFormat/>
    <w:rsid w:val="00E15F5E"/>
    <w:rPr>
      <w:i/>
      <w:iCs/>
    </w:rPr>
  </w:style>
  <w:style w:type="character" w:styleId="FollowedHyperlink">
    <w:name w:val="FollowedHyperlink"/>
    <w:basedOn w:val="DefaultParagraphFont"/>
    <w:uiPriority w:val="99"/>
    <w:semiHidden/>
    <w:unhideWhenUsed/>
    <w:rsid w:val="00E1336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ECA0045</dc:title>
  <cp:revision>0</cp:revision>
</cp:coreProperties>
</file>