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6476" w:rsidRPr="001D5584" w:rsidP="001D5584">
      <w:pPr>
        <w:jc w:val="center"/>
        <w:rPr>
          <w:rFonts w:ascii="Calibri" w:hAnsi="Calibri" w:cs="Calibri"/>
          <w:b/>
          <w:bCs/>
        </w:rPr>
      </w:pPr>
      <w:r w:rsidRPr="001D5584">
        <w:rPr>
          <w:rFonts w:ascii="Calibri" w:hAnsi="Calibri" w:cs="Calibri"/>
          <w:b/>
          <w:bCs/>
        </w:rPr>
        <w:t>Written evidence</w:t>
      </w:r>
      <w:r w:rsidRPr="001D5584">
        <w:rPr>
          <w:rFonts w:ascii="Calibri" w:hAnsi="Calibri" w:cs="Calibri"/>
          <w:b/>
          <w:bCs/>
        </w:rPr>
        <w:t xml:space="preserve"> by Dr Will Cook (Manchester Metropolitan University)</w:t>
      </w:r>
      <w:r w:rsidRPr="001D5584" w:rsidR="001D5584">
        <w:rPr>
          <w:rFonts w:ascii="Calibri" w:hAnsi="Calibri" w:cs="Calibri"/>
          <w:b/>
          <w:bCs/>
        </w:rPr>
        <w:t xml:space="preserve"> (</w:t>
      </w:r>
      <w:r w:rsidRPr="001D5584" w:rsidR="001D5584">
        <w:rPr>
          <w:rFonts w:ascii="Calibri" w:hAnsi="Calibri" w:cs="Calibri"/>
          <w:b/>
          <w:bCs/>
        </w:rPr>
        <w:t>ECA0040</w:t>
      </w:r>
      <w:r w:rsidRPr="001D5584" w:rsidR="001D5584">
        <w:rPr>
          <w:rFonts w:ascii="Calibri" w:hAnsi="Calibri" w:cs="Calibri"/>
          <w:b/>
          <w:bCs/>
        </w:rPr>
        <w:t>)</w:t>
      </w:r>
    </w:p>
    <w:p w:rsidR="001D5584" w:rsidRPr="001D5584" w:rsidP="001D5584">
      <w:pPr>
        <w:rPr>
          <w:rFonts w:ascii="Calibri" w:hAnsi="Calibri" w:cs="Calibri"/>
          <w:b/>
          <w:bCs/>
        </w:rPr>
      </w:pPr>
      <w:r w:rsidRPr="001D5584">
        <w:rPr>
          <w:rFonts w:ascii="Calibri" w:hAnsi="Calibri" w:cs="Calibri"/>
          <w:b/>
          <w:bCs/>
        </w:rPr>
        <w:t>Education Committee</w:t>
      </w:r>
    </w:p>
    <w:p w:rsidR="001D5584" w:rsidRPr="001D5584" w:rsidP="001D5584">
      <w:pPr>
        <w:rPr>
          <w:rFonts w:ascii="Calibri" w:hAnsi="Calibri" w:cs="Calibri"/>
          <w:b/>
          <w:bCs/>
        </w:rPr>
      </w:pPr>
      <w:r w:rsidRPr="001D5584">
        <w:rPr>
          <w:rFonts w:ascii="Calibri" w:hAnsi="Calibri" w:cs="Calibri"/>
          <w:b/>
          <w:bCs/>
        </w:rPr>
        <w:t>Every Child Achieving and Thriving’ White Paper</w:t>
      </w:r>
    </w:p>
    <w:p w:rsidR="00F36476" w:rsidRPr="001D5584" w:rsidP="00F5229A">
      <w:pPr>
        <w:shd w:val="clear" w:color="auto" w:fill="FFFFFF"/>
        <w:jc w:val="both"/>
        <w:rPr>
          <w:rFonts w:ascii="Calibri" w:hAnsi="Calibri" w:cs="Calibri"/>
          <w:color w:val="242424"/>
        </w:rPr>
      </w:pPr>
      <w:r w:rsidRPr="001D5584">
        <w:rPr>
          <w:rFonts w:ascii="Calibri" w:hAnsi="Calibri" w:cs="Calibri"/>
          <w:b/>
          <w:bCs/>
          <w:color w:val="242424"/>
        </w:rPr>
        <w:t>Summary:</w:t>
      </w:r>
      <w:r w:rsidRPr="001D5584">
        <w:rPr>
          <w:rFonts w:ascii="Calibri" w:hAnsi="Calibri" w:cs="Calibri"/>
          <w:color w:val="242424"/>
        </w:rPr>
        <w:t xml:space="preserve"> </w:t>
      </w:r>
      <w:r w:rsidRPr="001D5584">
        <w:rPr>
          <w:rFonts w:ascii="Calibri" w:hAnsi="Calibri" w:cs="Calibri"/>
          <w:color w:val="242424"/>
        </w:rPr>
        <w:t>Using causally robust methods applied to national administrative data, this submission shows that pupils enrolled in secondary free schools are 4.6 percentage points more likely to achieve five good GCSEs (including English and Maths) than similar pupils, with consistent positive effects on attendance, A-level participation, and outcomes for pupils in the most deprived areas. We recommend the Committee examine what lessons from free schools' structural and pedagogical autonomy could be generalised to the tr</w:t>
      </w:r>
      <w:r w:rsidRPr="001D5584">
        <w:rPr>
          <w:rFonts w:ascii="Calibri" w:hAnsi="Calibri" w:cs="Calibri"/>
          <w:color w:val="242424"/>
        </w:rPr>
        <w:t>ust-led system, and that DfE commissions research to identify the specific mechanisms driving these effects.</w:t>
      </w:r>
    </w:p>
    <w:p w:rsidR="00F36476" w:rsidRPr="001D5584" w:rsidP="00F5229A">
      <w:pPr>
        <w:pStyle w:val="ListParagraph"/>
        <w:numPr>
          <w:ilvl w:val="0"/>
          <w:numId w:val="1"/>
        </w:numPr>
        <w:shd w:val="clear" w:color="auto" w:fill="FFFFFF"/>
        <w:jc w:val="both"/>
        <w:rPr>
          <w:rFonts w:ascii="Calibri" w:hAnsi="Calibri" w:cs="Calibri"/>
          <w:color w:val="242424"/>
        </w:rPr>
      </w:pPr>
      <w:r w:rsidRPr="001D5584">
        <w:rPr>
          <w:rFonts w:ascii="Calibri" w:hAnsi="Calibri" w:cs="Calibri"/>
          <w:color w:val="242424"/>
        </w:rPr>
        <w:t xml:space="preserve">This submission is made by Dr Will Cook (Manchester Metropolitan University), drawing on the recent study </w:t>
      </w:r>
      <w:r w:rsidRPr="001D5584">
        <w:rPr>
          <w:rFonts w:ascii="Calibri" w:hAnsi="Calibri" w:cs="Calibri"/>
          <w:i/>
          <w:iCs/>
          <w:color w:val="242424"/>
        </w:rPr>
        <w:t>Do free schools increase opportunities and reduce disparities in economic and social outcomes?</w:t>
      </w:r>
      <w:r w:rsidRPr="001D5584">
        <w:rPr>
          <w:rFonts w:ascii="Calibri" w:hAnsi="Calibri" w:cs="Calibri"/>
          <w:color w:val="242424"/>
        </w:rPr>
        <w:t> (Cook et al., 2025) conducted in collaboration with the National Foundation for Educational Research (NFER</w:t>
      </w:r>
      <w:r w:rsidRPr="001D5584">
        <w:rPr>
          <w:rFonts w:ascii="Calibri" w:hAnsi="Calibri" w:cs="Calibri"/>
          <w:color w:val="242424"/>
        </w:rPr>
        <w:t xml:space="preserve">), </w:t>
      </w:r>
      <w:r w:rsidRPr="001D5584">
        <w:rPr>
          <w:rFonts w:ascii="Calibri" w:hAnsi="Calibri" w:cs="Calibri"/>
        </w:rPr>
        <w:t xml:space="preserve"> funded</w:t>
      </w:r>
      <w:r w:rsidRPr="001D5584">
        <w:rPr>
          <w:rFonts w:ascii="Calibri" w:hAnsi="Calibri" w:cs="Calibri"/>
        </w:rPr>
        <w:t xml:space="preserve"> by UK Research and Innovation's Evaluation Development Fund. This is the most methodologically rigorous assessment to date of secondary free schools' impact on pupils, using sibling fixed-effects and difference-in-differences designs applied to National Pupil Database records linked to HESA and school-level data. The evidence is relevant to the "Raising attainment" and "Moving to a trust-led school system" sections of the Terms of Reference.</w:t>
      </w:r>
    </w:p>
    <w:p w:rsidR="00F36476" w:rsidRPr="001D5584" w:rsidP="00F5229A">
      <w:pPr>
        <w:jc w:val="both"/>
        <w:rPr>
          <w:rFonts w:ascii="Calibri" w:hAnsi="Calibri" w:cs="Calibri"/>
        </w:rPr>
      </w:pPr>
      <w:r w:rsidRPr="001D5584">
        <w:rPr>
          <w:rFonts w:ascii="Calibri" w:hAnsi="Calibri" w:cs="Calibri"/>
          <w:b/>
          <w:bCs/>
        </w:rPr>
        <w:t>Raising attainment</w:t>
      </w:r>
    </w:p>
    <w:p w:rsidR="00F36476" w:rsidRPr="001D5584" w:rsidP="00F5229A">
      <w:pPr>
        <w:numPr>
          <w:ilvl w:val="0"/>
          <w:numId w:val="2"/>
        </w:numPr>
        <w:jc w:val="both"/>
        <w:rPr>
          <w:rFonts w:ascii="Calibri" w:hAnsi="Calibri" w:cs="Calibri"/>
        </w:rPr>
      </w:pPr>
      <w:r w:rsidRPr="001D5584">
        <w:rPr>
          <w:rFonts w:ascii="Calibri" w:hAnsi="Calibri" w:cs="Calibri"/>
        </w:rPr>
        <w:t xml:space="preserve">The research found that pupils enrolled in secondary free schools were 4.6 percentage points more likely to achieve five good GCSEs (including English and Maths) than similar pupils. The methods employed are robust to family-level confounders that cannot be observed in administrative data, such as parental attitudes to education. This is important because one of the common explanations for free schools’ superior performance in school performance tables is that it is simply reflecting the characteristics of </w:t>
      </w:r>
      <w:r w:rsidRPr="001D5584">
        <w:rPr>
          <w:rFonts w:ascii="Calibri" w:hAnsi="Calibri" w:cs="Calibri"/>
        </w:rPr>
        <w:t xml:space="preserve">the pupils that attend them. The research suggests that this argument cannot fully explain free schools’ high performance, and it is likely that there are aspects of what free schools </w:t>
      </w:r>
      <w:r w:rsidRPr="001D5584">
        <w:rPr>
          <w:rFonts w:ascii="Calibri" w:hAnsi="Calibri" w:cs="Calibri"/>
          <w:i/>
          <w:iCs/>
        </w:rPr>
        <w:t>do</w:t>
      </w:r>
      <w:r w:rsidRPr="001D5584">
        <w:rPr>
          <w:rFonts w:ascii="Calibri" w:hAnsi="Calibri" w:cs="Calibri"/>
        </w:rPr>
        <w:t xml:space="preserve"> that is driving high performance.</w:t>
      </w:r>
    </w:p>
    <w:p w:rsidR="00F36476" w:rsidRPr="001D5584" w:rsidP="00F5229A">
      <w:pPr>
        <w:numPr>
          <w:ilvl w:val="0"/>
          <w:numId w:val="2"/>
        </w:numPr>
        <w:jc w:val="both"/>
        <w:rPr>
          <w:rFonts w:ascii="Calibri" w:hAnsi="Calibri" w:cs="Calibri"/>
        </w:rPr>
      </w:pPr>
      <w:r w:rsidRPr="001D5584">
        <w:rPr>
          <w:rFonts w:ascii="Calibri" w:hAnsi="Calibri" w:cs="Calibri"/>
        </w:rPr>
        <w:t xml:space="preserve">The same pattern held for Progress 8 scores, secondary school absence (a 0.7 percentage point reduction at Key Stage 4), A-level participation (+3.5 percentage points), with comparable effects for pupils in the most deprived areas. We also found </w:t>
      </w:r>
      <w:r w:rsidRPr="001D5584">
        <w:rPr>
          <w:rFonts w:ascii="Calibri" w:hAnsi="Calibri" w:cs="Calibri"/>
        </w:rPr>
        <w:t>a  statistically</w:t>
      </w:r>
      <w:r w:rsidRPr="001D5584">
        <w:rPr>
          <w:rFonts w:ascii="Calibri" w:hAnsi="Calibri" w:cs="Calibri"/>
        </w:rPr>
        <w:t xml:space="preserve"> significant effect on university enrolment (a 2.3 percentage point increase) for pupils overall, though with wider uncertainty around this estimate; this finding did not hold specifically for pupils in the most deprived areas or for enrolment at Russell Group universities.</w:t>
      </w:r>
    </w:p>
    <w:p w:rsidR="00F36476" w:rsidRPr="001D5584" w:rsidP="00F5229A">
      <w:pPr>
        <w:numPr>
          <w:ilvl w:val="0"/>
          <w:numId w:val="2"/>
        </w:numPr>
        <w:jc w:val="both"/>
        <w:rPr>
          <w:rFonts w:ascii="Calibri" w:hAnsi="Calibri" w:cs="Calibri"/>
        </w:rPr>
      </w:pPr>
      <w:r w:rsidRPr="001D5584">
        <w:rPr>
          <w:rFonts w:ascii="Calibri" w:hAnsi="Calibri" w:cs="Calibri"/>
        </w:rPr>
        <w:t>These attainment, attendance, and post-16 participation effects held for pupils in the most deprived areas, with no evidence of adverse effects on any outcome measure considered for either the general pupil population or those in deprived areas. This is directly relevant to the Government's ambition to reduce the disadvantage gap: it provides evidence that school-level structural reform, not only pupil-targeted funding, can narrow disadvantage gaps.</w:t>
      </w:r>
    </w:p>
    <w:p w:rsidR="00F36476" w:rsidRPr="001D5584" w:rsidP="00F5229A">
      <w:pPr>
        <w:jc w:val="both"/>
        <w:rPr>
          <w:rFonts w:ascii="Calibri" w:hAnsi="Calibri" w:cs="Calibri"/>
        </w:rPr>
      </w:pPr>
    </w:p>
    <w:p w:rsidR="00F36476" w:rsidRPr="001D5584" w:rsidP="00F5229A">
      <w:pPr>
        <w:jc w:val="both"/>
        <w:rPr>
          <w:rFonts w:ascii="Calibri" w:hAnsi="Calibri" w:cs="Calibri"/>
        </w:rPr>
      </w:pPr>
    </w:p>
    <w:p w:rsidR="00F36476" w:rsidRPr="001D5584" w:rsidP="00F5229A">
      <w:pPr>
        <w:jc w:val="both"/>
        <w:rPr>
          <w:rFonts w:ascii="Calibri" w:hAnsi="Calibri" w:cs="Calibri"/>
        </w:rPr>
      </w:pPr>
      <w:r w:rsidRPr="001D5584">
        <w:rPr>
          <w:rFonts w:ascii="Calibri" w:hAnsi="Calibri" w:cs="Calibri"/>
          <w:b/>
          <w:bCs/>
        </w:rPr>
        <w:t>Moving to a trust-led school system</w:t>
      </w:r>
    </w:p>
    <w:p w:rsidR="00F36476" w:rsidRPr="001D5584" w:rsidP="00F5229A">
      <w:pPr>
        <w:numPr>
          <w:ilvl w:val="0"/>
          <w:numId w:val="4"/>
        </w:numPr>
        <w:jc w:val="both"/>
        <w:rPr>
          <w:rFonts w:ascii="Calibri" w:hAnsi="Calibri" w:cs="Calibri"/>
        </w:rPr>
      </w:pPr>
      <w:r w:rsidRPr="001D5584">
        <w:rPr>
          <w:rFonts w:ascii="Calibri" w:hAnsi="Calibri" w:cs="Calibri"/>
        </w:rPr>
        <w:t>Free schools are a diverse population, spanning different curricula, ethos, and intake policies, and less than one in three secondary free schools has previously been categorised as demonstrating a genuinely novel curricular or ethos approach; nonetheless, our findings show consistently positive outcomes across a wide range of measures. We recommend the Committee ask what lessons from free schools' organisational and pedagogical flexibility could be generalised to the trust-led system more broadly, particul</w:t>
      </w:r>
      <w:r w:rsidRPr="001D5584">
        <w:rPr>
          <w:rFonts w:ascii="Calibri" w:hAnsi="Calibri" w:cs="Calibri"/>
        </w:rPr>
        <w:t>arly in relation to school autonomy and governance arrangements.</w:t>
      </w:r>
    </w:p>
    <w:p w:rsidR="00F36476" w:rsidRPr="001D5584" w:rsidP="00F5229A">
      <w:pPr>
        <w:jc w:val="both"/>
        <w:rPr>
          <w:rFonts w:ascii="Calibri" w:hAnsi="Calibri" w:cs="Calibri"/>
        </w:rPr>
      </w:pPr>
      <w:r w:rsidRPr="001D5584">
        <w:rPr>
          <w:rFonts w:ascii="Calibri" w:hAnsi="Calibri" w:cs="Calibri"/>
          <w:b/>
          <w:bCs/>
        </w:rPr>
        <w:t>Reference</w:t>
      </w:r>
    </w:p>
    <w:p w:rsidR="00F36476" w:rsidRPr="001D5584" w:rsidP="00F5229A">
      <w:pPr>
        <w:jc w:val="both"/>
        <w:rPr>
          <w:rFonts w:ascii="Calibri" w:hAnsi="Calibri" w:cs="Calibri"/>
        </w:rPr>
      </w:pPr>
      <w:r w:rsidRPr="001D5584">
        <w:rPr>
          <w:rFonts w:ascii="Calibri" w:hAnsi="Calibri" w:cs="Calibri"/>
        </w:rPr>
        <w:t xml:space="preserve">Cook, W., Smith, A., Julius, J., Manuel del Pozo Segura, J. and Wishart, R (2025), </w:t>
      </w:r>
      <w:r w:rsidRPr="001D5584">
        <w:rPr>
          <w:rFonts w:ascii="Calibri" w:hAnsi="Calibri" w:cs="Calibri"/>
          <w:i/>
          <w:iCs/>
        </w:rPr>
        <w:t>Do free schools increase opportunities and reduce disparities in economic and social outcomes?</w:t>
      </w:r>
      <w:r w:rsidRPr="001D5584">
        <w:rPr>
          <w:rFonts w:ascii="Calibri" w:hAnsi="Calibri" w:cs="Calibri"/>
        </w:rPr>
        <w:t xml:space="preserve"> Slough: NFER. </w:t>
      </w:r>
      <w:r>
        <w:fldChar w:fldCharType="begin"/>
      </w:r>
      <w:r>
        <w:instrText xml:space="preserve"> HYPERLINK "https://www.nfer.ac.uk/media/hfmecgxt/do_free_schools_increase_opportunities_and_reduce_disparities_in_economic_and_social_outcomes.pdf" </w:instrText>
      </w:r>
      <w:r>
        <w:fldChar w:fldCharType="separate"/>
      </w:r>
      <w:r w:rsidRPr="001D5584">
        <w:rPr>
          <w:rStyle w:val="Hyperlink"/>
          <w:rFonts w:ascii="Calibri" w:hAnsi="Calibri" w:cs="Calibri"/>
        </w:rPr>
        <w:t>https://www.nfer.ac.uk/media/hfmecgxt/do_free_schools_increase_opportunities_and_reduce_disparities_in_economic_and_social_outcomes.pdf</w:t>
      </w:r>
      <w:r>
        <w:fldChar w:fldCharType="end"/>
      </w:r>
    </w:p>
    <w:p w:rsidR="00F36476" w:rsidRPr="001D5584" w:rsidP="00F5229A">
      <w:pPr>
        <w:jc w:val="both"/>
        <w:rPr>
          <w:rFonts w:ascii="Calibri" w:hAnsi="Calibri" w:cs="Calibri"/>
          <w:i/>
          <w:iCs/>
        </w:rPr>
      </w:pPr>
      <w:r w:rsidRPr="001D5584">
        <w:rPr>
          <w:rFonts w:ascii="Calibri" w:hAnsi="Calibri" w:cs="Calibri"/>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843DEA"/>
    <w:multiLevelType w:val="multilevel"/>
    <w:tmpl w:val="EF1ED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CC127B"/>
    <w:multiLevelType w:val="multilevel"/>
    <w:tmpl w:val="76029C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D220B0"/>
    <w:multiLevelType w:val="multilevel"/>
    <w:tmpl w:val="6748C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4D220B1"/>
    <w:multiLevelType w:val="multilevel"/>
    <w:tmpl w:val="6748CE55"/>
    <w:lvl w:ilvl="0">
      <w:start w:val="6"/>
      <w:numFmt w:val="decimal"/>
      <w:lvlText w:val="%1."/>
      <w:lvlJc w:val="left"/>
      <w:pPr>
        <w:tabs>
          <w:tab w:val="num" w:pos="720"/>
        </w:tabs>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825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25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25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25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5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5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5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5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5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5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5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5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5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5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5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5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5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5A5"/>
    <w:rPr>
      <w:rFonts w:eastAsiaTheme="majorEastAsia" w:cstheme="majorBidi"/>
      <w:color w:val="272727" w:themeColor="text1" w:themeTint="D8"/>
    </w:rPr>
  </w:style>
  <w:style w:type="paragraph" w:styleId="Title">
    <w:name w:val="Title"/>
    <w:basedOn w:val="Normal"/>
    <w:next w:val="Normal"/>
    <w:link w:val="TitleChar"/>
    <w:uiPriority w:val="10"/>
    <w:qFormat/>
    <w:rsid w:val="00582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5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5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5A5"/>
    <w:pPr>
      <w:spacing w:before="160"/>
      <w:jc w:val="center"/>
    </w:pPr>
    <w:rPr>
      <w:i/>
      <w:iCs/>
      <w:color w:val="404040" w:themeColor="text1" w:themeTint="BF"/>
    </w:rPr>
  </w:style>
  <w:style w:type="character" w:customStyle="1" w:styleId="QuoteChar">
    <w:name w:val="Quote Char"/>
    <w:basedOn w:val="DefaultParagraphFont"/>
    <w:link w:val="Quote"/>
    <w:uiPriority w:val="29"/>
    <w:rsid w:val="005825A5"/>
    <w:rPr>
      <w:i/>
      <w:iCs/>
      <w:color w:val="404040" w:themeColor="text1" w:themeTint="BF"/>
    </w:rPr>
  </w:style>
  <w:style w:type="paragraph" w:styleId="ListParagraph">
    <w:name w:val="List Paragraph"/>
    <w:basedOn w:val="Normal"/>
    <w:uiPriority w:val="34"/>
    <w:qFormat/>
    <w:rsid w:val="005825A5"/>
    <w:pPr>
      <w:ind w:left="720"/>
      <w:contextualSpacing/>
    </w:pPr>
  </w:style>
  <w:style w:type="character" w:styleId="IntenseEmphasis">
    <w:name w:val="Intense Emphasis"/>
    <w:basedOn w:val="DefaultParagraphFont"/>
    <w:uiPriority w:val="21"/>
    <w:qFormat/>
    <w:rsid w:val="005825A5"/>
    <w:rPr>
      <w:i/>
      <w:iCs/>
      <w:color w:val="0F4761" w:themeColor="accent1" w:themeShade="BF"/>
    </w:rPr>
  </w:style>
  <w:style w:type="paragraph" w:styleId="IntenseQuote">
    <w:name w:val="Intense Quote"/>
    <w:basedOn w:val="Normal"/>
    <w:next w:val="Normal"/>
    <w:link w:val="IntenseQuoteChar"/>
    <w:uiPriority w:val="30"/>
    <w:qFormat/>
    <w:rsid w:val="005825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5A5"/>
    <w:rPr>
      <w:i/>
      <w:iCs/>
      <w:color w:val="0F4761" w:themeColor="accent1" w:themeShade="BF"/>
    </w:rPr>
  </w:style>
  <w:style w:type="character" w:styleId="IntenseReference">
    <w:name w:val="Intense Reference"/>
    <w:basedOn w:val="DefaultParagraphFont"/>
    <w:uiPriority w:val="32"/>
    <w:qFormat/>
    <w:rsid w:val="005825A5"/>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ECA0040</dc:title>
  <cp:revision>0</cp:revision>
</cp:coreProperties>
</file>