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506F" w:rsidRPr="00B46C5A" w:rsidP="00B46C5A">
      <w:pPr>
        <w:spacing w:after="0" w:line="276" w:lineRule="auto"/>
        <w:jc w:val="center"/>
        <w:rPr>
          <w:rFonts w:ascii="Calibri" w:hAnsi="Calibri" w:cs="Calibri"/>
          <w:b/>
          <w:bCs/>
          <w:sz w:val="22"/>
          <w:szCs w:val="22"/>
        </w:rPr>
      </w:pPr>
      <w:r w:rsidRPr="00B46C5A">
        <w:rPr>
          <w:rFonts w:ascii="Calibri" w:hAnsi="Calibri" w:cs="Calibri"/>
          <w:b/>
          <w:bCs/>
          <w:sz w:val="22"/>
          <w:szCs w:val="22"/>
        </w:rPr>
        <w:t xml:space="preserve">Written evidence by </w:t>
      </w:r>
      <w:r w:rsidRPr="00B46C5A">
        <w:rPr>
          <w:rFonts w:ascii="Calibri" w:hAnsi="Calibri" w:cs="Calibri"/>
          <w:b/>
          <w:bCs/>
          <w:sz w:val="22"/>
          <w:szCs w:val="22"/>
        </w:rPr>
        <w:t>The National Literacy Trust</w:t>
      </w:r>
      <w:r w:rsidRPr="00B46C5A">
        <w:rPr>
          <w:rFonts w:ascii="Calibri" w:hAnsi="Calibri" w:cs="Calibri"/>
          <w:b/>
          <w:bCs/>
          <w:sz w:val="22"/>
          <w:szCs w:val="22"/>
        </w:rPr>
        <w:t xml:space="preserve"> (</w:t>
      </w:r>
      <w:r w:rsidRPr="00B46C5A">
        <w:rPr>
          <w:rFonts w:ascii="Calibri" w:hAnsi="Calibri" w:cs="Calibri"/>
          <w:b/>
          <w:bCs/>
          <w:sz w:val="22"/>
          <w:szCs w:val="22"/>
        </w:rPr>
        <w:t>ECA0035</w:t>
      </w:r>
      <w:r w:rsidRPr="00B46C5A">
        <w:rPr>
          <w:rFonts w:ascii="Calibri" w:hAnsi="Calibri" w:cs="Calibri"/>
          <w:b/>
          <w:bCs/>
          <w:sz w:val="22"/>
          <w:szCs w:val="22"/>
        </w:rPr>
        <w:t>)</w:t>
      </w:r>
    </w:p>
    <w:p w:rsidR="00B46C5A" w:rsidRPr="00B46C5A" w:rsidP="00B46C5A">
      <w:pPr>
        <w:spacing w:after="0" w:line="276" w:lineRule="auto"/>
        <w:rPr>
          <w:rFonts w:ascii="Calibri" w:hAnsi="Calibri" w:cs="Calibri"/>
          <w:b/>
          <w:bCs/>
          <w:sz w:val="22"/>
          <w:szCs w:val="22"/>
        </w:rPr>
      </w:pPr>
      <w:r w:rsidRPr="00B46C5A">
        <w:rPr>
          <w:rFonts w:ascii="Calibri" w:hAnsi="Calibri" w:cs="Calibri"/>
          <w:b/>
          <w:bCs/>
          <w:sz w:val="22"/>
          <w:szCs w:val="22"/>
        </w:rPr>
        <w:t>Education Committee</w:t>
      </w:r>
    </w:p>
    <w:p w:rsidR="00B46C5A" w:rsidRPr="00B46C5A" w:rsidP="00B46C5A">
      <w:pPr>
        <w:spacing w:after="0" w:line="276" w:lineRule="auto"/>
        <w:rPr>
          <w:rFonts w:ascii="Calibri" w:hAnsi="Calibri" w:cs="Calibri"/>
          <w:b/>
          <w:bCs/>
          <w:sz w:val="22"/>
          <w:szCs w:val="22"/>
        </w:rPr>
      </w:pPr>
      <w:r w:rsidRPr="00B46C5A">
        <w:rPr>
          <w:rFonts w:ascii="Calibri" w:eastAsia="Aptos" w:hAnsi="Calibri" w:cs="Calibri"/>
          <w:b/>
          <w:bCs/>
          <w:sz w:val="22"/>
          <w:szCs w:val="22"/>
        </w:rPr>
        <w:t>Every Child Achieving and Thriving’ White Paper</w:t>
      </w:r>
    </w:p>
    <w:p w:rsidR="00ED506F" w:rsidRPr="00B46C5A" w:rsidP="009C360B">
      <w:pPr>
        <w:spacing w:after="0" w:line="276" w:lineRule="auto"/>
        <w:rPr>
          <w:rFonts w:ascii="Calibri" w:hAnsi="Calibri" w:cs="Calibri"/>
          <w:b/>
          <w:bCs/>
          <w:sz w:val="22"/>
          <w:szCs w:val="22"/>
        </w:rPr>
      </w:pPr>
    </w:p>
    <w:p w:rsidR="00ED506F" w:rsidRPr="00B46C5A" w:rsidP="009C360B">
      <w:pPr>
        <w:spacing w:after="0" w:line="276" w:lineRule="auto"/>
        <w:rPr>
          <w:rFonts w:ascii="Calibri" w:hAnsi="Calibri" w:cs="Calibri"/>
          <w:b/>
          <w:bCs/>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Summary</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Literacy should be at the heart of the Government's </w:t>
      </w:r>
      <w:r w:rsidRPr="00B46C5A">
        <w:rPr>
          <w:rFonts w:ascii="Calibri" w:hAnsi="Calibri" w:cs="Calibri"/>
          <w:i/>
          <w:iCs/>
          <w:sz w:val="22"/>
          <w:szCs w:val="22"/>
        </w:rPr>
        <w:t>Every Child Achieving and Thriving</w:t>
      </w:r>
      <w:r w:rsidRPr="00B46C5A">
        <w:rPr>
          <w:rFonts w:ascii="Calibri" w:hAnsi="Calibri" w:cs="Calibri"/>
          <w:sz w:val="22"/>
          <w:szCs w:val="22"/>
        </w:rPr>
        <w:t xml:space="preserve"> reforms, as it underpins educational attainment, social mobility, workforce readiness and civic participation. Literacy is not simply a component of education policy but a prerequisite for success across the education system and beyond.</w:t>
      </w:r>
      <w:r w:rsidRPr="00B46C5A">
        <w:rPr>
          <w:rFonts w:ascii="Calibri" w:hAnsi="Calibri" w:cs="Calibri"/>
          <w:sz w:val="22"/>
          <w:szCs w:val="22"/>
        </w:rPr>
        <w:t xml:space="preserve"> It is also fundamental to enabling children and young people to participate confidently in democracy, particularly as voting rights expand to </w:t>
      </w:r>
      <w:r w:rsidRPr="00B46C5A">
        <w:rPr>
          <w:rFonts w:ascii="Calibri" w:hAnsi="Calibri" w:cs="Calibri"/>
          <w:sz w:val="22"/>
          <w:szCs w:val="22"/>
        </w:rPr>
        <w:t>16 and 17 year olds</w:t>
      </w:r>
      <w:r w:rsidRPr="00B46C5A">
        <w:rPr>
          <w:rFonts w:ascii="Calibri" w:hAnsi="Calibri" w:cs="Calibri"/>
          <w:sz w:val="22"/>
          <w:szCs w:val="22"/>
        </w:rPr>
        <w:t>.</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Our research shows that only 36.1% of 8 to 18-year-olds enjoy reading in their free time, with significant disparities by region and socioeconomic background. We know that</w:t>
      </w:r>
      <w:r w:rsidRPr="00B46C5A">
        <w:rPr>
          <w:rFonts w:ascii="Calibri" w:hAnsi="Calibri" w:cs="Calibri"/>
          <w:sz w:val="22"/>
          <w:szCs w:val="22"/>
        </w:rPr>
        <w:t xml:space="preserve"> literacy inequalities begin early in life, with children's language development, access to books and exposure to language-rich environments strongly influencing later educational outcomes. Investment in early language and communication is therefore essential to improving school readiness and preventing disadvantage from becoming entrenched.</w:t>
      </w:r>
      <w:r w:rsidRPr="00B46C5A">
        <w:rPr>
          <w:rFonts w:ascii="Calibri" w:hAnsi="Calibri" w:cs="Calibri"/>
          <w:sz w:val="22"/>
          <w:szCs w:val="22"/>
        </w:rPr>
        <w:t xml:space="preserve"> This should include support for families and the home learning environment through early years provision and services such as Best Start Family Hubs, helping parents and carers develop language-rich interactions and positive reading habits from birth.</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w:t>
      </w:r>
      <w:r w:rsidRPr="00B46C5A">
        <w:rPr>
          <w:rFonts w:ascii="Calibri" w:hAnsi="Calibri" w:cs="Calibri"/>
          <w:sz w:val="22"/>
          <w:szCs w:val="22"/>
        </w:rPr>
        <w:t xml:space="preserve"> should be understood broadly, encompassing reading, writing and oracy. These skills are critical for academic success, employment and active participation in society. Research shows a strong relationship between reading enjoyment and attainment, with children who enjoy reading far more likely to read regularly and consequently develop stronger vocabulary, comprehension and writing skills.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is also linked</w:t>
      </w:r>
      <w:r w:rsidRPr="00B46C5A">
        <w:rPr>
          <w:rFonts w:ascii="Calibri" w:hAnsi="Calibri" w:cs="Calibri"/>
          <w:sz w:val="22"/>
          <w:szCs w:val="22"/>
        </w:rPr>
        <w:t xml:space="preserve"> to wider economic challenges, particularly rising levels of young people not in education, employment or training (NEET). Evidence gathered from employers reveals widespread concern about declining literacy and communication skills among young people, with many businesses reporting that poor literacy affects workforce readiness and productivity. Literacy, oracy and multimodal communication skills are increasingly essential in a society that relies on digital, visual and audio forms of communication.</w:t>
      </w:r>
      <w:r w:rsidRPr="00B46C5A">
        <w:rPr>
          <w:rFonts w:ascii="Calibri" w:hAnsi="Calibri" w:cs="Calibri"/>
          <w:sz w:val="22"/>
          <w:szCs w:val="22"/>
        </w:rPr>
        <w:t xml:space="preserve"> Digital and media literacy are now core literacy skills, enabling young people to navigate online environments safely, critically evaluate information, recognise misinformation and participate effectively in an increasingly complex information environment.</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should be seen as</w:t>
      </w:r>
      <w:r w:rsidRPr="00B46C5A">
        <w:rPr>
          <w:rFonts w:ascii="Calibri" w:hAnsi="Calibri" w:cs="Calibri"/>
          <w:sz w:val="22"/>
          <w:szCs w:val="22"/>
        </w:rPr>
        <w:t xml:space="preserve"> both a core educational entitlement and a key part of enrichment. Schools should embed reading, writing and oracy across the curriculum while also providing opportunities such as libraries, author visits, debating, theatre and creative writing. We support the Year 8 reading assessment, provided it is used as a low-stakes diagnostic tool rather than an accountability measure. Our Libraries for Primaries programme is evidence of the </w:t>
      </w:r>
      <w:r w:rsidRPr="00B46C5A">
        <w:rPr>
          <w:rFonts w:ascii="Calibri" w:hAnsi="Calibri" w:cs="Calibri"/>
          <w:sz w:val="22"/>
          <w:szCs w:val="22"/>
        </w:rPr>
        <w:t>impact high-quality reading environments can have on engagement and attainment.</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Greater investment is needed in teacher training, digital and media literacy, support for children with SEND and speech and language needs, alongside stronger partnerships between schools, families, employers and community organisations. Our place-based Literacy Hubs have improved attainment and reading engagement through coordinated local action.</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National Year of Reading is a key</w:t>
      </w:r>
      <w:r w:rsidRPr="00B46C5A">
        <w:rPr>
          <w:rFonts w:ascii="Calibri" w:hAnsi="Calibri" w:cs="Calibri"/>
          <w:sz w:val="22"/>
          <w:szCs w:val="22"/>
        </w:rPr>
        <w:t xml:space="preserve"> opportunity to improve reading engagement, particularly among teenage boys, disadvantaged families and younger children. We support the development of a Decade of Reading, building on the momentum of 2026 through a long-term strategy.</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Overall, we recommend a long-term, system-wide literacy strategy that strengthens early language development, reading engagement, workforce capability and community partnerships. Only</w:t>
      </w:r>
      <w:r w:rsidRPr="00B46C5A">
        <w:rPr>
          <w:rFonts w:ascii="Calibri" w:hAnsi="Calibri" w:cs="Calibri"/>
          <w:sz w:val="22"/>
          <w:szCs w:val="22"/>
        </w:rPr>
        <w:t xml:space="preserve"> sustained national leadership and investment in literacy will enable every child to achieve, thrive and participate fully in education, employment, democracy and society.</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Introduction</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National Literacy Trust is an independent charity working to tackle disadvantage through literacy. Since 1993, we have been working to break intergenerational cycles of low literacy by providing resources and guidance, delivering school-based programmes, publishing research and advocating for change. We also have teams on the ground in 21 areas across the country facing the greatest literacy challenges, working directly with schools, families, communities, businesses and civil society to improve literac</w:t>
      </w:r>
      <w:r w:rsidRPr="00B46C5A">
        <w:rPr>
          <w:rFonts w:ascii="Calibri" w:hAnsi="Calibri" w:cs="Calibri"/>
          <w:sz w:val="22"/>
          <w:szCs w:val="22"/>
        </w:rPr>
        <w:t>y outcomes.</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We welcome the opportunity to submit written evidence to the Education Select Committee's inquiry into the Government's </w:t>
      </w:r>
      <w:r w:rsidRPr="00B46C5A">
        <w:rPr>
          <w:rFonts w:ascii="Calibri" w:hAnsi="Calibri" w:cs="Calibri"/>
          <w:i/>
          <w:iCs/>
          <w:sz w:val="22"/>
          <w:szCs w:val="22"/>
        </w:rPr>
        <w:t>Every Child Achieving and Thriving</w:t>
      </w:r>
      <w:r w:rsidRPr="00B46C5A">
        <w:rPr>
          <w:rFonts w:ascii="Calibri" w:hAnsi="Calibri" w:cs="Calibri"/>
          <w:sz w:val="22"/>
          <w:szCs w:val="22"/>
        </w:rPr>
        <w:t xml:space="preserve"> White Paper and stand ready to provide additional evidence through written correspondence or oral evidence.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is fundamental to the success of the education system and to the Government's ambitions for attainment, school readiness, social mobility, workforce development and reduced inequality. It is not a supporting component of education reform but a precondition for it.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begins long before children enter school. Strong early language and communication skills provide the foundations for reading, writing and learning throughout childhood, while gaps that emerge in the early years often widen as children progress through education. Ensuring every child develops these foundations is therefore essential to improving school readiness and achieving the Government's ambition that every child should achieve and thrive.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Persistent and unequal literacy outcomes continue to shape children's life chances across England. National Literacy Trust data from 2026 shows that only 36.1% of children and young </w:t>
      </w:r>
      <w:r w:rsidRPr="00B46C5A">
        <w:rPr>
          <w:rFonts w:ascii="Calibri" w:hAnsi="Calibri" w:cs="Calibri"/>
          <w:sz w:val="22"/>
          <w:szCs w:val="22"/>
        </w:rPr>
        <w:t>people aged 8–18 enjoy reading in their free time, with significant inequalities across regions, communities and socioeconomic groups.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This submission sets out why literacy should be recognised as a core driver of educational attainment, participation and opportunity. It also highlights the importance of sustained investment in early language, reading, writing and oracy, alongside place-based partnerships that support children throughout their educational journey.</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sz w:val="22"/>
          <w:szCs w:val="22"/>
        </w:rPr>
      </w:pPr>
      <w:r w:rsidRPr="00B46C5A">
        <w:rPr>
          <w:rFonts w:ascii="Calibri" w:hAnsi="Calibri" w:cs="Calibri"/>
          <w:b/>
          <w:bCs/>
          <w:sz w:val="22"/>
          <w:szCs w:val="22"/>
        </w:rPr>
        <w:t>Literacy, attainment and barriers to opportunity</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Literacy is one of the strongest predictors of educational attainment and long-term life chances. Differences in reading enjoyment, frequency and access to literacy-rich environments translate directly into inequalities in attainment across the education system. </w:t>
      </w:r>
    </w:p>
    <w:p w:rsidR="00ED506F" w:rsidRPr="00B46C5A" w:rsidP="009C360B">
      <w:pPr>
        <w:spacing w:after="0" w:line="276" w:lineRule="auto"/>
        <w:ind w:left="360"/>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Writing and oracy are also </w:t>
      </w:r>
      <w:r w:rsidRPr="00B46C5A">
        <w:rPr>
          <w:rFonts w:ascii="Calibri" w:hAnsi="Calibri" w:cs="Calibri"/>
          <w:sz w:val="22"/>
          <w:szCs w:val="22"/>
        </w:rPr>
        <w:t>essential components of literacy, underpinning children’s ability to express ideas, construct arguments and participate fully in learning and employment. A balanced approach to literacy must give equal weight to reading, writing and oracy, ensuring all three strands are systematically developed across curriculum, assessment and enrichment.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National Literacy Trust research shows a clear relationship between reading engagement and outcomes. Almost half (49.8%) of children who enjoy reading read daily, compared with just 4.5% of those who do not. These differences compound over time, shaping vocabulary, comprehension, writing ability and ultimately educational attainment.</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inequality begins early. Children's early language experiences and access to books, stories and language-rich interactions influence later literacy development, educational success and wider wellbeing. Investment in early language and communication should therefore be recognised as a key element of improving school readiness and preventing disadvantage from becoming entrenched before children enter formal education.</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These inequalities in literacy development are reflected in unequal attainment outcomes and wider disparities in life chances. Literacy must therefore be treated as a core driver of attainment rather than an adjunct to it.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Reading for pleasure, writing engagement and oracy should be embedded as central educational priorities across curriculum design and school improvement frameworks.</w:t>
      </w:r>
      <w:r w:rsidRPr="00B46C5A">
        <w:rPr>
          <w:rFonts w:ascii="Calibri" w:hAnsi="Calibri" w:cs="Calibri"/>
          <w:sz w:val="22"/>
          <w:szCs w:val="22"/>
        </w:rPr>
        <w:t xml:space="preserve"> This should be complemented by support for early language development and effective transitions from early years settings into primary education, ensuring children continue to build on strong foundations as they progress through school.</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Giving young people the skills they need to thrive in school and beyond</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White Paper rightly highlights the importance of essential skills in supporting young people into education, employment and training. This comes at a critical moment. Department for Education statistics show that the proportion of young people aged 16–24 who are not in education, employment or training (NEET) is now at a 12-year high, signalling sustained challenges in post-16 participation across education, employment and training.</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This is not a marginal issue. It reflects a structural challenge in ensuring that all young people </w:t>
      </w:r>
      <w:r w:rsidRPr="00B46C5A">
        <w:rPr>
          <w:rFonts w:ascii="Calibri" w:hAnsi="Calibri" w:cs="Calibri"/>
          <w:sz w:val="22"/>
          <w:szCs w:val="22"/>
        </w:rPr>
        <w:t>are able to</w:t>
      </w:r>
      <w:r w:rsidRPr="00B46C5A">
        <w:rPr>
          <w:rFonts w:ascii="Calibri" w:hAnsi="Calibri" w:cs="Calibri"/>
          <w:sz w:val="22"/>
          <w:szCs w:val="22"/>
        </w:rPr>
        <w:t xml:space="preserve"> transition successfully from education into further learning, apprenticeships and sustained employment.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oracy and communication skills sit at the heart of this challenge.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National Literacy Trust employer and stakeholder evidence, gathered to inform our response to the Curriculum and Assessment Review, highlights widespread concern about young people's preparedness for the world of work. This included evidence from more than 200 teachers, 109 business pledge signatories (including organisations such as the Premier League, KPMG, Amazon, British Land and WHSmith), 10 organisations forming the News Network, and 21 additional education stakeholders including publishers, education</w:t>
      </w:r>
      <w:r w:rsidRPr="00B46C5A">
        <w:rPr>
          <w:rFonts w:ascii="Calibri" w:hAnsi="Calibri" w:cs="Calibri"/>
          <w:sz w:val="22"/>
          <w:szCs w:val="22"/>
        </w:rPr>
        <w:t xml:space="preserve"> providers, NHS speech and language therapists and local government representatives.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Across this evidence base, nearly nine in ten employers (88.2%) report concerns about young people's literacy skills, while 94.1% believe these skills have declined over the past five years. One in five employers (20%) report that poor literacy is already a significant constraint on their business.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Employers consistently identify communication, literacy and creativity as among the most important workplace skills, with particular emphasis on reading comprehension, information processing, critical thinking and active listening.</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Taken together, this evidence points to a widening gap between the skills young people are developing through education and those required for successful progression into further study, training and employment.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These concerns are increasingly visible in the transition from education into employment, affecting recruitment, workforce readiness and productivity.</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Strengthening literacy, oracy and communication should therefore be seen as a core part of the response to rising levels of youth unemployment. These are not additional or peripheral skills; they are foundational capabilities that underpin successful learning, participation and progression throughout life.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In addition to traditional literacy skills, young people’s communication increasingly spans digital, visual and audio formats. Multimodal literacy is therefore an essential component of preparation for education, employment and civic participation. This includes the ability to critically interpret and produce meaning across a range of media, from written text and spoken communication to digital platforms, images and video-based content.</w:t>
      </w:r>
      <w:r w:rsidRPr="00B46C5A">
        <w:rPr>
          <w:rFonts w:ascii="Calibri" w:hAnsi="Calibri" w:cs="Calibri"/>
          <w:sz w:val="22"/>
          <w:szCs w:val="22"/>
        </w:rPr>
        <w:t xml:space="preserve"> Our research has shown that multimodal literacy boosts engagement, empathy, and comprehension, and is often a gateway into wider literacy. Strengthening multimodal literacy alongside reading, writing and oracy is critical to ensuring that young people are equipped to navigate the </w:t>
      </w:r>
      <w:r w:rsidRPr="00B46C5A">
        <w:rPr>
          <w:rFonts w:ascii="Calibri" w:hAnsi="Calibri" w:cs="Calibri"/>
          <w:sz w:val="22"/>
          <w:szCs w:val="22"/>
        </w:rPr>
        <w:t>modern information environment and meet the evolving communication demands of further study and the workplace.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Ultimately, this evidence points to a widening gap between the skills young people are developing through education and those required for successful progression into further study, training and employment. These concerns are increasingly visible in the transition from education into employment, affecting recruitment, workforce readiness and productivity. Strengthening literacy, oracy and communication should therefore be seen as a core part of the response to rising levels of young people outside education</w:t>
      </w:r>
      <w:r w:rsidRPr="00B46C5A">
        <w:rPr>
          <w:rFonts w:ascii="Calibri" w:hAnsi="Calibri" w:cs="Calibri"/>
          <w:sz w:val="22"/>
          <w:szCs w:val="22"/>
        </w:rPr>
        <w:t>, employment or training.</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Beyond education and employment, literacy is also fundamental to democratic participation. As Votes at 16 legislation means the franchise will expand to include </w:t>
      </w:r>
      <w:r w:rsidRPr="00B46C5A">
        <w:rPr>
          <w:rFonts w:ascii="Calibri" w:hAnsi="Calibri" w:cs="Calibri"/>
          <w:sz w:val="22"/>
          <w:szCs w:val="22"/>
        </w:rPr>
        <w:t>16 and 17 year olds</w:t>
      </w:r>
      <w:r w:rsidRPr="00B46C5A">
        <w:rPr>
          <w:rFonts w:ascii="Calibri" w:hAnsi="Calibri" w:cs="Calibri"/>
          <w:sz w:val="22"/>
          <w:szCs w:val="22"/>
        </w:rPr>
        <w:t xml:space="preserve">, ensuring that young people are equipped to participate as informed, active citizens becomes increasingly important. This requires not only strong reading, writing and oracy skills, but also digital and media literacy, enabling young people to critically evaluate information, recognise misinformation and disinformation, </w:t>
      </w:r>
      <w:r w:rsidRPr="00B46C5A">
        <w:rPr>
          <w:rFonts w:ascii="Calibri" w:hAnsi="Calibri" w:cs="Calibri"/>
          <w:sz w:val="22"/>
          <w:szCs w:val="22"/>
        </w:rPr>
        <w:t>identify credible sources, understand diverse perspectives and engage confidently with democratic processes. Strengthening these capabilities through education will help ensure that all young people are able to exercise their democratic rights thoughtfully and participate fully in civic life.</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National Year of Reading</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National Year of Reading represents a significant opportunity to strengthen reading culture across schools, families and communities. The National Literacy Trust is proud to be a key delivery partner in this Department for Education campaign, which is grounded in a clear principle: reading should be fun, social and relevant to children and young people's lives.</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campaign recognises that reading takes place across print, digital and audio formats, reflecting the diverse ways children and young people engage with text in their everyday lives.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i/>
          <w:sz w:val="22"/>
          <w:szCs w:val="22"/>
        </w:rPr>
      </w:pPr>
      <w:r w:rsidRPr="00B46C5A">
        <w:rPr>
          <w:rFonts w:ascii="Calibri" w:hAnsi="Calibri" w:cs="Calibri"/>
          <w:sz w:val="22"/>
          <w:szCs w:val="22"/>
        </w:rPr>
        <w:t xml:space="preserve">It is designed to meet young people where they are and to go all in on engagement, reflecting the principle: </w:t>
      </w:r>
      <w:r w:rsidRPr="00B46C5A">
        <w:rPr>
          <w:rFonts w:ascii="Calibri" w:hAnsi="Calibri" w:cs="Calibri"/>
          <w:i/>
          <w:iCs/>
          <w:sz w:val="22"/>
          <w:szCs w:val="22"/>
        </w:rPr>
        <w:t>if you're into it, read into it.</w:t>
      </w:r>
    </w:p>
    <w:p w:rsidR="00ED506F" w:rsidRPr="00B46C5A" w:rsidP="009C360B">
      <w:pPr>
        <w:spacing w:after="0" w:line="276" w:lineRule="auto"/>
        <w:rPr>
          <w:rFonts w:ascii="Calibri" w:hAnsi="Calibri" w:cs="Calibri"/>
          <w: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campaign identifies teenage boys, children in the early years and families experiencing disadvantage as priority audiences. These groups experience the lowest levels of reading engagement and face the greatest structural barriers to developing positive reading habits.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At the halfway point, the campaign has already reached millions of children and thousands of schools across the UK. However, sustained progress will require long-term system change.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eastAsiaTheme="minorEastAsia" w:cs="Calibri"/>
          <w:color w:val="242424"/>
          <w:sz w:val="22"/>
          <w:szCs w:val="22"/>
        </w:rPr>
      </w:pPr>
      <w:r w:rsidRPr="00B46C5A">
        <w:rPr>
          <w:rFonts w:ascii="Calibri" w:hAnsi="Calibri" w:cs="Calibri"/>
          <w:sz w:val="22"/>
          <w:szCs w:val="22"/>
        </w:rPr>
        <w:t xml:space="preserve">The National Literacy Trust therefore supports the development of a Decade of Reading, building on the momentum of the National Year of Reading through a long-term national strategy that embeds reading for pleasure across schools, families and communities, </w:t>
      </w:r>
      <w:r w:rsidRPr="00B46C5A">
        <w:rPr>
          <w:rFonts w:ascii="Calibri" w:hAnsi="Calibri" w:cs="Calibri"/>
          <w:sz w:val="22"/>
          <w:szCs w:val="22"/>
        </w:rPr>
        <w:t xml:space="preserve">promotes engagement across print, digital and audio formats, and systematically addresses persistent inequalities in reading engagement. </w:t>
      </w:r>
    </w:p>
    <w:p w:rsidR="00ED506F" w:rsidRPr="00B46C5A" w:rsidP="009C360B">
      <w:pPr>
        <w:spacing w:after="0" w:line="276" w:lineRule="auto"/>
        <w:rPr>
          <w:rFonts w:ascii="Calibri" w:hAnsi="Calibri" w:eastAsiaTheme="minorEastAsia" w:cs="Calibri"/>
          <w:color w:val="242424"/>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eastAsia="Aptos" w:hAnsi="Calibri" w:cs="Calibri"/>
          <w:sz w:val="22"/>
          <w:szCs w:val="22"/>
        </w:rPr>
        <w:t>The level of interest in the National Year of Reading school programme, with over a third of schools across the country taking part, and the overwhelmingly positive feedback demonstrate both the strong engagement with, and clear need for, a national school development programme focused on reading for pleasure. We encourage the government to continue this programme beyond 2026, complementing the English Hubs provision, to sustain improvements in the quality of reading for pleasure and to foster greater engag</w:t>
      </w:r>
      <w:r w:rsidRPr="00B46C5A">
        <w:rPr>
          <w:rFonts w:ascii="Calibri" w:eastAsia="Aptos" w:hAnsi="Calibri" w:cs="Calibri"/>
          <w:sz w:val="22"/>
          <w:szCs w:val="22"/>
        </w:rPr>
        <w:t>ement with reading among pupils.</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eastAsia="Aptos" w:hAnsi="Calibri" w:cs="Calibri"/>
          <w:sz w:val="22"/>
          <w:szCs w:val="22"/>
        </w:rPr>
        <w:t xml:space="preserve">Alongside national efforts to strengthen reading engagement, the Government's commitment to introduce a Year 8 reading assessment provides an important opportunity to identify pupils who may require additional support with reading during secondary education. While statutory assessment currently ends at Key Stage 2, reading skills continue to develop throughout adolescence, and some pupils experience challenges that only become apparent after the transition to secondary school. This new assessment therefore </w:t>
      </w:r>
      <w:r w:rsidRPr="00B46C5A">
        <w:rPr>
          <w:rFonts w:ascii="Calibri" w:eastAsia="Aptos" w:hAnsi="Calibri" w:cs="Calibri"/>
          <w:sz w:val="22"/>
          <w:szCs w:val="22"/>
        </w:rPr>
        <w:t>offers an opportunity to identify pupils whose reading progress has slowed, enabling timely, evidence-informed interventions before literacy gaps become further entrenched. To achieve these aims, the assessment should be used as an internal diagnostic tool to aid teaching and learning, rather than for external accountability purposes. It should complement wider efforts to promote reading for pleasure and sustained reading development. Its success will depend on how the assessment is used. It should inform p</w:t>
      </w:r>
      <w:r w:rsidRPr="00B46C5A">
        <w:rPr>
          <w:rFonts w:ascii="Calibri" w:eastAsia="Aptos" w:hAnsi="Calibri" w:cs="Calibri"/>
          <w:sz w:val="22"/>
          <w:szCs w:val="22"/>
        </w:rPr>
        <w:t>rofessional judgement and targeted literacy provision, rather than creating additional accountability pressures for schools. Used in this way, the assessment could form part of a broader strategy that combines effective diagnosis with sustained investment in reading for pleasure, high-quality teaching and appropriate support for pupils who need it most.</w:t>
      </w:r>
    </w:p>
    <w:p w:rsidR="00ED506F" w:rsidRPr="00B46C5A" w:rsidP="009C360B">
      <w:pPr>
        <w:spacing w:after="0" w:line="276" w:lineRule="auto"/>
        <w:ind w:left="360"/>
        <w:rPr>
          <w:rFonts w:ascii="Calibri" w:eastAsia="Aptos"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Literacy as a core entitlement and enrichment</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Reading for pleasure, writing engagement and oracy should be recognised as both fundamental educational priorities and integral components of a high-quality enrichment offer.</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must not be confined to enrichment alone as its importance extends across the whole education system. Reading, writing and oracy should be embedded as core entitlements within curriculum expectations, school improvement strategies and accountability frameworks.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Schools should be supported to extend literacy through opportunities such as author visits, debating, creative writing, spoken word, theatre, reading clubs and wider cultural engagement. This balanced approach ensures literacy is consistently prioritised while also being deepened through experiences that build enjoyment, confidence, identity and motivation.</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tabs>
          <w:tab w:val="left" w:pos="283"/>
          <w:tab w:val="left" w:pos="680"/>
          <w:tab w:val="left" w:pos="964"/>
        </w:tabs>
        <w:suppressAutoHyphens/>
        <w:autoSpaceDE w:val="0"/>
        <w:autoSpaceDN w:val="0"/>
        <w:adjustRightInd w:val="0"/>
        <w:spacing w:after="0" w:line="276" w:lineRule="auto"/>
        <w:textAlignment w:val="center"/>
        <w:rPr>
          <w:rFonts w:ascii="Calibri" w:hAnsi="Calibri" w:cs="Calibri"/>
          <w:sz w:val="22"/>
          <w:szCs w:val="22"/>
        </w:rPr>
      </w:pPr>
      <w:r w:rsidRPr="00B46C5A">
        <w:rPr>
          <w:rFonts w:ascii="Calibri" w:hAnsi="Calibri" w:cs="Calibri"/>
          <w:sz w:val="22"/>
          <w:szCs w:val="22"/>
        </w:rPr>
        <w:t>Our Libraries for Primaries campaign is a key example of the power of literacy. Since 2021, our Libraries for Primaries campaign</w:t>
      </w:r>
      <w:r w:rsidRPr="00B46C5A">
        <w:rPr>
          <w:rFonts w:ascii="Calibri" w:hAnsi="Calibri" w:cs="Calibri"/>
          <w:sz w:val="22"/>
          <w:szCs w:val="22"/>
        </w:rPr>
        <w:t xml:space="preserve"> with Penguin Books has transformed almost 2000 primary school libraries across the UK, supported nearly 600,000 pupils to discover a love of reading, and trained 3,690 teachers to embed reading for pleasure cultures in their schools. As part of the programme, schools receive 500 brand-new, </w:t>
      </w:r>
      <w:r w:rsidRPr="00B46C5A">
        <w:rPr>
          <w:rFonts w:ascii="Calibri" w:hAnsi="Calibri" w:cs="Calibri"/>
          <w:sz w:val="22"/>
          <w:szCs w:val="22"/>
        </w:rPr>
        <w:t>high-quality and diverse books that meet pupils' interests, experiences and backgrounds; an audiobook player and story cards; and a package of furniture to support the development of their designated library space – as well as professional development training and expert support.</w:t>
      </w:r>
      <w:r w:rsidRPr="00B46C5A">
        <w:rPr>
          <w:rFonts w:ascii="Calibri" w:hAnsi="Calibri" w:cs="Calibri"/>
          <w:sz w:val="22"/>
          <w:szCs w:val="22"/>
        </w:rPr>
        <w:t xml:space="preserve"> These library spaces play an essential role in strengthening literacy engagement, and we are delighted to be delivering the government’s commitment, funded by dormant assets, to guarantee a library for all state primary schools in England by the end of this Parliament. We equally welcome the Welsh government’s pledge to ensure every primary school in Wales has a library by 2030.</w:t>
      </w:r>
    </w:p>
    <w:p w:rsidR="00ED506F" w:rsidRPr="00B46C5A" w:rsidP="009C360B">
      <w:pPr>
        <w:tabs>
          <w:tab w:val="left" w:pos="283"/>
          <w:tab w:val="left" w:pos="680"/>
          <w:tab w:val="left" w:pos="964"/>
        </w:tabs>
        <w:suppressAutoHyphens/>
        <w:autoSpaceDE w:val="0"/>
        <w:autoSpaceDN w:val="0"/>
        <w:adjustRightInd w:val="0"/>
        <w:spacing w:after="0" w:line="276" w:lineRule="auto"/>
        <w:textAlignment w:val="center"/>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Engagement with literacy</w:t>
      </w:r>
      <w:r w:rsidRPr="00B46C5A">
        <w:rPr>
          <w:rFonts w:ascii="Calibri" w:hAnsi="Calibri" w:cs="Calibri"/>
          <w:sz w:val="22"/>
          <w:szCs w:val="22"/>
        </w:rPr>
        <w:t xml:space="preserve"> should begin from the earliest stages of a child's education. Opportunities to develop language, communication and a positive relationship with books in the early years provide the foundations upon which later literacy development is built. Supporting children to develop these foundations before and during the transition into primary school should therefore form part of a coherent literacy strategy spanning the whole education system.</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Workforce, training and digital literacy</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Teachers and school leaders must be supported to deliver high-quality literacy teaching across reading, writing and oracy.</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This includes sustained professional development in reading for pleasure, writing development and oracy, alongside strengthened capability in digital and media literacy to reflect the modern information environment.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hAnsi="Calibri" w:cs="Calibri"/>
          <w:sz w:val="22"/>
          <w:szCs w:val="22"/>
        </w:rPr>
        <w:t xml:space="preserve">Digital and media literacy skills remain essential in the context of the government’s recent commitment to ban social media use for children under the age of 16. This ban could result in a </w:t>
      </w:r>
      <w:r w:rsidRPr="00B46C5A">
        <w:rPr>
          <w:rFonts w:ascii="Calibri" w:eastAsia="Aptos" w:hAnsi="Calibri" w:cs="Calibri"/>
          <w:sz w:val="22"/>
          <w:szCs w:val="22"/>
        </w:rPr>
        <w:t xml:space="preserve">“cliff edge” in exposure when children transition to less restricted digital environments in mid-adolescence, without </w:t>
      </w:r>
      <w:r w:rsidRPr="00B46C5A">
        <w:rPr>
          <w:rFonts w:ascii="Calibri" w:eastAsia="Aptos" w:hAnsi="Calibri" w:cs="Calibri"/>
          <w:sz w:val="22"/>
          <w:szCs w:val="22"/>
        </w:rPr>
        <w:t xml:space="preserve">sufficient gradual development of judgement, resilience or digital literacy skills. Teachers should be supported to provide thorough and consistent education in critical digital and media literacy to ensure that all children and young people are able to navigate digital environments confidently and safely. </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Professional development should also support practitioners to develop expertise in fostering reading engagement, recognising early literacy difficulties and responding effectively to the needs of children with SEND and speech, language and communication needs.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This is essential to ensure that inequalities in literacy development do not continue to widen.</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Supporting children with additional needs through early intervention</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White Paper rightly recognises the importance of strengthening support for children with additional needs and improving early identification of barriers to learning. Literacy should form a central part of this ambition.</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hAnsi="Calibri" w:cs="Calibri"/>
          <w:sz w:val="22"/>
          <w:szCs w:val="22"/>
        </w:rPr>
        <w:t xml:space="preserve">Children with speech, language and communication needs, alongside many pupils with SEND, are disproportionately at risk of experiencing literacy difficulties. Earlier identification, joined-up support and effective transitions between early years settings, schools and specialist services are essential to preventing these challenges from becoming entrenched. </w:t>
      </w:r>
      <w:r w:rsidRPr="00B46C5A">
        <w:rPr>
          <w:rFonts w:ascii="Calibri" w:eastAsia="Aptos" w:hAnsi="Calibri" w:cs="Calibri"/>
          <w:sz w:val="22"/>
          <w:szCs w:val="22"/>
        </w:rPr>
        <w:t>As the government seeks to enable more children with complex needs to be successfully educated in mainstream schools, greater access to high-quality, specialist continuing professional development (CPD) for teachers and school leaders is required. Equipping the mainstream workforce with the knowledge and confidence to support pupils with a wide range of additional needs will be essential to improving literacy outcomes and ensuring all children can access a high-quality education.</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As a member of the Speech, Language and Communication Alliance, the National Literacy Trust works alongside organisations across education, health and the voluntary sector to improve outcomes for children and young people with speech, language and communication needs. This collaborative work reinforces the importance of embedding language and communication development within wider literacy policy, recognising that strong oral language provides the foundation for reading, writing and learning across the curr</w:t>
      </w:r>
      <w:r w:rsidRPr="00B46C5A">
        <w:rPr>
          <w:rFonts w:ascii="Calibri" w:hAnsi="Calibri" w:cs="Calibri"/>
          <w:sz w:val="22"/>
          <w:szCs w:val="22"/>
        </w:rPr>
        <w:t>iculum.</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National Literacy Trust welcomes the continued development of Best Start Family Hubs and wider family support services, recognising the important role they can play in helping families strengthen the Home Learning Environment (HLE) by promoting language-rich interactions, early communication and positive reading habits from birth.</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Strengthening partnerships between schools, families, health professionals, local authorities and community organisations will help ensure children receive the support they need at the earliest opportunity and reduce the risk of literacy difficulties becoming entrenched over time.</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Reducing disadvantage and place-based inequalities</w:t>
      </w: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hAnsi="Calibri" w:cs="Calibri"/>
          <w:sz w:val="22"/>
          <w:szCs w:val="22"/>
        </w:rPr>
        <w:t>Delivering the Government's ambition to raise attainment, close disadvantage gaps and improve engagement with learning and foster a stronger sense of belonging will require sustained, structured partnership working across schools, communities, civil society, businesses and cultural organisations. This is particularly important where literacy development is shaped by influences beyond the school gate, including access to reading environments, cultural engagement and opportunities for language-rich interactio</w:t>
      </w:r>
      <w:r w:rsidRPr="00B46C5A">
        <w:rPr>
          <w:rFonts w:ascii="Calibri" w:hAnsi="Calibri" w:cs="Calibri"/>
          <w:sz w:val="22"/>
          <w:szCs w:val="22"/>
        </w:rPr>
        <w:t xml:space="preserve">n. </w:t>
      </w:r>
      <w:r w:rsidRPr="00B46C5A">
        <w:rPr>
          <w:rFonts w:ascii="Calibri" w:eastAsia="Aptos" w:hAnsi="Calibri" w:cs="Calibri"/>
          <w:sz w:val="22"/>
          <w:szCs w:val="22"/>
        </w:rPr>
        <w:t>Together, these experiences help children develop not only the skills to succeed academically but also a sense of connection, identity and belonging within their school and wider community.</w:t>
      </w:r>
    </w:p>
    <w:p w:rsidR="00ED506F" w:rsidRPr="00B46C5A" w:rsidP="009C360B">
      <w:pPr>
        <w:pStyle w:val="ListParagraph"/>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hAnsi="Calibri" w:cs="Calibri"/>
          <w:sz w:val="22"/>
          <w:szCs w:val="22"/>
        </w:rPr>
        <w:t xml:space="preserve">Literacy inequality in England is strongly shaped by place and the communities in which children grow up. National Literacy Trust research shows significant regional variation in </w:t>
      </w:r>
      <w:r w:rsidRPr="00B46C5A">
        <w:rPr>
          <w:rFonts w:ascii="Calibri" w:hAnsi="Calibri" w:cs="Calibri"/>
          <w:sz w:val="22"/>
          <w:szCs w:val="22"/>
        </w:rPr>
        <w:t xml:space="preserve">reading engagement, with enjoyment ranging from 43.5% in London to 29.9% in the </w:t>
      </w:r>
      <w:r w:rsidRPr="00B46C5A">
        <w:rPr>
          <w:rFonts w:ascii="Calibri" w:hAnsi="Calibri" w:cs="Calibri"/>
          <w:sz w:val="22"/>
          <w:szCs w:val="22"/>
        </w:rPr>
        <w:t>North East</w:t>
      </w:r>
      <w:r w:rsidRPr="00B46C5A">
        <w:rPr>
          <w:rFonts w:ascii="Calibri" w:hAnsi="Calibri" w:cs="Calibri"/>
          <w:sz w:val="22"/>
          <w:szCs w:val="22"/>
        </w:rPr>
        <w:t xml:space="preserve">. </w:t>
      </w:r>
      <w:r w:rsidRPr="00B46C5A">
        <w:rPr>
          <w:rFonts w:ascii="Calibri" w:eastAsia="Aptos" w:hAnsi="Calibri" w:cs="Calibri"/>
          <w:sz w:val="22"/>
          <w:szCs w:val="22"/>
        </w:rPr>
        <w:t>These disparities affect not only educational outcomes but also children's opportunities to feel included, represented and connected to the places where they live and learn.</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These deep inequalities are reflected in Government policy, including place-based approaches such as Mission </w:t>
      </w:r>
      <w:r w:rsidRPr="00B46C5A">
        <w:rPr>
          <w:rFonts w:ascii="Calibri" w:hAnsi="Calibri" w:cs="Calibri"/>
          <w:sz w:val="22"/>
          <w:szCs w:val="22"/>
        </w:rPr>
        <w:t>North East</w:t>
      </w:r>
      <w:r w:rsidRPr="00B46C5A">
        <w:rPr>
          <w:rFonts w:ascii="Calibri" w:hAnsi="Calibri" w:cs="Calibri"/>
          <w:sz w:val="22"/>
          <w:szCs w:val="22"/>
        </w:rPr>
        <w:t xml:space="preserve"> and Mission Coastal, which recognise that children's life chances are still too often shaped by postcode and that sustained action is required in areas of concentrated disadvantage.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hAnsi="Calibri" w:cs="Calibri"/>
          <w:sz w:val="22"/>
          <w:szCs w:val="22"/>
        </w:rPr>
        <w:t xml:space="preserve">Literacy is central to the success of these missions. Without stronger reading, writing and oracy skills, it will be difficult to deliver sustained improvements in attainment, participation and long-term outcomes. </w:t>
      </w:r>
      <w:r w:rsidRPr="00B46C5A">
        <w:rPr>
          <w:rFonts w:ascii="Calibri" w:eastAsia="Aptos" w:hAnsi="Calibri" w:cs="Calibri"/>
          <w:sz w:val="22"/>
          <w:szCs w:val="22"/>
        </w:rPr>
        <w:t>Equally, children who experience a strong sense of belonging at school and in their community are more likely to engage positively with learning and develop the confidence to fulfil their potential.</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eastAsia="Aptos" w:hAnsi="Calibri" w:cs="Calibri"/>
          <w:sz w:val="22"/>
          <w:szCs w:val="22"/>
        </w:rPr>
      </w:pPr>
      <w:r w:rsidRPr="00B46C5A">
        <w:rPr>
          <w:rFonts w:ascii="Calibri" w:hAnsi="Calibri" w:cs="Calibri"/>
          <w:sz w:val="22"/>
          <w:szCs w:val="22"/>
        </w:rPr>
        <w:t xml:space="preserve">The National Literacy Trust's Literacy Hubs model demonstrates how this can be achieved in practice. We work in 21 high-need areas across the UK, bringing together schools, families, libraries, community organisations and local stakeholders to build joined-up local literacy systems. </w:t>
      </w:r>
      <w:r w:rsidRPr="00B46C5A">
        <w:rPr>
          <w:rFonts w:ascii="Calibri" w:eastAsia="Aptos" w:hAnsi="Calibri" w:cs="Calibri"/>
          <w:sz w:val="22"/>
          <w:szCs w:val="22"/>
        </w:rPr>
        <w:t>By creating literacy-rich communities and strengthening relationships between children, families and local organisations, the model supports both educational progress and children's sense of belonging.</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impact is significant. In our highest priority areas, Key Stage 2 reading attainment has risen from 66% to 73% between 2023 and 2025, compared with a national increase from 73% to 75%. Beyond attainment, children in hub areas report higher reading enjoyment, increased daily reading, stronger engagement with school and home reading, and greater participation in libraries and cultural spaces.</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Place-based literacy investment provides a tested mechanism for addressing entrenched inequalities, strengthening belonging and improving life chances because all children, regardless of where they live, should have access to the tools they need to thrive.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These findings are directly linked to the White Paper's focus on reducing disadvantage gaps, improving attainment and fostering belonging. They demonstrate that sustained improvement requires coordination across education, family and community contexts, </w:t>
      </w:r>
      <w:r w:rsidRPr="00B46C5A">
        <w:rPr>
          <w:rFonts w:ascii="Calibri" w:eastAsia="Aptos" w:hAnsi="Calibri" w:cs="Calibri"/>
          <w:sz w:val="22"/>
          <w:szCs w:val="22"/>
        </w:rPr>
        <w:t xml:space="preserve">creating the conditions in which every child feels connected, valued and able to succeed, </w:t>
      </w:r>
      <w:r w:rsidRPr="00B46C5A">
        <w:rPr>
          <w:rFonts w:ascii="Calibri" w:hAnsi="Calibri" w:cs="Calibri"/>
          <w:sz w:val="22"/>
          <w:szCs w:val="22"/>
        </w:rPr>
        <w:t>rather than relying solely on school-level intervention.</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Everyone has a role to play in improving outcomes</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Partnerships with employers and cultural organisations play an important role in supporting the development of literacy, communication and oracy as essential skills for education, employment and training. National Literacy Trust engagement with more than 200 teachers and 109 employers highlights consistent concern about young people's literacy skills and their implications for workforce readiness. Employers in this evidence base consistently </w:t>
      </w:r>
      <w:r w:rsidRPr="00B46C5A">
        <w:rPr>
          <w:rFonts w:ascii="Calibri" w:hAnsi="Calibri" w:cs="Calibri"/>
          <w:sz w:val="22"/>
          <w:szCs w:val="22"/>
        </w:rPr>
        <w:t>identify communication, reading comprehension and information processing as core requirements for employment and progression.</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These insights underline the importance of strengthening opportunities for young people to apply and develop literacy skills in meaningful contexts alongside curriculum-based learning through structured engagement with employers, libraries, sports organisations and cultural partners. This should be a collective responsibility, with businesses taking a key role by providing support, training and funding. Our long-standing collaboration with the Premier League, including programmes such as </w:t>
      </w:r>
      <w:r w:rsidRPr="00B46C5A">
        <w:rPr>
          <w:rFonts w:ascii="Calibri" w:hAnsi="Calibri" w:cs="Calibri"/>
          <w:i/>
          <w:iCs/>
          <w:sz w:val="22"/>
          <w:szCs w:val="22"/>
        </w:rPr>
        <w:t>Premier League Reading Stars</w:t>
      </w:r>
      <w:r w:rsidRPr="00B46C5A">
        <w:rPr>
          <w:rFonts w:ascii="Calibri" w:hAnsi="Calibri" w:cs="Calibri"/>
          <w:sz w:val="22"/>
          <w:szCs w:val="22"/>
        </w:rPr>
        <w:t>, demonstrates how cross-sector partnerships can support the ambitions of the White Paper. By connecting reading with football clubs, players and stories that reflect children's interests, these programmes engage children who may be less likely to read for pleasure, particularly those who are disadvantaged or less engaged with traditional reading approaches. This helps strengthen reading engagement, which in turn supports literacy development over time.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Partnership working is therefore a key mechanism through which the objectives of the White Paper can be realised in practice. Maximising impact will require partnership approaches to be embedded within local and national systems, with schools supported to develop sustained relationships with libraries, cultural organisations, sports bodies, employers, health services and voluntary organisations as part of a coherent approach to improving literacy, reducing inequality and strengthening essential skills.</w:t>
      </w:r>
    </w:p>
    <w:p w:rsidR="00ED506F" w:rsidRPr="00B46C5A" w:rsidP="009C360B">
      <w:pPr>
        <w:spacing w:after="0" w:line="276" w:lineRule="auto"/>
        <w:rPr>
          <w:rFonts w:ascii="Calibri"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Recommendations</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National Literacy Trust recommends that Government:</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Make literacy a core driver of attainment, attendance and life chances</w:t>
      </w:r>
    </w:p>
    <w:p w:rsidR="00ED506F" w:rsidRPr="00B46C5A" w:rsidP="009C360B">
      <w:pPr>
        <w:pStyle w:val="ListParagraph"/>
        <w:spacing w:after="0" w:line="276" w:lineRule="auto"/>
        <w:rPr>
          <w:rFonts w:ascii="Calibri" w:eastAsia="Aptos" w:hAnsi="Calibri" w:cs="Calibri"/>
          <w:sz w:val="22"/>
          <w:szCs w:val="22"/>
        </w:rPr>
      </w:pPr>
      <w:r w:rsidRPr="00B46C5A">
        <w:rPr>
          <w:rFonts w:ascii="Calibri" w:hAnsi="Calibri" w:cs="Calibri"/>
          <w:sz w:val="22"/>
          <w:szCs w:val="22"/>
        </w:rPr>
        <w:t xml:space="preserve">Embed reading, writing and oracy as central to curriculum, assessment and school improvement frameworks, recognising literacy as fundamental to reducing attainment gaps, improving attendance, strengthening school readiness and preventing disengagement, including the risk of later disengagement from education, employment or training. </w:t>
      </w:r>
      <w:r w:rsidRPr="00B46C5A">
        <w:rPr>
          <w:rFonts w:ascii="Calibri" w:eastAsia="Aptos" w:hAnsi="Calibri" w:cs="Calibri"/>
          <w:sz w:val="22"/>
          <w:szCs w:val="22"/>
        </w:rPr>
        <w:t>As part of this approach, the proposed Year 8 reading assessment should be implemented as a low-stakes diagnostic assessment that enables schools to identify pupils requiring additional literacy support and informs effective intervention, while complementing wider work to promote reading engagement and reading for pleasure.</w:t>
      </w:r>
    </w:p>
    <w:p w:rsidR="00ED506F" w:rsidRPr="00B46C5A" w:rsidP="009C360B">
      <w:pPr>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Deliver a sustained national strategy to improve reading engagement</w:t>
      </w:r>
    </w:p>
    <w:p w:rsidR="00ED506F" w:rsidRPr="00B46C5A" w:rsidP="009C360B">
      <w:pPr>
        <w:pStyle w:val="ListParagraph"/>
        <w:spacing w:after="0" w:line="276" w:lineRule="auto"/>
        <w:rPr>
          <w:rFonts w:ascii="Calibri" w:eastAsia="Aptos" w:hAnsi="Calibri" w:cs="Calibri"/>
          <w:sz w:val="22"/>
          <w:szCs w:val="22"/>
        </w:rPr>
      </w:pPr>
      <w:r w:rsidRPr="00B46C5A">
        <w:rPr>
          <w:rFonts w:ascii="Calibri" w:hAnsi="Calibri" w:cs="Calibri"/>
          <w:sz w:val="22"/>
          <w:szCs w:val="22"/>
        </w:rPr>
        <w:t xml:space="preserve">Build on the National Year of Reading through a long-term national approach, including consideration of a Decade of Reading, that promotes reading for pleasure across print, digital and audio formats and systematically addresses unequal levels of reading engagement. </w:t>
      </w:r>
      <w:r w:rsidRPr="00B46C5A">
        <w:rPr>
          <w:rFonts w:ascii="Calibri" w:eastAsia="Aptos" w:hAnsi="Calibri" w:cs="Calibri"/>
          <w:sz w:val="22"/>
          <w:szCs w:val="22"/>
        </w:rPr>
        <w:t xml:space="preserve">We also encourage the government to continue the National Year of Reading schools programme beyond 2026, complementing the English Hubs provision, to sustain improvements in the </w:t>
      </w:r>
      <w:r w:rsidRPr="00B46C5A">
        <w:rPr>
          <w:rFonts w:ascii="Calibri" w:eastAsia="Aptos" w:hAnsi="Calibri" w:cs="Calibri"/>
          <w:sz w:val="22"/>
          <w:szCs w:val="22"/>
        </w:rPr>
        <w:t>quality of reading for pleasure and to foster greater engagement with reading among pupils.</w:t>
      </w:r>
    </w:p>
    <w:p w:rsidR="00ED506F" w:rsidRPr="00B46C5A" w:rsidP="009C360B">
      <w:pPr>
        <w:pStyle w:val="ListParagraph"/>
        <w:spacing w:after="0" w:line="276" w:lineRule="auto"/>
        <w:rPr>
          <w:rFonts w:ascii="Calibri" w:eastAsia="Aptos"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Ensure every child has access to high-quality reading environments</w:t>
      </w:r>
    </w:p>
    <w:p w:rsidR="00ED506F" w:rsidRPr="00B46C5A" w:rsidP="009C360B">
      <w:pPr>
        <w:pStyle w:val="ListParagraph"/>
        <w:spacing w:after="0" w:line="276" w:lineRule="auto"/>
        <w:rPr>
          <w:rFonts w:ascii="Calibri" w:hAnsi="Calibri" w:cs="Calibri"/>
          <w:sz w:val="22"/>
          <w:szCs w:val="22"/>
        </w:rPr>
      </w:pPr>
      <w:r w:rsidRPr="00B46C5A">
        <w:rPr>
          <w:rFonts w:ascii="Calibri" w:hAnsi="Calibri" w:cs="Calibri"/>
          <w:sz w:val="22"/>
          <w:szCs w:val="22"/>
        </w:rPr>
        <w:t>Fully deliver and sustain the commitment to primary school libraries, building on the Libraries for Primaries campaign, ensuring every child has consistent access to books, trained staff and high-quality reading spaces.</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Strengthen early language and literacy from birth</w:t>
      </w:r>
    </w:p>
    <w:p w:rsidR="00ED506F" w:rsidRPr="00B46C5A" w:rsidP="009C360B">
      <w:pPr>
        <w:pStyle w:val="ListParagraph"/>
        <w:spacing w:after="0" w:line="276" w:lineRule="auto"/>
        <w:rPr>
          <w:rFonts w:ascii="Calibri" w:hAnsi="Calibri" w:cs="Calibri"/>
          <w:sz w:val="22"/>
          <w:szCs w:val="22"/>
        </w:rPr>
      </w:pPr>
      <w:r w:rsidRPr="00B46C5A">
        <w:rPr>
          <w:rFonts w:ascii="Calibri" w:hAnsi="Calibri" w:cs="Calibri"/>
          <w:sz w:val="22"/>
          <w:szCs w:val="22"/>
        </w:rPr>
        <w:t xml:space="preserve">Build on the Government's commitment to improving school readiness by ensuring early language, communication and literacy are embedded across early years provision, family support and Best Start Family Hubs. Promote </w:t>
      </w:r>
      <w:r w:rsidRPr="00B46C5A">
        <w:rPr>
          <w:rFonts w:ascii="Calibri" w:hAnsi="Calibri" w:cs="Calibri"/>
          <w:sz w:val="22"/>
          <w:szCs w:val="22"/>
        </w:rPr>
        <w:t>joined-up</w:t>
      </w:r>
      <w:r w:rsidRPr="00B46C5A">
        <w:rPr>
          <w:rFonts w:ascii="Calibri" w:hAnsi="Calibri" w:cs="Calibri"/>
          <w:sz w:val="22"/>
          <w:szCs w:val="22"/>
        </w:rPr>
        <w:t xml:space="preserve"> working between education, health and family services so children receive timely support before literacy gaps become entrenched.</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Strengthen the literacy workforce</w:t>
      </w:r>
    </w:p>
    <w:p w:rsidR="00ED506F" w:rsidRPr="00B46C5A" w:rsidP="009C360B">
      <w:pPr>
        <w:pStyle w:val="ListParagraph"/>
        <w:spacing w:after="0" w:line="276" w:lineRule="auto"/>
        <w:rPr>
          <w:rFonts w:ascii="Calibri" w:hAnsi="Calibri" w:cs="Calibri"/>
          <w:sz w:val="22"/>
          <w:szCs w:val="22"/>
        </w:rPr>
      </w:pPr>
      <w:r w:rsidRPr="00B46C5A">
        <w:rPr>
          <w:rFonts w:ascii="Calibri" w:hAnsi="Calibri" w:cs="Calibri"/>
          <w:sz w:val="22"/>
          <w:szCs w:val="22"/>
        </w:rPr>
        <w:t>Invest in sustained, high-quality professional development for teachers, school leaders and the wider education workforce in reading, writing and oracy, alongside strengthened capability in digital and media literacy. This should include training to support reading for pleasure, early language development, effective literacy intervention, critical engagement with digital information and media, and meeting the needs of children with SEND and speech, language and communication needs. Strengthening digital and</w:t>
      </w:r>
      <w:r w:rsidRPr="00B46C5A">
        <w:rPr>
          <w:rFonts w:ascii="Calibri" w:hAnsi="Calibri" w:cs="Calibri"/>
          <w:sz w:val="22"/>
          <w:szCs w:val="22"/>
        </w:rPr>
        <w:t xml:space="preserve"> media literacy will help ensure that young people are well equipped not only for education and employment but also to participate confidently in democracy as informed and active citizens.</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Scale place-based approaches to tackle entrenched inequality</w:t>
      </w:r>
    </w:p>
    <w:p w:rsidR="00ED506F" w:rsidRPr="00B46C5A" w:rsidP="009C360B">
      <w:pPr>
        <w:pStyle w:val="ListParagraph"/>
        <w:spacing w:after="0" w:line="276" w:lineRule="auto"/>
        <w:rPr>
          <w:rFonts w:ascii="Calibri" w:hAnsi="Calibri" w:cs="Calibri"/>
          <w:sz w:val="22"/>
          <w:szCs w:val="22"/>
        </w:rPr>
      </w:pPr>
      <w:r w:rsidRPr="00B46C5A">
        <w:rPr>
          <w:rFonts w:ascii="Calibri" w:hAnsi="Calibri" w:cs="Calibri"/>
          <w:sz w:val="22"/>
          <w:szCs w:val="22"/>
        </w:rPr>
        <w:t>Recognise place-based literacy approaches as a core mechanism for addressing entrenched regional and community-level inequalities, ensuring sustained, coordinated investment in areas of highest need across schools, families and community partners.</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Embed literacy in school life</w:t>
      </w:r>
    </w:p>
    <w:p w:rsidR="00ED506F" w:rsidRPr="00B46C5A" w:rsidP="009C360B">
      <w:pPr>
        <w:pStyle w:val="ListParagraph"/>
        <w:spacing w:after="0" w:line="276" w:lineRule="auto"/>
        <w:rPr>
          <w:rFonts w:ascii="Calibri" w:hAnsi="Calibri" w:cs="Calibri"/>
          <w:sz w:val="22"/>
          <w:szCs w:val="22"/>
        </w:rPr>
      </w:pPr>
      <w:r w:rsidRPr="00B46C5A">
        <w:rPr>
          <w:rFonts w:ascii="Calibri" w:hAnsi="Calibri" w:cs="Calibri"/>
          <w:sz w:val="22"/>
          <w:szCs w:val="22"/>
        </w:rPr>
        <w:t>Ensure that reading for pleasure, writing engagement and oracy are embedded both as core educational priorities, so they are systematically reinforced through curriculum expectations and strengthened through opportunities such as author visits, creative writing, spoken word, theatre, libraries and wider cultural engagement.</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b/>
          <w:bCs/>
          <w:sz w:val="22"/>
          <w:szCs w:val="22"/>
        </w:rPr>
      </w:pPr>
      <w:r w:rsidRPr="00B46C5A">
        <w:rPr>
          <w:rFonts w:ascii="Calibri" w:hAnsi="Calibri" w:cs="Calibri"/>
          <w:b/>
          <w:bCs/>
          <w:sz w:val="22"/>
          <w:szCs w:val="22"/>
        </w:rPr>
        <w:t>Strengthen cross-sector partnership working to improve literacy outcomes</w:t>
      </w:r>
    </w:p>
    <w:p w:rsidR="00ED506F" w:rsidRPr="00B46C5A" w:rsidP="009C360B">
      <w:pPr>
        <w:pStyle w:val="ListParagraph"/>
        <w:spacing w:after="0" w:line="276" w:lineRule="auto"/>
        <w:rPr>
          <w:rFonts w:ascii="Calibri" w:eastAsia="Aptos" w:hAnsi="Calibri" w:cs="Calibri"/>
          <w:sz w:val="22"/>
          <w:szCs w:val="22"/>
        </w:rPr>
      </w:pPr>
      <w:r w:rsidRPr="00B46C5A">
        <w:rPr>
          <w:rFonts w:ascii="Calibri" w:hAnsi="Calibri" w:cs="Calibri"/>
          <w:sz w:val="22"/>
          <w:szCs w:val="22"/>
        </w:rPr>
        <w:t xml:space="preserve">Enable and incentivise sustained collaboration between schools, families, libraries, civil society, employers, cultural organisations and the business community, recognising literacy as a shared social responsibility that also delivers long-term economic value. Schools should be supported to build structured, long-term partnerships that strengthen reading engagement, communication and oracy development. </w:t>
      </w:r>
      <w:r w:rsidRPr="00B46C5A">
        <w:rPr>
          <w:rFonts w:ascii="Calibri" w:eastAsia="Aptos" w:hAnsi="Calibri" w:cs="Calibri"/>
          <w:sz w:val="22"/>
          <w:szCs w:val="22"/>
        </w:rPr>
        <w:t>Building these partnerships should be recognised as a shared responsibility, with appropriate support and investment to enable effective collaboration.</w:t>
      </w:r>
    </w:p>
    <w:p w:rsidR="00ED506F" w:rsidRPr="00B46C5A" w:rsidP="009C360B">
      <w:pPr>
        <w:pStyle w:val="ListParagraph"/>
        <w:spacing w:after="0" w:line="276" w:lineRule="auto"/>
        <w:rPr>
          <w:rFonts w:ascii="Calibri" w:eastAsia="Aptos" w:hAnsi="Calibri" w:cs="Calibri"/>
          <w:sz w:val="22"/>
          <w:szCs w:val="22"/>
        </w:rPr>
      </w:pPr>
    </w:p>
    <w:p w:rsidR="00ED506F" w:rsidRPr="00B46C5A" w:rsidP="009C360B">
      <w:pPr>
        <w:spacing w:after="0" w:line="276" w:lineRule="auto"/>
        <w:rPr>
          <w:rFonts w:ascii="Calibri" w:hAnsi="Calibri" w:cs="Calibri"/>
          <w:b/>
          <w:bCs/>
          <w:sz w:val="22"/>
          <w:szCs w:val="22"/>
        </w:rPr>
      </w:pPr>
      <w:r w:rsidRPr="00B46C5A">
        <w:rPr>
          <w:rFonts w:ascii="Calibri" w:hAnsi="Calibri" w:cs="Calibri"/>
          <w:b/>
          <w:bCs/>
          <w:sz w:val="22"/>
          <w:szCs w:val="22"/>
        </w:rPr>
        <w:t>Conclusion</w:t>
      </w: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Literacy is not a supporting element of education reform; it is a condition of its success.</w:t>
      </w:r>
    </w:p>
    <w:p w:rsidR="00ED506F" w:rsidRPr="00B46C5A" w:rsidP="009C360B">
      <w:pPr>
        <w:pStyle w:val="ListParagraph"/>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Persistent and unequal literacy outcomes continue to shape children's life chances, educational attainment and future employment prospects. These inequalities are visible across regions, communities and socioeconomic groups and are closely linked to wider disparities in participation, opportunity and social mobility.</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Addressing these inequalities requires sustained action across the whole educational journey, from supporting early language development before children enter school through to strengthening reading engagement, communication and literacy throughout secondary education and into employment. Earlier intervention, strong family support and coordinated local partnerships are essential to ensuring disadvantage does not become entrenched.</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The National Year of Reading provides an important foundation, but only sustained system change through a long-term national approach will ensure lasting impact.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Strengthening literacy across curriculum, workforce, early years, enrichment and place-based systems is essential if every child is to achieve and thrive.</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In an increasingly complex digital information environment, this focus on literacy, including digital and media literacy, </w:t>
      </w:r>
      <w:r w:rsidRPr="00B46C5A">
        <w:rPr>
          <w:rFonts w:ascii="Calibri" w:hAnsi="Calibri" w:cs="Calibri"/>
          <w:sz w:val="22"/>
          <w:szCs w:val="22"/>
        </w:rPr>
        <w:t xml:space="preserve">is also essential to ensuring that children and young people can participate confidently in democracy as informed, active citizens throughout their lives. This is particularly timely given current Votes at 16 </w:t>
      </w:r>
      <w:r w:rsidRPr="00B46C5A">
        <w:rPr>
          <w:rFonts w:ascii="Calibri" w:hAnsi="Calibri" w:cs="Calibri"/>
          <w:sz w:val="22"/>
          <w:szCs w:val="22"/>
        </w:rPr>
        <w:t>legislation</w:t>
      </w:r>
      <w:r w:rsidRPr="00B46C5A">
        <w:rPr>
          <w:rFonts w:ascii="Calibri" w:hAnsi="Calibri" w:cs="Calibri"/>
          <w:sz w:val="22"/>
          <w:szCs w:val="22"/>
        </w:rPr>
        <w:t>.</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Delivering these ambitions will require sustained national leadership alongside long-term investment that matches the scale of the challenge, ensuring schools, families and communities have the capacity to support every child to develop the literacy skills they need to succeed. </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O</w:t>
      </w:r>
      <w:r w:rsidRPr="00B46C5A">
        <w:rPr>
          <w:rFonts w:ascii="Calibri" w:hAnsi="Calibri" w:cs="Calibri"/>
          <w:sz w:val="22"/>
          <w:szCs w:val="22"/>
        </w:rPr>
        <w:t>nly long-term, system-wide reform can meet the ambitions of the White Paper.</w:t>
      </w:r>
    </w:p>
    <w:p w:rsidR="00ED506F" w:rsidRPr="00B46C5A" w:rsidP="009C360B">
      <w:pPr>
        <w:spacing w:after="0" w:line="276" w:lineRule="auto"/>
        <w:rPr>
          <w:rFonts w:ascii="Calibri" w:hAnsi="Calibri" w:cs="Calibri"/>
          <w:sz w:val="22"/>
          <w:szCs w:val="22"/>
        </w:rPr>
      </w:pPr>
    </w:p>
    <w:p w:rsidR="00ED506F" w:rsidRPr="00B46C5A" w:rsidP="009C360B">
      <w:pPr>
        <w:pStyle w:val="ListParagraph"/>
        <w:numPr>
          <w:ilvl w:val="0"/>
          <w:numId w:val="1"/>
        </w:numPr>
        <w:spacing w:after="0" w:line="276" w:lineRule="auto"/>
        <w:rPr>
          <w:rFonts w:ascii="Calibri" w:hAnsi="Calibri" w:cs="Calibri"/>
          <w:sz w:val="22"/>
          <w:szCs w:val="22"/>
        </w:rPr>
      </w:pPr>
      <w:r w:rsidRPr="00B46C5A">
        <w:rPr>
          <w:rFonts w:ascii="Calibri" w:hAnsi="Calibri" w:cs="Calibri"/>
          <w:sz w:val="22"/>
          <w:szCs w:val="22"/>
        </w:rPr>
        <w:t xml:space="preserve">The National Literacy Trust welcomes the opportunity to continue working with Government, Parliament and partners across education, health, business and civil society to help realise the ambitions of </w:t>
      </w:r>
      <w:r w:rsidRPr="00B46C5A">
        <w:rPr>
          <w:rFonts w:ascii="Calibri" w:hAnsi="Calibri" w:cs="Calibri"/>
          <w:sz w:val="22"/>
          <w:szCs w:val="22"/>
        </w:rPr>
        <w:t xml:space="preserve">the </w:t>
      </w:r>
      <w:r w:rsidRPr="00B46C5A">
        <w:rPr>
          <w:rFonts w:ascii="Calibri" w:hAnsi="Calibri" w:cs="Calibri"/>
          <w:i/>
          <w:iCs/>
          <w:sz w:val="22"/>
          <w:szCs w:val="22"/>
        </w:rPr>
        <w:t>Every</w:t>
      </w:r>
      <w:r w:rsidRPr="00B46C5A">
        <w:rPr>
          <w:rFonts w:ascii="Calibri" w:hAnsi="Calibri" w:cs="Calibri"/>
          <w:i/>
          <w:iCs/>
          <w:sz w:val="22"/>
          <w:szCs w:val="22"/>
        </w:rPr>
        <w:t xml:space="preserve"> Child Achieving and Thriving</w:t>
      </w:r>
      <w:r w:rsidRPr="00B46C5A">
        <w:rPr>
          <w:rFonts w:ascii="Calibri" w:hAnsi="Calibri" w:cs="Calibri"/>
          <w:sz w:val="22"/>
          <w:szCs w:val="22"/>
        </w:rPr>
        <w:t xml:space="preserve"> White Paper and ensure that literacy remains at the heart of education reform.</w:t>
      </w:r>
    </w:p>
    <w:p w:rsidR="00B46C5A" w:rsidRPr="00B46C5A" w:rsidP="00B46C5A">
      <w:pPr>
        <w:spacing w:after="0" w:line="276" w:lineRule="auto"/>
        <w:rPr>
          <w:rFonts w:ascii="Calibri" w:hAnsi="Calibri" w:cs="Calibri"/>
          <w:sz w:val="22"/>
          <w:szCs w:val="22"/>
        </w:rPr>
      </w:pPr>
    </w:p>
    <w:p w:rsidR="00B46C5A" w:rsidRPr="00B46C5A" w:rsidP="00B46C5A">
      <w:pPr>
        <w:spacing w:after="0" w:line="276" w:lineRule="auto"/>
        <w:rPr>
          <w:rFonts w:ascii="Calibri" w:hAnsi="Calibri" w:cs="Calibri"/>
          <w:i/>
          <w:iCs/>
          <w:sz w:val="22"/>
          <w:szCs w:val="22"/>
        </w:rPr>
      </w:pPr>
      <w:r w:rsidRPr="00B46C5A">
        <w:rPr>
          <w:rFonts w:ascii="Calibri" w:hAnsi="Calibri" w:cs="Calibri"/>
          <w:i/>
          <w:iCs/>
          <w:sz w:val="22"/>
          <w:szCs w:val="22"/>
        </w:rPr>
        <w:t>September 2026</w:t>
      </w:r>
    </w:p>
    <w:p w:rsidR="00ED506F" w:rsidRPr="00B46C5A">
      <w:pPr>
        <w:rPr>
          <w:rFonts w:ascii="Calibri" w:hAnsi="Calibri" w:cs="Calibri"/>
          <w:sz w:val="22"/>
          <w:szCs w:val="22"/>
        </w:rPr>
      </w:pPr>
    </w:p>
    <w:sectPr w:rsidSect="009C360B">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76802081"/>
      <w:docPartObj>
        <w:docPartGallery w:val="Page Numbers (Bottom of Page)"/>
        <w:docPartUnique/>
      </w:docPartObj>
    </w:sdtPr>
    <w:sdtContent>
      <w:p w:rsidR="00ED506F">
        <w:pPr>
          <w:pStyle w:val="Footer"/>
          <w:jc w:val="center"/>
        </w:pPr>
        <w:r>
          <w:fldChar w:fldCharType="begin"/>
        </w:r>
        <w:r>
          <w:instrText>PAGE   \* MERGEFORMAT</w:instrText>
        </w:r>
        <w:r>
          <w:fldChar w:fldCharType="separate"/>
        </w:r>
        <w:r>
          <w:t>2</w:t>
        </w:r>
        <w:r>
          <w:fldChar w:fldCharType="end"/>
        </w:r>
      </w:p>
    </w:sdtContent>
  </w:sdt>
  <w:p w:rsidR="00ED506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A1141D"/>
    <w:multiLevelType w:val="hybridMultilevel"/>
    <w:tmpl w:val="C6B827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60B"/>
  </w:style>
  <w:style w:type="paragraph" w:styleId="Heading1">
    <w:name w:val="heading 1"/>
    <w:basedOn w:val="Normal"/>
    <w:next w:val="Normal"/>
    <w:link w:val="Heading1Char"/>
    <w:uiPriority w:val="9"/>
    <w:qFormat/>
    <w:rsid w:val="009C3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6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6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6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6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60B"/>
    <w:rPr>
      <w:rFonts w:eastAsiaTheme="majorEastAsia" w:cstheme="majorBidi"/>
      <w:color w:val="272727" w:themeColor="text1" w:themeTint="D8"/>
    </w:rPr>
  </w:style>
  <w:style w:type="paragraph" w:styleId="Title">
    <w:name w:val="Title"/>
    <w:basedOn w:val="Normal"/>
    <w:next w:val="Normal"/>
    <w:link w:val="TitleChar"/>
    <w:uiPriority w:val="10"/>
    <w:qFormat/>
    <w:rsid w:val="009C3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6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60B"/>
    <w:pPr>
      <w:spacing w:before="160"/>
      <w:jc w:val="center"/>
    </w:pPr>
    <w:rPr>
      <w:i/>
      <w:iCs/>
      <w:color w:val="404040" w:themeColor="text1" w:themeTint="BF"/>
    </w:rPr>
  </w:style>
  <w:style w:type="character" w:customStyle="1" w:styleId="QuoteChar">
    <w:name w:val="Quote Char"/>
    <w:basedOn w:val="DefaultParagraphFont"/>
    <w:link w:val="Quote"/>
    <w:uiPriority w:val="29"/>
    <w:rsid w:val="009C360B"/>
    <w:rPr>
      <w:i/>
      <w:iCs/>
      <w:color w:val="404040" w:themeColor="text1" w:themeTint="BF"/>
    </w:rPr>
  </w:style>
  <w:style w:type="paragraph" w:styleId="ListParagraph">
    <w:name w:val="List Paragraph"/>
    <w:basedOn w:val="Normal"/>
    <w:uiPriority w:val="34"/>
    <w:qFormat/>
    <w:rsid w:val="009C360B"/>
    <w:pPr>
      <w:ind w:left="720"/>
      <w:contextualSpacing/>
    </w:pPr>
  </w:style>
  <w:style w:type="character" w:styleId="IntenseEmphasis">
    <w:name w:val="Intense Emphasis"/>
    <w:basedOn w:val="DefaultParagraphFont"/>
    <w:uiPriority w:val="21"/>
    <w:qFormat/>
    <w:rsid w:val="009C360B"/>
    <w:rPr>
      <w:i/>
      <w:iCs/>
      <w:color w:val="0F4761" w:themeColor="accent1" w:themeShade="BF"/>
    </w:rPr>
  </w:style>
  <w:style w:type="paragraph" w:styleId="IntenseQuote">
    <w:name w:val="Intense Quote"/>
    <w:basedOn w:val="Normal"/>
    <w:next w:val="Normal"/>
    <w:link w:val="IntenseQuoteChar"/>
    <w:uiPriority w:val="30"/>
    <w:qFormat/>
    <w:rsid w:val="009C3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60B"/>
    <w:rPr>
      <w:i/>
      <w:iCs/>
      <w:color w:val="0F4761" w:themeColor="accent1" w:themeShade="BF"/>
    </w:rPr>
  </w:style>
  <w:style w:type="character" w:styleId="IntenseReference">
    <w:name w:val="Intense Reference"/>
    <w:basedOn w:val="DefaultParagraphFont"/>
    <w:uiPriority w:val="32"/>
    <w:qFormat/>
    <w:rsid w:val="009C360B"/>
    <w:rPr>
      <w:b/>
      <w:bCs/>
      <w:smallCaps/>
      <w:color w:val="0F4761" w:themeColor="accent1" w:themeShade="BF"/>
      <w:spacing w:val="5"/>
    </w:rPr>
  </w:style>
  <w:style w:type="paragraph" w:styleId="Footer">
    <w:name w:val="footer"/>
    <w:basedOn w:val="Normal"/>
    <w:link w:val="FooterChar"/>
    <w:uiPriority w:val="99"/>
    <w:unhideWhenUsed/>
    <w:rsid w:val="009C3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ECA0035</dc:title>
  <cp:revision>0</cp:revision>
</cp:coreProperties>
</file>