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1F18" w:rsidP="311777F2">
      <w:pPr>
        <w:rPr>
          <w:b/>
          <w:bCs/>
        </w:rPr>
      </w:pPr>
    </w:p>
    <w:p w:rsidR="00E01F18" w:rsidP="311777F2">
      <w:pPr>
        <w:rPr>
          <w:b/>
          <w:bCs/>
        </w:rPr>
      </w:pPr>
    </w:p>
    <w:p w:rsidR="00E01F18" w:rsidP="00286100">
      <w:pPr>
        <w:jc w:val="center"/>
        <w:rPr>
          <w:b/>
          <w:bCs/>
        </w:rPr>
      </w:pPr>
      <w:r w:rsidRPr="00F357B8">
        <w:rPr>
          <w:b/>
          <w:bCs/>
        </w:rPr>
        <w:t>Written evidence submitted by the Down’s Syndrome Association (DSA)</w:t>
      </w:r>
      <w:r w:rsidR="00286100">
        <w:rPr>
          <w:b/>
          <w:bCs/>
        </w:rPr>
        <w:t xml:space="preserve"> (ECA0030)</w:t>
      </w:r>
    </w:p>
    <w:p w:rsidR="00286100" w:rsidRPr="00F357B8" w:rsidP="00286100">
      <w:pPr>
        <w:jc w:val="center"/>
        <w:rPr>
          <w:b/>
          <w:bCs/>
        </w:rPr>
      </w:pPr>
    </w:p>
    <w:p w:rsidR="00E01F18" w:rsidRPr="00F357B8" w:rsidP="00F357B8">
      <w:pPr>
        <w:rPr>
          <w:b/>
          <w:bCs/>
        </w:rPr>
      </w:pPr>
      <w:r w:rsidRPr="00F357B8">
        <w:rPr>
          <w:b/>
          <w:bCs/>
        </w:rPr>
        <w:t>About the Down’s Syndrome Association</w:t>
      </w:r>
    </w:p>
    <w:p w:rsidR="00E01F18" w:rsidRPr="00F357B8" w:rsidP="00F357B8">
      <w:r w:rsidRPr="00F357B8">
        <w:t>The Down’s Syndrome Association (DSA) supports people who have Down’s syndrome and their families across England, Wales and Northern Ireland. Through our helpline, specialist services, training, local support network, policy work and engagement with families, education professionals and policymakers, we have extensive insight into the experiences of children and young people in the education system.</w:t>
      </w:r>
    </w:p>
    <w:p w:rsidR="00E01F18" w:rsidRPr="00F357B8" w:rsidP="00F357B8">
      <w:r w:rsidRPr="00F357B8">
        <w:t>While this inquiry is not examining the Government's specific SEND reform proposals, we believe the experiences of pupils who have Down’s syndrome provide an important lens through which to assess whether wider reforms to schools, accountability, attendance, behaviour, workforce development and inclusion will deliver for all children.</w:t>
      </w:r>
    </w:p>
    <w:p w:rsidR="00E01F18" w:rsidRPr="00F357B8" w:rsidP="00F357B8">
      <w:r w:rsidRPr="00F357B8">
        <w:t>Our evidence is drawn from engagement with families, young people and education professionals undertaken as part of our wider policy and consultation work.</w:t>
      </w:r>
    </w:p>
    <w:p w:rsidR="00E01F18" w:rsidP="00F357B8"/>
    <w:p w:rsidR="00E01F18" w:rsidRPr="00F357B8" w:rsidP="00F357B8"/>
    <w:p w:rsidR="00E01F18" w:rsidRPr="00F357B8" w:rsidP="00F357B8">
      <w:pPr>
        <w:rPr>
          <w:b/>
          <w:bCs/>
        </w:rPr>
      </w:pPr>
      <w:r w:rsidRPr="00F357B8">
        <w:rPr>
          <w:b/>
          <w:bCs/>
        </w:rPr>
        <w:t>Key message</w:t>
      </w:r>
    </w:p>
    <w:p w:rsidR="00E01F18" w:rsidRPr="00F357B8" w:rsidP="00F357B8">
      <w:r w:rsidRPr="00F357B8">
        <w:t>The Government's ambitions to raise attainment, reduce disadvantage and improve attendance can only be achieved if children and young people with disabilities and learning disabilities are fully included within the education system.</w:t>
      </w:r>
    </w:p>
    <w:p w:rsidR="00E01F18" w:rsidRPr="00F357B8" w:rsidP="00F357B8">
      <w:r w:rsidRPr="00F357B8">
        <w:t>Too often, success within schools is measured primarily through academic outcomes. For many children who have Down’s syndrome, educational success also includes communication, independence, confidence, friendships, participation in school life, emotional wellbeing, preparation for adulthood and progression towards employment and community participation.</w:t>
      </w:r>
    </w:p>
    <w:p w:rsidR="00E01F18" w:rsidRPr="00F357B8" w:rsidP="00F357B8">
      <w:r>
        <w:t>School reforms should ensure that these outcomes are recognised, valued and supported.</w:t>
      </w:r>
    </w:p>
    <w:p w:rsidR="00E01F18"/>
    <w:p w:rsidR="00E01F18" w:rsidP="00F357B8"/>
    <w:p w:rsidR="00E01F18" w:rsidRPr="00F357B8" w:rsidP="00F357B8">
      <w:pPr>
        <w:rPr>
          <w:b/>
          <w:bCs/>
        </w:rPr>
      </w:pPr>
      <w:r w:rsidRPr="00F357B8">
        <w:rPr>
          <w:b/>
          <w:bCs/>
        </w:rPr>
        <w:t>Raising attainment and reducing disadvantage</w:t>
      </w:r>
    </w:p>
    <w:p w:rsidR="00E01F18" w:rsidRPr="00F357B8" w:rsidP="00F357B8">
      <w:r w:rsidRPr="00F357B8">
        <w:t>We support efforts to improve educational outcomes for all children. However, accountability measures must recognise the diverse ways in which pupils make progress.</w:t>
      </w:r>
    </w:p>
    <w:p w:rsidR="00E01F18" w:rsidRPr="00F357B8" w:rsidP="00F357B8">
      <w:r w:rsidRPr="00F357B8">
        <w:t>Families frequently tell us that a narrow focus on examination outcomes can unintentionally discourage inclusive practice. Where schools feel under pressure to prioritise performance measures, pupils with learning disabilities can find themselves excluded from aspects of the curriculum, entered for fewer qualifications, or steered towards pathways based on assumptions about their capabilities rather than their aspirations.</w:t>
      </w:r>
    </w:p>
    <w:p w:rsidR="00E01F18" w:rsidRPr="00F357B8" w:rsidP="00F357B8">
      <w:r w:rsidRPr="00F357B8">
        <w:t>A genuinely ambitious education system should recognise and celebrate progress for all learners. Measures of school performance should include consideration of inclusion, participation, preparation for adulthood and wider outcomes alongside academic attainment.</w:t>
      </w:r>
    </w:p>
    <w:p w:rsidR="00E01F18" w:rsidRPr="00F357B8" w:rsidP="00F357B8">
      <w:r>
        <w:t>The Government's ambition to reduce disadvantage should also explicitly include disabled children and young people. Educational disadvantage is often compounded where disability intersects with poverty, ethnicity, limited access to advocacy and wider inequalities. Reforms that do not consider these intersections risk widening existing gaps.</w:t>
      </w:r>
      <w:r>
        <w:br/>
      </w:r>
    </w:p>
    <w:p w:rsidR="00E01F18" w:rsidRPr="00F357B8" w:rsidP="00F357B8">
      <w:pPr>
        <w:rPr>
          <w:b/>
          <w:bCs/>
        </w:rPr>
      </w:pPr>
      <w:r w:rsidRPr="00F357B8">
        <w:rPr>
          <w:b/>
          <w:bCs/>
        </w:rPr>
        <w:t>Attendance</w:t>
      </w:r>
    </w:p>
    <w:p w:rsidR="00E01F18" w:rsidRPr="00F357B8" w:rsidP="00F357B8">
      <w:r w:rsidRPr="00F357B8">
        <w:t>We support efforts to improve attendance. However, attendance policies must recognise that some absences are driven by unmet need rather than a lack of willingness to attend school.</w:t>
      </w:r>
    </w:p>
    <w:p w:rsidR="00E01F18" w:rsidRPr="00F357B8" w:rsidP="00F357B8">
      <w:r w:rsidRPr="00F357B8">
        <w:t>Families frequently report that children become reluctant to attend where they feel isolated, misunderstood or unable to access learning and social opportunities on an equal basis with their peers.</w:t>
      </w:r>
    </w:p>
    <w:p w:rsidR="00E01F18" w:rsidRPr="00F357B8" w:rsidP="00F357B8">
      <w:r w:rsidRPr="00F357B8">
        <w:t>For pupils with learning disabilities, barriers to attendance can include:</w:t>
      </w:r>
    </w:p>
    <w:p w:rsidR="00E01F18" w:rsidRPr="00F357B8" w:rsidP="311777F2">
      <w:pPr>
        <w:numPr>
          <w:ilvl w:val="0"/>
          <w:numId w:val="1"/>
        </w:numPr>
        <w:spacing w:line="240" w:lineRule="auto"/>
      </w:pPr>
      <w:r>
        <w:t>unmet support needs</w:t>
      </w:r>
    </w:p>
    <w:p w:rsidR="00E01F18" w:rsidRPr="00F357B8" w:rsidP="311777F2">
      <w:pPr>
        <w:numPr>
          <w:ilvl w:val="0"/>
          <w:numId w:val="1"/>
        </w:numPr>
        <w:spacing w:line="240" w:lineRule="auto"/>
      </w:pPr>
      <w:r>
        <w:t>communication difficulties</w:t>
      </w:r>
    </w:p>
    <w:p w:rsidR="00E01F18" w:rsidRPr="00F357B8" w:rsidP="311777F2">
      <w:pPr>
        <w:numPr>
          <w:ilvl w:val="0"/>
          <w:numId w:val="1"/>
        </w:numPr>
        <w:spacing w:line="240" w:lineRule="auto"/>
      </w:pPr>
      <w:r>
        <w:t>anxiety</w:t>
      </w:r>
    </w:p>
    <w:p w:rsidR="00E01F18" w:rsidRPr="00F357B8" w:rsidP="311777F2">
      <w:pPr>
        <w:numPr>
          <w:ilvl w:val="0"/>
          <w:numId w:val="1"/>
        </w:numPr>
        <w:spacing w:line="240" w:lineRule="auto"/>
      </w:pPr>
      <w:r>
        <w:t>sensory challenges</w:t>
      </w:r>
    </w:p>
    <w:p w:rsidR="00E01F18" w:rsidRPr="00F357B8" w:rsidP="311777F2">
      <w:pPr>
        <w:numPr>
          <w:ilvl w:val="0"/>
          <w:numId w:val="1"/>
        </w:numPr>
        <w:spacing w:line="240" w:lineRule="auto"/>
      </w:pPr>
      <w:r>
        <w:t>exclusion from wider school activities</w:t>
      </w:r>
    </w:p>
    <w:p w:rsidR="00E01F18" w:rsidRPr="00F357B8" w:rsidP="311777F2">
      <w:pPr>
        <w:numPr>
          <w:ilvl w:val="0"/>
          <w:numId w:val="1"/>
        </w:numPr>
        <w:spacing w:line="240" w:lineRule="auto"/>
      </w:pPr>
      <w:r>
        <w:t>experiences of bullying</w:t>
      </w:r>
    </w:p>
    <w:p w:rsidR="00E01F18" w:rsidRPr="00F357B8" w:rsidP="311777F2">
      <w:pPr>
        <w:numPr>
          <w:ilvl w:val="0"/>
          <w:numId w:val="1"/>
        </w:numPr>
        <w:spacing w:line="240" w:lineRule="auto"/>
      </w:pPr>
      <w:r>
        <w:t>a lack of reasonable adjustments.</w:t>
      </w:r>
    </w:p>
    <w:p w:rsidR="00E01F18" w:rsidRPr="00F357B8" w:rsidP="00F357B8">
      <w:r w:rsidRPr="00F357B8">
        <w:t>Improving attendance therefore requires more than monitoring absence rates. Schools must have the capacity, expertise and resources to identify and address the underlying causes of disengagement.</w:t>
      </w:r>
    </w:p>
    <w:p w:rsidR="00E01F18" w:rsidP="00F357B8">
      <w:r w:rsidRPr="00F357B8">
        <w:t>Attendance policy should encourage early intervention, family support and problem-solving approaches rather than punitive responses.</w:t>
      </w:r>
    </w:p>
    <w:p w:rsidR="00E01F18" w:rsidRPr="00F357B8" w:rsidP="00F357B8"/>
    <w:p w:rsidR="00E01F18" w:rsidRPr="00F357B8" w:rsidP="00F357B8">
      <w:pPr>
        <w:rPr>
          <w:b/>
          <w:bCs/>
        </w:rPr>
      </w:pPr>
      <w:r w:rsidRPr="00F357B8">
        <w:rPr>
          <w:b/>
          <w:bCs/>
        </w:rPr>
        <w:t>Enrichment, belonging and behaviour</w:t>
      </w:r>
    </w:p>
    <w:p w:rsidR="00E01F18" w:rsidRPr="00F357B8" w:rsidP="00F357B8">
      <w:r w:rsidRPr="00F357B8">
        <w:t>We welcome the inquiry's focus on belonging, enrichment and positive relationships.</w:t>
      </w:r>
    </w:p>
    <w:p w:rsidR="00E01F18" w:rsidRPr="00F357B8" w:rsidP="00F357B8">
      <w:r w:rsidRPr="00F357B8">
        <w:t>For many children who have Down’s syndrome, the most significant barriers to inclusion are not found within lessons but within the wider life of the school.</w:t>
      </w:r>
      <w:r>
        <w:t xml:space="preserve"> </w:t>
      </w:r>
      <w:r w:rsidRPr="00F357B8">
        <w:t>Families continue to report children being excluded from school trips, breakfast clubs, after-school activities, performances, sports opportunities and leadership roles because staff make assumptions about what they can or cannot do.</w:t>
      </w:r>
    </w:p>
    <w:p w:rsidR="00E01F18" w:rsidRPr="00F357B8" w:rsidP="00F357B8">
      <w:r w:rsidRPr="00F357B8">
        <w:t>Being physically present in a school is not the same as being included.</w:t>
      </w:r>
    </w:p>
    <w:p w:rsidR="00E01F18" w:rsidRPr="00F357B8" w:rsidP="00F357B8">
      <w:r w:rsidRPr="00F357B8">
        <w:t>Schools should be encouraged and supported to ensure that all pupils can access enrichment opportunities, develop friendships, participate in decision-making and experience a genuine sense of belonging.</w:t>
      </w:r>
    </w:p>
    <w:p w:rsidR="00E01F18" w:rsidRPr="00F357B8" w:rsidP="00F357B8">
      <w:r w:rsidRPr="00F357B8">
        <w:t>We also encourage the Committee to consider behaviour through an inclusive lens. Behaviour is often a form of communication. Policies that fail to understand communication needs, anxiety, sensory differences or unmet support requirements can inadvertently increase exclusion rather than improve engagement.</w:t>
      </w:r>
    </w:p>
    <w:p w:rsidR="00E01F18" w:rsidRPr="00F357B8" w:rsidP="00F357B8">
      <w:r w:rsidRPr="00F357B8">
        <w:t>Behaviour reforms should be underpinned by staff training and a greater understanding of communication, emotional regulation and learning disability.</w:t>
      </w:r>
    </w:p>
    <w:p w:rsidR="00E01F18" w:rsidRPr="00F357B8" w:rsidP="00F357B8"/>
    <w:p w:rsidR="00E01F18" w:rsidRPr="00F357B8" w:rsidP="00F357B8">
      <w:pPr>
        <w:rPr>
          <w:b/>
          <w:bCs/>
        </w:rPr>
      </w:pPr>
      <w:r w:rsidRPr="00F357B8">
        <w:rPr>
          <w:b/>
          <w:bCs/>
        </w:rPr>
        <w:t>Trust-led reform and accountability</w:t>
      </w:r>
    </w:p>
    <w:p w:rsidR="00E01F18" w:rsidRPr="00F357B8" w:rsidP="00F357B8">
      <w:r w:rsidRPr="00F357B8">
        <w:t>As the school system becomes increasingly trust-led, inclusion must become a core measure of success for both schools and trusts.</w:t>
      </w:r>
    </w:p>
    <w:p w:rsidR="00E01F18" w:rsidRPr="00F357B8" w:rsidP="00F357B8">
      <w:r>
        <w:t>We are concerned that accountability structures can sometimes create incentives which concentrate pupils perceived as more challenging within particular schools or provisions. Every child should have access to a high-quality education in an environment that promotes belonging, participation and high expectations.</w:t>
      </w:r>
      <w:r>
        <w:br/>
      </w:r>
      <w:r>
        <w:br/>
      </w:r>
      <w:r>
        <w:br/>
      </w:r>
      <w:r>
        <w:br/>
      </w:r>
    </w:p>
    <w:p w:rsidR="00E01F18" w:rsidRPr="00F357B8" w:rsidP="00F357B8">
      <w:r w:rsidRPr="00F357B8">
        <w:t>Trust-level accountability should therefore include evidence of:</w:t>
      </w:r>
    </w:p>
    <w:p w:rsidR="00E01F18" w:rsidRPr="00F357B8" w:rsidP="311777F2">
      <w:pPr>
        <w:numPr>
          <w:ilvl w:val="0"/>
          <w:numId w:val="2"/>
        </w:numPr>
        <w:spacing w:line="240" w:lineRule="auto"/>
      </w:pPr>
      <w:r>
        <w:t>inclusion and participation</w:t>
      </w:r>
    </w:p>
    <w:p w:rsidR="00E01F18" w:rsidRPr="00F357B8" w:rsidP="311777F2">
      <w:pPr>
        <w:numPr>
          <w:ilvl w:val="0"/>
          <w:numId w:val="2"/>
        </w:numPr>
        <w:spacing w:line="240" w:lineRule="auto"/>
      </w:pPr>
      <w:r>
        <w:t>attendance of disabled pupils</w:t>
      </w:r>
    </w:p>
    <w:p w:rsidR="00E01F18" w:rsidRPr="00F357B8" w:rsidP="311777F2">
      <w:pPr>
        <w:numPr>
          <w:ilvl w:val="0"/>
          <w:numId w:val="2"/>
        </w:numPr>
        <w:spacing w:line="240" w:lineRule="auto"/>
      </w:pPr>
      <w:r>
        <w:t>access to enrichment activities</w:t>
      </w:r>
    </w:p>
    <w:p w:rsidR="00E01F18" w:rsidRPr="00F357B8" w:rsidP="311777F2">
      <w:pPr>
        <w:numPr>
          <w:ilvl w:val="0"/>
          <w:numId w:val="2"/>
        </w:numPr>
        <w:spacing w:line="240" w:lineRule="auto"/>
      </w:pPr>
      <w:r>
        <w:t>exclusion rates</w:t>
      </w:r>
    </w:p>
    <w:p w:rsidR="00E01F18" w:rsidRPr="00F357B8" w:rsidP="311777F2">
      <w:pPr>
        <w:numPr>
          <w:ilvl w:val="0"/>
          <w:numId w:val="2"/>
        </w:numPr>
        <w:spacing w:line="240" w:lineRule="auto"/>
      </w:pPr>
      <w:r>
        <w:t>pupil wellbeing</w:t>
      </w:r>
    </w:p>
    <w:p w:rsidR="00E01F18" w:rsidRPr="00F357B8" w:rsidP="311777F2">
      <w:pPr>
        <w:numPr>
          <w:ilvl w:val="0"/>
          <w:numId w:val="2"/>
        </w:numPr>
        <w:spacing w:line="240" w:lineRule="auto"/>
      </w:pPr>
      <w:r>
        <w:t>outcomes for disadvantaged groups.</w:t>
      </w:r>
    </w:p>
    <w:p w:rsidR="00E01F18" w:rsidRPr="00F357B8" w:rsidP="00F357B8">
      <w:r w:rsidRPr="00F357B8">
        <w:t>Inspection and accountability should consider not only whether children are placed within schools but whether they are genuinely included in learning and school life.</w:t>
      </w:r>
    </w:p>
    <w:p w:rsidR="00E01F18" w:rsidRPr="00F357B8" w:rsidP="00F357B8"/>
    <w:p w:rsidR="00E01F18" w:rsidRPr="00F357B8" w:rsidP="00F357B8">
      <w:pPr>
        <w:rPr>
          <w:b/>
          <w:bCs/>
        </w:rPr>
      </w:pPr>
      <w:r w:rsidRPr="00F357B8">
        <w:rPr>
          <w:b/>
          <w:bCs/>
        </w:rPr>
        <w:t>Workforce development</w:t>
      </w:r>
    </w:p>
    <w:p w:rsidR="00E01F18" w:rsidRPr="00F357B8" w:rsidP="00F357B8">
      <w:r w:rsidRPr="00F357B8">
        <w:t>The success of any education reform ultimately depends on the workforce.</w:t>
      </w:r>
    </w:p>
    <w:p w:rsidR="00E01F18" w:rsidRPr="00F357B8" w:rsidP="00F357B8">
      <w:r w:rsidRPr="00F357B8">
        <w:t>Many of the challenges reported by families stem not from a lack of commitment by education professionals but from a lack of confidence, training and support.</w:t>
      </w:r>
    </w:p>
    <w:p w:rsidR="00E01F18" w:rsidRPr="00F357B8" w:rsidP="00F357B8">
      <w:r w:rsidRPr="00F357B8">
        <w:t>Inclusive education should not be viewed as a specialist area. Teachers, leaders and support staff should receive high-quality training in:</w:t>
      </w:r>
    </w:p>
    <w:p w:rsidR="00E01F18" w:rsidRPr="00F357B8" w:rsidP="311777F2">
      <w:pPr>
        <w:numPr>
          <w:ilvl w:val="0"/>
          <w:numId w:val="3"/>
        </w:numPr>
        <w:spacing w:line="240" w:lineRule="auto"/>
      </w:pPr>
      <w:r>
        <w:t>inclusive pedagogy</w:t>
      </w:r>
    </w:p>
    <w:p w:rsidR="00E01F18" w:rsidRPr="00F357B8" w:rsidP="311777F2">
      <w:pPr>
        <w:numPr>
          <w:ilvl w:val="0"/>
          <w:numId w:val="3"/>
        </w:numPr>
        <w:spacing w:line="240" w:lineRule="auto"/>
      </w:pPr>
      <w:r>
        <w:t>communication development</w:t>
      </w:r>
    </w:p>
    <w:p w:rsidR="00E01F18" w:rsidRPr="00F357B8" w:rsidP="311777F2">
      <w:pPr>
        <w:numPr>
          <w:ilvl w:val="0"/>
          <w:numId w:val="3"/>
        </w:numPr>
        <w:spacing w:line="240" w:lineRule="auto"/>
      </w:pPr>
      <w:r>
        <w:t>learning disability</w:t>
      </w:r>
    </w:p>
    <w:p w:rsidR="00E01F18" w:rsidRPr="00F357B8" w:rsidP="311777F2">
      <w:pPr>
        <w:numPr>
          <w:ilvl w:val="0"/>
          <w:numId w:val="3"/>
        </w:numPr>
        <w:spacing w:line="240" w:lineRule="auto"/>
      </w:pPr>
      <w:r>
        <w:t>reasonable adjustments</w:t>
      </w:r>
    </w:p>
    <w:p w:rsidR="00E01F18" w:rsidRPr="00F357B8" w:rsidP="311777F2">
      <w:pPr>
        <w:numPr>
          <w:ilvl w:val="0"/>
          <w:numId w:val="3"/>
        </w:numPr>
        <w:spacing w:line="240" w:lineRule="auto"/>
      </w:pPr>
      <w:r>
        <w:t>supporting emotional wellbeing</w:t>
      </w:r>
    </w:p>
    <w:p w:rsidR="00E01F18" w:rsidRPr="00F357B8" w:rsidP="311777F2">
      <w:pPr>
        <w:numPr>
          <w:ilvl w:val="0"/>
          <w:numId w:val="3"/>
        </w:numPr>
        <w:spacing w:line="240" w:lineRule="auto"/>
      </w:pPr>
      <w:r>
        <w:t>adapting curriculum and assessment.</w:t>
      </w:r>
    </w:p>
    <w:p w:rsidR="00E01F18">
      <w:r w:rsidRPr="00F357B8">
        <w:t>Greater investment in workforce development will improve outcomes not only for children who have Down’s syndrome, but for many other pupils who experience barriers to learning and participation.</w:t>
      </w:r>
    </w:p>
    <w:p w:rsidR="00E01F18"/>
    <w:p w:rsidR="00E01F18" w:rsidRPr="00F357B8" w:rsidP="00F357B8">
      <w:pPr>
        <w:rPr>
          <w:b/>
          <w:bCs/>
        </w:rPr>
      </w:pPr>
      <w:r w:rsidRPr="00F357B8">
        <w:rPr>
          <w:b/>
          <w:bCs/>
        </w:rPr>
        <w:t>Preparation for adulthood</w:t>
      </w:r>
    </w:p>
    <w:p w:rsidR="00E01F18" w:rsidRPr="00F357B8" w:rsidP="00F357B8">
      <w:r w:rsidRPr="00F357B8">
        <w:t>The Committee's inquiry should also consider how wider school reforms support long-term outcomes.</w:t>
      </w:r>
    </w:p>
    <w:p w:rsidR="00E01F18" w:rsidRPr="00F357B8" w:rsidP="00F357B8">
      <w:r w:rsidRPr="00F357B8">
        <w:t>Educational success should not be defined solely by examination results. Schools play a critical role in preparing young people for adult life, including employment, independent living, community participation and healthy relationships.</w:t>
      </w:r>
    </w:p>
    <w:p w:rsidR="00E01F18" w:rsidRPr="00F357B8" w:rsidP="00F357B8">
      <w:r w:rsidRPr="00F357B8">
        <w:t>Children and young people who have Down’s syndrome consistently demonstrate that, when high expectations are combined with appropriate support, they can achieve positive outcomes in education, employment and community life.</w:t>
      </w:r>
      <w:r>
        <w:t xml:space="preserve"> </w:t>
      </w:r>
      <w:r w:rsidRPr="00F357B8">
        <w:t>School reforms should therefore strengthen preparation for adulthood across the whole education system.</w:t>
      </w:r>
    </w:p>
    <w:p w:rsidR="00E01F18" w:rsidRPr="00F357B8" w:rsidP="311777F2"/>
    <w:p w:rsidR="00E01F18" w:rsidRPr="00F357B8" w:rsidP="00F357B8">
      <w:pPr>
        <w:rPr>
          <w:b/>
          <w:bCs/>
        </w:rPr>
      </w:pPr>
      <w:r w:rsidRPr="00F357B8">
        <w:rPr>
          <w:b/>
          <w:bCs/>
        </w:rPr>
        <w:t>Conclusion</w:t>
      </w:r>
    </w:p>
    <w:p w:rsidR="00E01F18" w:rsidRPr="00F357B8" w:rsidP="00F357B8">
      <w:r w:rsidRPr="00F357B8">
        <w:t>The Government's ambition for every child to achieve and thrive is one we strongly support.</w:t>
      </w:r>
      <w:r>
        <w:t xml:space="preserve"> </w:t>
      </w:r>
      <w:r w:rsidRPr="00F357B8">
        <w:t>However, this ambition will only be realised if children and young people with disabilities and learning disabilities are included in every aspect of school reform.</w:t>
      </w:r>
    </w:p>
    <w:p w:rsidR="00E01F18" w:rsidRPr="00F357B8" w:rsidP="00F357B8">
      <w:r w:rsidRPr="00F357B8">
        <w:t>Policies designed to raise attainment, improve attendance and reduce disadvantage should be judged not solely by population-level outcomes, but by whether children who face the greatest barriers experience genuine inclusion, belonging, participation and opportunity.</w:t>
      </w:r>
    </w:p>
    <w:p w:rsidR="00E01F18" w:rsidP="00F357B8">
      <w:r w:rsidRPr="00F357B8">
        <w:t>An education system that works for children who have Down’s syndrome will be a better education system for all children.</w:t>
      </w:r>
    </w:p>
    <w:p w:rsidR="00E01F18" w:rsidP="00F357B8"/>
    <w:p w:rsidR="00286100" w:rsidRPr="00286100" w:rsidP="00F357B8">
      <w:pPr>
        <w:rPr>
          <w:i/>
          <w:iCs/>
        </w:rPr>
      </w:pPr>
      <w:r w:rsidRPr="00286100">
        <w:rPr>
          <w:i/>
          <w:iCs/>
        </w:rPr>
        <w:t>August 2026</w:t>
      </w:r>
    </w:p>
    <w:p w:rsidR="00E01F18"/>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CC7331"/>
    <w:multiLevelType w:val="multilevel"/>
    <w:tmpl w:val="FF10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90603C"/>
    <w:multiLevelType w:val="multilevel"/>
    <w:tmpl w:val="5EA4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002BF2"/>
    <w:multiLevelType w:val="multilevel"/>
    <w:tmpl w:val="5F38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35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5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57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57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57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57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7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7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7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7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7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7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7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7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7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7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7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7B8"/>
    <w:rPr>
      <w:rFonts w:eastAsiaTheme="majorEastAsia" w:cstheme="majorBidi"/>
      <w:color w:val="272727" w:themeColor="text1" w:themeTint="D8"/>
    </w:rPr>
  </w:style>
  <w:style w:type="paragraph" w:styleId="Title">
    <w:name w:val="Title"/>
    <w:basedOn w:val="Normal"/>
    <w:next w:val="Normal"/>
    <w:link w:val="TitleChar"/>
    <w:uiPriority w:val="10"/>
    <w:qFormat/>
    <w:rsid w:val="00F35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7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7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7B8"/>
    <w:pPr>
      <w:spacing w:before="160"/>
      <w:jc w:val="center"/>
    </w:pPr>
    <w:rPr>
      <w:i/>
      <w:iCs/>
      <w:color w:val="404040" w:themeColor="text1" w:themeTint="BF"/>
    </w:rPr>
  </w:style>
  <w:style w:type="character" w:customStyle="1" w:styleId="QuoteChar">
    <w:name w:val="Quote Char"/>
    <w:basedOn w:val="DefaultParagraphFont"/>
    <w:link w:val="Quote"/>
    <w:uiPriority w:val="29"/>
    <w:rsid w:val="00F357B8"/>
    <w:rPr>
      <w:i/>
      <w:iCs/>
      <w:color w:val="404040" w:themeColor="text1" w:themeTint="BF"/>
    </w:rPr>
  </w:style>
  <w:style w:type="paragraph" w:styleId="ListParagraph">
    <w:name w:val="List Paragraph"/>
    <w:basedOn w:val="Normal"/>
    <w:uiPriority w:val="34"/>
    <w:qFormat/>
    <w:rsid w:val="00F357B8"/>
    <w:pPr>
      <w:ind w:left="720"/>
      <w:contextualSpacing/>
    </w:pPr>
  </w:style>
  <w:style w:type="character" w:styleId="IntenseEmphasis">
    <w:name w:val="Intense Emphasis"/>
    <w:basedOn w:val="DefaultParagraphFont"/>
    <w:uiPriority w:val="21"/>
    <w:qFormat/>
    <w:rsid w:val="00F357B8"/>
    <w:rPr>
      <w:i/>
      <w:iCs/>
      <w:color w:val="0F4761" w:themeColor="accent1" w:themeShade="BF"/>
    </w:rPr>
  </w:style>
  <w:style w:type="paragraph" w:styleId="IntenseQuote">
    <w:name w:val="Intense Quote"/>
    <w:basedOn w:val="Normal"/>
    <w:next w:val="Normal"/>
    <w:link w:val="IntenseQuoteChar"/>
    <w:uiPriority w:val="30"/>
    <w:qFormat/>
    <w:rsid w:val="00F35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57B8"/>
    <w:rPr>
      <w:i/>
      <w:iCs/>
      <w:color w:val="0F4761" w:themeColor="accent1" w:themeShade="BF"/>
    </w:rPr>
  </w:style>
  <w:style w:type="character" w:styleId="IntenseReference">
    <w:name w:val="Intense Reference"/>
    <w:basedOn w:val="DefaultParagraphFont"/>
    <w:uiPriority w:val="32"/>
    <w:qFormat/>
    <w:rsid w:val="00F357B8"/>
    <w:rPr>
      <w:b/>
      <w:bCs/>
      <w:smallCaps/>
      <w:color w:val="0F4761" w:themeColor="accent1" w:themeShade="BF"/>
      <w:spacing w:val="5"/>
    </w:rPr>
  </w:style>
  <w:style w:type="character" w:styleId="Hyperlink">
    <w:name w:val="Hyperlink"/>
    <w:basedOn w:val="DefaultParagraphFont"/>
    <w:uiPriority w:val="99"/>
    <w:unhideWhenUsed/>
    <w:rsid w:val="00107086"/>
    <w:rPr>
      <w:color w:val="467886" w:themeColor="hyperlink"/>
      <w:u w:val="single"/>
    </w:rPr>
  </w:style>
  <w:style w:type="character" w:customStyle="1" w:styleId="UnresolvedMention1">
    <w:name w:val="Unresolved Mention1"/>
    <w:basedOn w:val="DefaultParagraphFont"/>
    <w:uiPriority w:val="99"/>
    <w:semiHidden/>
    <w:unhideWhenUsed/>
    <w:rsid w:val="00107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ECA0030</dc:title>
  <cp:revision>0</cp:revision>
</cp:coreProperties>
</file>