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73BD6" w:rsidRPr="008C09D3" w:rsidP="008C09D3">
      <w:pPr>
        <w:rPr>
          <w:rFonts w:ascii="Verdana" w:hAnsi="Verdana"/>
          <w:sz w:val="28"/>
          <w:szCs w:val="28"/>
        </w:rPr>
      </w:pPr>
      <w:r w:rsidRPr="008C09D3">
        <w:rPr>
          <w:rFonts w:ascii="Verdana" w:hAnsi="Verdana"/>
          <w:b/>
          <w:sz w:val="28"/>
          <w:szCs w:val="28"/>
        </w:rPr>
        <w:t xml:space="preserve"> Written evidence from </w:t>
      </w:r>
      <w:r w:rsidRPr="008C09D3">
        <w:rPr>
          <w:rFonts w:ascii="Verdana" w:hAnsi="Verdana"/>
          <w:b/>
          <w:sz w:val="28"/>
          <w:szCs w:val="28"/>
        </w:rPr>
        <w:t>techUK</w:t>
      </w:r>
      <w:r w:rsidRPr="008C09D3">
        <w:rPr>
          <w:rFonts w:ascii="Verdana" w:hAnsi="Verdana"/>
          <w:b/>
          <w:sz w:val="28"/>
          <w:szCs w:val="28"/>
        </w:rPr>
        <w:t xml:space="preserve"> </w:t>
      </w:r>
      <w:r w:rsidRPr="008C09D3">
        <w:rPr>
          <w:rFonts w:ascii="Verdana" w:hAnsi="Verdana"/>
          <w:b/>
          <w:sz w:val="28"/>
          <w:szCs w:val="28"/>
        </w:rPr>
        <w:t>(DEF0024)</w:t>
      </w:r>
    </w:p>
    <w:p w:rsidR="00A73BD6" w:rsidRPr="008C09D3" w:rsidP="00AB61AF">
      <w:pPr>
        <w:rPr>
          <w:rFonts w:ascii="Verdana" w:hAnsi="Verdana"/>
        </w:rPr>
      </w:pPr>
      <w:r w:rsidRPr="008C09D3">
        <w:rPr>
          <w:rFonts w:ascii="Verdana" w:hAnsi="Verdana"/>
          <w:b/>
        </w:rPr>
        <w:t xml:space="preserve"> </w:t>
      </w:r>
    </w:p>
    <w:p w:rsidR="00A73BD6" w:rsidRPr="008C09D3" w:rsidP="00AB61AF">
      <w:pPr>
        <w:numPr>
          <w:ilvl w:val="0"/>
          <w:numId w:val="1"/>
        </w:numPr>
        <w:ind w:left="284"/>
        <w:rPr>
          <w:rFonts w:ascii="Verdana" w:hAnsi="Verdana"/>
        </w:rPr>
      </w:pPr>
      <w:r w:rsidRPr="008C09D3">
        <w:rPr>
          <w:rFonts w:ascii="Verdana" w:hAnsi="Verdana"/>
          <w:b/>
          <w:u w:val="single"/>
        </w:rPr>
        <w:t>About techUK &amp; Summary of Submission</w:t>
      </w:r>
      <w:r w:rsidRPr="008C09D3">
        <w:rPr>
          <w:rFonts w:ascii="Verdana" w:hAnsi="Verdana"/>
          <w:b/>
        </w:rPr>
        <w:t xml:space="preserve">  </w:t>
      </w:r>
    </w:p>
    <w:p w:rsidR="00A73BD6" w:rsidRPr="008C09D3" w:rsidP="00AB61AF">
      <w:pPr>
        <w:numPr>
          <w:ilvl w:val="1"/>
          <w:numId w:val="1"/>
        </w:numPr>
        <w:ind w:left="284"/>
        <w:rPr>
          <w:rFonts w:ascii="Verdana" w:hAnsi="Verdana"/>
        </w:rPr>
      </w:pPr>
      <w:r w:rsidRPr="008C09D3">
        <w:rPr>
          <w:rFonts w:ascii="Verdana" w:hAnsi="Verdana"/>
        </w:rPr>
        <w:t>techUK is the trade association which brings together people, companies and organisations to realise the positive outcomes that digital technology can achieve. We create a network for innovation and collaboration across business, Government and stakeholders to provide a better future for people, society, the economy and the planet. techUK</w:t>
      </w:r>
      <w:r w:rsidRPr="008C09D3">
        <w:rPr>
          <w:rFonts w:ascii="Verdana" w:hAnsi="Verdana"/>
        </w:rPr>
        <w:t xml:space="preserve"> represents over 1100 member companies working across the UK technology sector.  </w:t>
      </w:r>
    </w:p>
    <w:p w:rsidR="00A73BD6" w:rsidRPr="008C09D3" w:rsidP="00AB61AF">
      <w:pPr>
        <w:numPr>
          <w:ilvl w:val="1"/>
          <w:numId w:val="1"/>
        </w:numPr>
        <w:ind w:left="284"/>
        <w:rPr>
          <w:rFonts w:ascii="Verdana" w:hAnsi="Verdana"/>
        </w:rPr>
      </w:pPr>
      <w:r w:rsidRPr="008C09D3">
        <w:rPr>
          <w:rFonts w:ascii="Verdana" w:hAnsi="Verdana"/>
        </w:rPr>
        <w:t>techUK welcomes the opportunity to provide written evidence to the House of Lords’ Industry and Regulators Committee inquiry into the relationship between the Government and the defence industry. This submission is based on inputs received from techUK’s</w:t>
      </w:r>
      <w:r w:rsidRPr="008C09D3">
        <w:rPr>
          <w:rFonts w:ascii="Verdana" w:hAnsi="Verdana"/>
        </w:rPr>
        <w:t xml:space="preserve"> member companies with interests in Defence and Security, ranging from multinational technology companies, prime manufacturers, consultancies, scaleups and SMEs. The authors have also reflected on the recommendations made to the Ministry of Defence (MOD) in techUK’s Strategic Defence Review (SDR) and Defence Industry Strategy (DIS) reviews, and evidence presented to the House of Commons Defence Select Committee on the impact of the delay to the Defence Investment Plan (DIP) in March 2026. </w:t>
      </w:r>
    </w:p>
    <w:p w:rsidR="00A73BD6" w:rsidRPr="008C09D3" w:rsidP="00AB61AF">
      <w:pPr>
        <w:numPr>
          <w:ilvl w:val="1"/>
          <w:numId w:val="1"/>
        </w:numPr>
        <w:ind w:left="284"/>
        <w:rPr>
          <w:rFonts w:ascii="Verdana" w:hAnsi="Verdana"/>
        </w:rPr>
      </w:pPr>
      <w:r w:rsidRPr="008C09D3">
        <w:rPr>
          <w:rFonts w:ascii="Verdana" w:hAnsi="Verdana"/>
        </w:rPr>
        <w:t>Overlaying all the evidence below is the damage that the delay to the publication of the DIP had on both industry and the reputation of the MOD as a reliable partner and customer. In some cases, the delay had a purdah-like effect on spend and contracting, holding up programmes already out in the marketplace. But in other cases, the view of some techUK</w:t>
      </w:r>
      <w:r w:rsidRPr="008C09D3">
        <w:rPr>
          <w:rFonts w:ascii="Verdana" w:hAnsi="Verdana"/>
        </w:rPr>
        <w:t xml:space="preserve"> members is that it became an excuse for the absence of decision-making and decision-makers, particularly around what should have been routine contract renewals at the end of the previous financial year for maintaining existing digital capabilities. The impact of the DIP delay therefore makes it harder to properly assess the level of progress made in delivering the practical change the SDR recommended. </w:t>
      </w:r>
    </w:p>
    <w:p w:rsidR="00A73BD6" w:rsidRPr="008C09D3" w:rsidP="00AB61AF">
      <w:pPr>
        <w:numPr>
          <w:ilvl w:val="0"/>
          <w:numId w:val="1"/>
        </w:numPr>
        <w:ind w:left="284"/>
        <w:rPr>
          <w:rFonts w:ascii="Verdana" w:hAnsi="Verdana"/>
          <w:b/>
          <w:u w:val="single"/>
        </w:rPr>
      </w:pPr>
      <w:r w:rsidRPr="008C09D3">
        <w:rPr>
          <w:rFonts w:ascii="Verdana" w:hAnsi="Verdana"/>
          <w:b/>
          <w:u w:val="single"/>
        </w:rPr>
        <w:t xml:space="preserve">What cultural and practical changes are needed for the Government and industry to bring about this new partnership and ensure that defence capability is fit for purpose? What progress has the Government made in implementing the </w:t>
      </w:r>
      <w:r w:rsidRPr="008C09D3">
        <w:rPr>
          <w:rFonts w:ascii="Verdana" w:hAnsi="Verdana"/>
          <w:b/>
          <w:u w:val="single"/>
        </w:rPr>
        <w:t xml:space="preserve">Strategic Defence Review’s recommendations to bring about this new partnership, and how much further does it need to go? </w:t>
      </w:r>
    </w:p>
    <w:p w:rsidR="00A73BD6" w:rsidRPr="008C09D3" w:rsidP="00AB61AF">
      <w:pPr>
        <w:numPr>
          <w:ilvl w:val="1"/>
          <w:numId w:val="1"/>
        </w:numPr>
        <w:ind w:left="284"/>
        <w:rPr>
          <w:rFonts w:ascii="Verdana" w:hAnsi="Verdana"/>
        </w:rPr>
      </w:pPr>
      <w:r w:rsidRPr="008C09D3">
        <w:rPr>
          <w:rFonts w:ascii="Verdana" w:hAnsi="Verdana"/>
          <w:b/>
          <w:u w:val="single"/>
        </w:rPr>
        <w:t xml:space="preserve"> </w:t>
      </w:r>
      <w:r w:rsidRPr="008C09D3">
        <w:rPr>
          <w:rFonts w:ascii="Verdana" w:hAnsi="Verdana"/>
        </w:rPr>
        <w:t>There are two fundamental and ongoing challenges that techUK</w:t>
      </w:r>
      <w:r w:rsidRPr="008C09D3">
        <w:rPr>
          <w:rFonts w:ascii="Verdana" w:hAnsi="Verdana"/>
        </w:rPr>
        <w:t xml:space="preserve"> members identify as barriers to the creation of the new partnership between Government and industry: ongoing structural reorganisation and commercial capacity. </w:t>
      </w:r>
    </w:p>
    <w:p w:rsidR="00A73BD6" w:rsidRPr="008C09D3" w:rsidP="00AB61AF">
      <w:pPr>
        <w:numPr>
          <w:ilvl w:val="1"/>
          <w:numId w:val="1"/>
        </w:numPr>
        <w:ind w:left="284"/>
        <w:rPr>
          <w:rFonts w:ascii="Verdana" w:hAnsi="Verdana"/>
        </w:rPr>
      </w:pPr>
      <w:r w:rsidRPr="008C09D3">
        <w:rPr>
          <w:rFonts w:ascii="Verdana" w:hAnsi="Verdana"/>
        </w:rPr>
        <w:t>While members recognise that the hugely ambitious Defence Reform programme was introduced with the clear (and best) intention of addressing past failings across the procurement process, reorganisation has taken too long, and it is now negatively impacting on contracting and delivery. techUK</w:t>
      </w:r>
      <w:r w:rsidRPr="008C09D3">
        <w:rPr>
          <w:rFonts w:ascii="Verdana" w:hAnsi="Verdana"/>
        </w:rPr>
        <w:t xml:space="preserve"> understands that some of the new Portfolios remain without the necessary leadership and members report that the absence of decision-makers has a material impact on commercial decisions.  </w:t>
      </w:r>
    </w:p>
    <w:p w:rsidR="00A73BD6" w:rsidRPr="008C09D3" w:rsidP="00AB61AF">
      <w:pPr>
        <w:numPr>
          <w:ilvl w:val="1"/>
          <w:numId w:val="1"/>
        </w:numPr>
        <w:ind w:left="284"/>
        <w:rPr>
          <w:rFonts w:ascii="Verdana" w:hAnsi="Verdana"/>
        </w:rPr>
      </w:pPr>
      <w:r w:rsidRPr="008C09D3">
        <w:rPr>
          <w:rFonts w:ascii="Verdana" w:hAnsi="Verdana"/>
        </w:rPr>
        <w:t>Secondly, there remains a significant lack of suitably resourced commercial staff working within Defence to service both existing and new contracts. In our submission to the SDR we raised the concerns of members around capacity, and a survey of techUK</w:t>
      </w:r>
      <w:r w:rsidRPr="008C09D3">
        <w:rPr>
          <w:rFonts w:ascii="Verdana" w:hAnsi="Verdana"/>
        </w:rPr>
        <w:t xml:space="preserve"> members in May 2026 again highlighted the absence of necessary commercial officers as affecting the ability of the MOD to get contracts onto paper. </w:t>
      </w:r>
    </w:p>
    <w:p w:rsidR="00A73BD6" w:rsidRPr="008C09D3" w:rsidP="00AB61AF">
      <w:pPr>
        <w:numPr>
          <w:ilvl w:val="1"/>
          <w:numId w:val="1"/>
        </w:numPr>
        <w:ind w:left="284"/>
        <w:rPr>
          <w:rFonts w:ascii="Verdana" w:hAnsi="Verdana"/>
        </w:rPr>
      </w:pPr>
      <w:r w:rsidRPr="008C09D3">
        <w:rPr>
          <w:rFonts w:ascii="Verdana" w:hAnsi="Verdana"/>
        </w:rPr>
        <w:t xml:space="preserve">To achieve the ambitions of the SDR, the MOD must now urgently bring the period of reform to a close, accepting the not-perfect-but-good-enough attitude it intends to take towards acquisition and procurement, and look at how the £500mn modernisation fund announced in the DIP can drive the adoption of new technologies to assist in contracting processes. </w:t>
      </w:r>
    </w:p>
    <w:p w:rsidR="00A73BD6" w:rsidRPr="008C09D3" w:rsidP="00AB61AF">
      <w:pPr>
        <w:numPr>
          <w:ilvl w:val="0"/>
          <w:numId w:val="1"/>
        </w:numPr>
        <w:ind w:left="284"/>
        <w:rPr>
          <w:rFonts w:ascii="Verdana" w:hAnsi="Verdana"/>
        </w:rPr>
      </w:pPr>
      <w:r w:rsidRPr="008C09D3">
        <w:rPr>
          <w:rFonts w:ascii="Verdana" w:hAnsi="Verdana"/>
          <w:b/>
          <w:u w:val="single"/>
        </w:rPr>
        <w:t>How do defence procurement processes and contracts need to change to</w:t>
      </w:r>
      <w:r w:rsidRPr="008C09D3">
        <w:rPr>
          <w:rFonts w:ascii="Verdana" w:hAnsi="Verdana"/>
          <w:b/>
        </w:rPr>
        <w:t xml:space="preserve"> </w:t>
      </w:r>
      <w:r w:rsidRPr="008C09D3">
        <w:rPr>
          <w:rFonts w:ascii="Verdana" w:hAnsi="Verdana"/>
          <w:b/>
          <w:u w:val="single"/>
        </w:rPr>
        <w:t>adapt at pace to new technologies and requirements, such as drone and antidrone capabilities, and what progress has the Government made in moving</w:t>
      </w:r>
      <w:r w:rsidRPr="008C09D3">
        <w:rPr>
          <w:rFonts w:ascii="Verdana" w:hAnsi="Verdana"/>
          <w:b/>
        </w:rPr>
        <w:t xml:space="preserve"> </w:t>
      </w:r>
      <w:r w:rsidRPr="008C09D3">
        <w:rPr>
          <w:rFonts w:ascii="Verdana" w:hAnsi="Verdana"/>
          <w:b/>
          <w:u w:val="single"/>
        </w:rPr>
        <w:t>towards its new segmented procurement model?</w:t>
      </w:r>
      <w:r w:rsidRPr="008C09D3">
        <w:rPr>
          <w:rFonts w:ascii="Verdana" w:hAnsi="Verdana"/>
          <w:b/>
        </w:rPr>
        <w:t xml:space="preserve"> </w:t>
      </w:r>
    </w:p>
    <w:p w:rsidR="00A73BD6" w:rsidRPr="008C09D3" w:rsidP="00AB61AF">
      <w:pPr>
        <w:numPr>
          <w:ilvl w:val="1"/>
          <w:numId w:val="1"/>
        </w:numPr>
        <w:ind w:left="284"/>
        <w:rPr>
          <w:rFonts w:ascii="Verdana" w:hAnsi="Verdana"/>
        </w:rPr>
      </w:pPr>
      <w:r w:rsidRPr="008C09D3">
        <w:rPr>
          <w:rFonts w:ascii="Verdana" w:hAnsi="Verdana"/>
        </w:rPr>
        <w:t>techUK members welcome the introduction of post-competition commercial marketplaces such as the Neutral Vendor framework for Innovation (NVfI</w:t>
      </w:r>
      <w:r w:rsidRPr="008C09D3">
        <w:rPr>
          <w:rFonts w:ascii="Verdana" w:hAnsi="Verdana"/>
        </w:rPr>
        <w:t xml:space="preserve">) (albeit launched prior to SDR publication) as a vehicle for procuring products off-the-shelf (COTS) while acknowledging that such a model does not suit all types of requirements. </w:t>
      </w:r>
    </w:p>
    <w:p w:rsidR="00A73BD6" w:rsidRPr="008C09D3" w:rsidP="00AB61AF">
      <w:pPr>
        <w:numPr>
          <w:ilvl w:val="1"/>
          <w:numId w:val="1"/>
        </w:numPr>
        <w:ind w:left="284"/>
        <w:rPr>
          <w:rFonts w:ascii="Verdana" w:hAnsi="Verdana"/>
        </w:rPr>
      </w:pPr>
      <w:r w:rsidRPr="008C09D3">
        <w:rPr>
          <w:rFonts w:ascii="Verdana" w:hAnsi="Verdana"/>
        </w:rPr>
        <w:t>The frustration remains though that there has been too great a focus on process at the huge expense of necessary capacity. There remains the challenge of the MOD being regarded as a dependable partner and customer by industry. In our submissions to the SDR and DIS we raised the concerns of members around commercial knowledge and understanding, including a critical lack of parity and experience across both technical and contracting and administration teams when dealing with complex issues such as the prolife</w:t>
      </w:r>
      <w:r w:rsidRPr="008C09D3">
        <w:rPr>
          <w:rFonts w:ascii="Verdana" w:hAnsi="Verdana"/>
        </w:rPr>
        <w:t>ration and use of frameworks. This</w:t>
      </w:r>
      <w:r w:rsidRPr="008C09D3">
        <w:rPr>
          <w:rFonts w:ascii="Verdana" w:hAnsi="Verdana"/>
        </w:rPr>
        <w:t xml:space="preserve"> causes serious delays and prevents the desired flexibility and agility from being achieved. </w:t>
      </w:r>
    </w:p>
    <w:p w:rsidR="00A73BD6" w:rsidRPr="008C09D3" w:rsidP="00AB61AF">
      <w:pPr>
        <w:numPr>
          <w:ilvl w:val="1"/>
          <w:numId w:val="1"/>
        </w:numPr>
        <w:ind w:left="284"/>
        <w:rPr>
          <w:rFonts w:ascii="Verdana" w:hAnsi="Verdana"/>
        </w:rPr>
      </w:pPr>
      <w:r w:rsidRPr="008C09D3">
        <w:rPr>
          <w:rFonts w:ascii="Verdana" w:hAnsi="Verdana"/>
        </w:rPr>
        <w:t>The delayed publication of the DIP and the lack of visibility on the implementation of Defence Reform means that it is hard to really assess the impact that the MOD’s new operating model is having on acquisition and procurement. To the best of our knowledge, we have yet to see the new capability portfolio-focused options and commissioning process run from a MSHQ generated problem statement through to the letting of a contract. An area where there does appear to have been success is in the field of counter-d</w:t>
      </w:r>
      <w:r w:rsidRPr="008C09D3">
        <w:rPr>
          <w:rFonts w:ascii="Verdana" w:hAnsi="Verdana"/>
        </w:rPr>
        <w:t xml:space="preserve">rone capabilities, utilising the </w:t>
      </w:r>
      <w:r w:rsidRPr="008C09D3">
        <w:rPr>
          <w:rFonts w:ascii="Verdana" w:hAnsi="Verdana"/>
        </w:rPr>
        <w:t xml:space="preserve">NVfI route to market as announced by the MOD in July 2026. techUK members would suggest though that while a successful outcome of the neutral vendor framework model, what this demonstrates is the broader lesson around good acquisition practice: the alignment of political prioritisation, end-user requirement, commercial capacity, and industrial capability. </w:t>
      </w:r>
    </w:p>
    <w:p w:rsidR="00A73BD6" w:rsidRPr="008C09D3" w:rsidP="00AB61AF">
      <w:pPr>
        <w:numPr>
          <w:ilvl w:val="0"/>
          <w:numId w:val="1"/>
        </w:numPr>
        <w:ind w:left="284"/>
        <w:rPr>
          <w:rFonts w:ascii="Verdana" w:hAnsi="Verdana"/>
        </w:rPr>
      </w:pPr>
      <w:r w:rsidRPr="008C09D3">
        <w:rPr>
          <w:rFonts w:ascii="Verdana" w:hAnsi="Verdana"/>
          <w:b/>
          <w:u w:val="single"/>
        </w:rPr>
        <w:t>What progress has been made in establishing UK Defence Innovation and</w:t>
      </w:r>
      <w:r w:rsidRPr="008C09D3">
        <w:rPr>
          <w:rFonts w:ascii="Verdana" w:hAnsi="Verdana"/>
          <w:b/>
        </w:rPr>
        <w:t xml:space="preserve"> </w:t>
      </w:r>
      <w:r w:rsidRPr="008C09D3">
        <w:rPr>
          <w:rFonts w:ascii="Verdana" w:hAnsi="Verdana"/>
          <w:b/>
          <w:u w:val="single"/>
        </w:rPr>
        <w:t>allowing greater freedom in the procurement of innovative and dual-use</w:t>
      </w:r>
      <w:r w:rsidRPr="008C09D3">
        <w:rPr>
          <w:rFonts w:ascii="Verdana" w:hAnsi="Verdana"/>
          <w:b/>
        </w:rPr>
        <w:t xml:space="preserve"> </w:t>
      </w:r>
      <w:r w:rsidRPr="008C09D3">
        <w:rPr>
          <w:rFonts w:ascii="Verdana" w:hAnsi="Verdana"/>
          <w:b/>
          <w:u w:val="single"/>
        </w:rPr>
        <w:t>technologies for Defence? To what extent does the Government need to accept</w:t>
      </w:r>
      <w:r w:rsidRPr="008C09D3">
        <w:rPr>
          <w:rFonts w:ascii="Verdana" w:hAnsi="Verdana"/>
          <w:b/>
        </w:rPr>
        <w:t xml:space="preserve"> </w:t>
      </w:r>
      <w:r w:rsidRPr="008C09D3">
        <w:rPr>
          <w:rFonts w:ascii="Verdana" w:hAnsi="Verdana"/>
          <w:b/>
          <w:u w:val="single"/>
        </w:rPr>
        <w:t>a greater level of risk in its procurement of new technologies and innovative</w:t>
      </w:r>
      <w:r w:rsidRPr="008C09D3">
        <w:rPr>
          <w:rFonts w:ascii="Verdana" w:hAnsi="Verdana"/>
          <w:b/>
        </w:rPr>
        <w:t xml:space="preserve"> </w:t>
      </w:r>
      <w:r w:rsidRPr="008C09D3">
        <w:rPr>
          <w:rFonts w:ascii="Verdana" w:hAnsi="Verdana"/>
          <w:b/>
          <w:u w:val="single"/>
        </w:rPr>
        <w:t>capabilities, and what would this involve?</w:t>
      </w:r>
      <w:r w:rsidRPr="008C09D3">
        <w:rPr>
          <w:rFonts w:ascii="Verdana" w:hAnsi="Verdana"/>
          <w:b/>
        </w:rPr>
        <w:t xml:space="preserve"> </w:t>
      </w:r>
    </w:p>
    <w:p w:rsidR="00A73BD6" w:rsidRPr="008C09D3" w:rsidP="00AB61AF">
      <w:pPr>
        <w:numPr>
          <w:ilvl w:val="1"/>
          <w:numId w:val="1"/>
        </w:numPr>
        <w:ind w:left="284"/>
        <w:rPr>
          <w:rFonts w:ascii="Verdana" w:hAnsi="Verdana"/>
        </w:rPr>
      </w:pPr>
      <w:r w:rsidRPr="008C09D3">
        <w:rPr>
          <w:rFonts w:ascii="Verdana" w:hAnsi="Verdana"/>
        </w:rPr>
        <w:t>techUK</w:t>
      </w:r>
      <w:r w:rsidRPr="008C09D3">
        <w:rPr>
          <w:rFonts w:ascii="Verdana" w:hAnsi="Verdana"/>
        </w:rPr>
        <w:t xml:space="preserve"> strongly welcomed the creation of UK Defence Innovation (UKDI). Members have long argued that the previous innovation landscape spread across Frontline Commands and delivery agencies was too fragmented, meaning inefficient use of limited resources and the risk of duplicated efforts. And it is certainly positive to note that in the past six months UKDI is fulfilling its intended function of providing a single front door for J-Hub, DASA and Dstl innovation challenges. Members would now like to see UKDI look </w:t>
      </w:r>
      <w:r w:rsidRPr="008C09D3">
        <w:rPr>
          <w:rFonts w:ascii="Verdana" w:hAnsi="Verdana"/>
        </w:rPr>
        <w:t xml:space="preserve">at streamlining tendering processes learning the lessons from the US’s </w:t>
      </w:r>
      <w:r w:rsidRPr="008C09D3">
        <w:rPr>
          <w:rFonts w:ascii="Verdana" w:hAnsi="Verdana"/>
        </w:rPr>
        <w:t xml:space="preserve">Defense Innovation Unit’s Commercial Solutions Openings for instance that are designed specifically to reduce the burden on SMEs. </w:t>
      </w:r>
    </w:p>
    <w:p w:rsidR="00A73BD6" w:rsidRPr="008C09D3" w:rsidP="00AB61AF">
      <w:pPr>
        <w:numPr>
          <w:ilvl w:val="1"/>
          <w:numId w:val="1"/>
        </w:numPr>
        <w:ind w:left="284"/>
        <w:rPr>
          <w:rFonts w:ascii="Verdana" w:hAnsi="Verdana"/>
        </w:rPr>
      </w:pPr>
      <w:r w:rsidRPr="008C09D3">
        <w:rPr>
          <w:rFonts w:ascii="Verdana" w:hAnsi="Verdana"/>
        </w:rPr>
        <w:t xml:space="preserve">More effective management of risk within the MOD should start with acknowledgement of widely accepted principles of good project management: suitably qualified programme managers, supported by but not subordinate to the functions, with the freedom to deliver the desired outcomes as they see fit, with clear responsibility for delivery. When risk is calculated, the danger of doing nothing is never considered and therefore the least risky option is to say no. The MOD must establish within the rapid conclusion </w:t>
      </w:r>
      <w:r w:rsidRPr="008C09D3">
        <w:rPr>
          <w:rFonts w:ascii="Verdana" w:hAnsi="Verdana"/>
        </w:rPr>
        <w:t xml:space="preserve">of Defence Reform clear lines of authority and accountability, incentivising those responsible to say yes and that a decision to say no is not consequence free.  </w:t>
      </w:r>
    </w:p>
    <w:p w:rsidR="00A73BD6" w:rsidRPr="008C09D3" w:rsidP="00AB61AF">
      <w:pPr>
        <w:numPr>
          <w:ilvl w:val="1"/>
          <w:numId w:val="1"/>
        </w:numPr>
        <w:ind w:left="284"/>
        <w:rPr>
          <w:rFonts w:ascii="Verdana" w:hAnsi="Verdana"/>
        </w:rPr>
      </w:pPr>
      <w:r w:rsidRPr="008C09D3">
        <w:rPr>
          <w:rFonts w:ascii="Verdana" w:hAnsi="Verdana"/>
        </w:rPr>
        <w:t xml:space="preserve">techUK members argue that the MOD must also be prepared to ‘fail quicker’, in cases where programmes have continued to receive funding long after the point at which it was clear they were not viable. More regular independent reviews would help address this issue. </w:t>
      </w:r>
    </w:p>
    <w:p w:rsidR="00A73BD6" w:rsidRPr="008C09D3" w:rsidP="00AB61AF">
      <w:pPr>
        <w:numPr>
          <w:ilvl w:val="0"/>
          <w:numId w:val="1"/>
        </w:numPr>
        <w:ind w:left="284"/>
        <w:rPr>
          <w:rFonts w:ascii="Verdana" w:hAnsi="Verdana"/>
        </w:rPr>
      </w:pPr>
      <w:r w:rsidRPr="008C09D3">
        <w:rPr>
          <w:rFonts w:ascii="Verdana" w:hAnsi="Verdana"/>
          <w:b/>
          <w:u w:val="single"/>
        </w:rPr>
        <w:t>What barriers do smaller businesses face in interacting with the Ministry of</w:t>
      </w:r>
      <w:r w:rsidRPr="008C09D3">
        <w:rPr>
          <w:rFonts w:ascii="Verdana" w:hAnsi="Verdana"/>
          <w:b/>
        </w:rPr>
        <w:t xml:space="preserve"> </w:t>
      </w:r>
      <w:r w:rsidRPr="008C09D3">
        <w:rPr>
          <w:rFonts w:ascii="Verdana" w:hAnsi="Verdana"/>
          <w:b/>
          <w:u w:val="single"/>
        </w:rPr>
        <w:t>Defence’s procurement processes, including when they are part of the supply</w:t>
      </w:r>
      <w:r w:rsidRPr="008C09D3">
        <w:rPr>
          <w:rFonts w:ascii="Verdana" w:hAnsi="Verdana"/>
          <w:b/>
        </w:rPr>
        <w:t xml:space="preserve"> </w:t>
      </w:r>
      <w:r w:rsidRPr="008C09D3">
        <w:rPr>
          <w:rFonts w:ascii="Verdana" w:hAnsi="Verdana"/>
          <w:b/>
          <w:u w:val="single"/>
        </w:rPr>
        <w:t>chain for a larger, prime contractor? How should these barriers be addressed?</w:t>
      </w:r>
      <w:r w:rsidRPr="008C09D3">
        <w:rPr>
          <w:rFonts w:ascii="Verdana" w:hAnsi="Verdana"/>
          <w:b/>
        </w:rPr>
        <w:t xml:space="preserve"> </w:t>
      </w:r>
    </w:p>
    <w:p w:rsidR="00A73BD6" w:rsidRPr="008C09D3" w:rsidP="00AB61AF">
      <w:pPr>
        <w:numPr>
          <w:ilvl w:val="1"/>
          <w:numId w:val="1"/>
        </w:numPr>
        <w:ind w:left="284"/>
        <w:rPr>
          <w:rFonts w:ascii="Verdana" w:hAnsi="Verdana"/>
        </w:rPr>
      </w:pPr>
      <w:r w:rsidRPr="008C09D3">
        <w:rPr>
          <w:rFonts w:ascii="Verdana" w:hAnsi="Verdana"/>
        </w:rPr>
        <w:t>A critical barrier to small businesses is cultural. We strongly welcome the creation of the Defence Office for Small Business Growth (DOSBG), but at present techUK members do not believe the team – as dedicated and committed as they are – have been granted the resources required to deliver on their mission, principally the SME spend target. techUK</w:t>
      </w:r>
      <w:r w:rsidRPr="008C09D3">
        <w:rPr>
          <w:rFonts w:ascii="Verdana" w:hAnsi="Verdana"/>
        </w:rPr>
        <w:t xml:space="preserve"> would like to see the DOSBG recognised as a key resource within MOD, for all commercial teams going out to market, helping them to understand how best to engage and contract to the SME community, as well as a resource for new businesses entering the defence space. </w:t>
      </w:r>
    </w:p>
    <w:p w:rsidR="00A73BD6" w:rsidRPr="008C09D3" w:rsidP="00AB61AF">
      <w:pPr>
        <w:numPr>
          <w:ilvl w:val="1"/>
          <w:numId w:val="1"/>
        </w:numPr>
        <w:ind w:left="284"/>
        <w:rPr>
          <w:rFonts w:ascii="Verdana" w:hAnsi="Verdana"/>
        </w:rPr>
      </w:pPr>
      <w:r w:rsidRPr="008C09D3">
        <w:rPr>
          <w:rFonts w:ascii="Verdana" w:hAnsi="Verdana"/>
        </w:rPr>
        <w:t>techUK</w:t>
      </w:r>
      <w:r w:rsidRPr="008C09D3">
        <w:rPr>
          <w:rFonts w:ascii="Verdana" w:hAnsi="Verdana"/>
        </w:rPr>
        <w:t xml:space="preserve"> stated in its DIS submission that there is now an urgent need to produce the revised SME Action Plan that has been under review since before Summer 2024, and this remains outstanding. The SME Action Plan requires quantifiable, timebound KPIs, with demonstrable buy-in from the whole Defence enterprise. This means that Action Plan commitments match directly with contracting requirements on all suppliers responsible for subcontracting to SMEs. </w:t>
      </w:r>
    </w:p>
    <w:p w:rsidR="00A73BD6" w:rsidRPr="008C09D3" w:rsidP="00AB61AF">
      <w:pPr>
        <w:numPr>
          <w:ilvl w:val="1"/>
          <w:numId w:val="1"/>
        </w:numPr>
        <w:ind w:left="284"/>
        <w:rPr>
          <w:rFonts w:ascii="Verdana" w:hAnsi="Verdana"/>
        </w:rPr>
      </w:pPr>
      <w:r w:rsidRPr="008C09D3">
        <w:rPr>
          <w:rFonts w:ascii="Verdana" w:hAnsi="Verdana"/>
        </w:rPr>
        <w:t xml:space="preserve">Companies sitting within the mid-tier express frustration that due to the gap in contract management capacity, the MOD is increasingly looking to manage fewer but larger contracts than it did before. This has meant that those mid-tier companies who would have previously been direct suppliers to the MOD and now subcontracted through larger contract holders, having a negative effect on their ability to scale. </w:t>
      </w:r>
    </w:p>
    <w:p w:rsidR="00A73BD6" w:rsidRPr="008C09D3" w:rsidP="00AB61AF">
      <w:pPr>
        <w:numPr>
          <w:ilvl w:val="0"/>
          <w:numId w:val="1"/>
        </w:numPr>
        <w:ind w:left="284"/>
        <w:rPr>
          <w:rFonts w:ascii="Verdana" w:hAnsi="Verdana"/>
        </w:rPr>
      </w:pPr>
      <w:r w:rsidRPr="008C09D3">
        <w:rPr>
          <w:rFonts w:ascii="Verdana" w:hAnsi="Verdana"/>
          <w:b/>
          <w:u w:val="single"/>
        </w:rPr>
        <w:t>How can the Government and industry ensure that defence-related industry</w:t>
      </w:r>
      <w:r w:rsidRPr="008C09D3">
        <w:rPr>
          <w:rFonts w:ascii="Verdana" w:hAnsi="Verdana"/>
          <w:b/>
        </w:rPr>
        <w:t xml:space="preserve"> </w:t>
      </w:r>
      <w:r w:rsidRPr="008C09D3">
        <w:rPr>
          <w:rFonts w:ascii="Verdana" w:hAnsi="Verdana"/>
          <w:b/>
          <w:u w:val="single"/>
        </w:rPr>
        <w:t>activities are secure and reliable, even in the face of malign activity and</w:t>
      </w:r>
      <w:r w:rsidRPr="008C09D3">
        <w:rPr>
          <w:rFonts w:ascii="Verdana" w:hAnsi="Verdana"/>
          <w:b/>
        </w:rPr>
        <w:t xml:space="preserve"> </w:t>
      </w:r>
      <w:r w:rsidRPr="008C09D3">
        <w:rPr>
          <w:rFonts w:ascii="Verdana" w:hAnsi="Verdana"/>
          <w:b/>
          <w:u w:val="single"/>
        </w:rPr>
        <w:t>disruption, such as cyber-attacks? What action should the Government take in</w:t>
      </w:r>
      <w:r w:rsidRPr="008C09D3">
        <w:rPr>
          <w:rFonts w:ascii="Verdana" w:hAnsi="Verdana"/>
          <w:b/>
        </w:rPr>
        <w:t xml:space="preserve"> </w:t>
      </w:r>
      <w:r w:rsidRPr="008C09D3">
        <w:rPr>
          <w:rFonts w:ascii="Verdana" w:hAnsi="Verdana"/>
          <w:b/>
          <w:u w:val="single"/>
        </w:rPr>
        <w:t>this area, particularly as more SMEs and non-traditional companies become</w:t>
      </w:r>
      <w:r w:rsidRPr="008C09D3">
        <w:rPr>
          <w:rFonts w:ascii="Verdana" w:hAnsi="Verdana"/>
          <w:b/>
        </w:rPr>
        <w:t xml:space="preserve"> </w:t>
      </w:r>
      <w:r w:rsidRPr="008C09D3">
        <w:rPr>
          <w:rFonts w:ascii="Verdana" w:hAnsi="Verdana"/>
          <w:b/>
          <w:u w:val="single"/>
        </w:rPr>
        <w:t>defence suppliers?</w:t>
      </w:r>
      <w:r w:rsidRPr="008C09D3">
        <w:rPr>
          <w:rFonts w:ascii="Verdana" w:hAnsi="Verdana"/>
          <w:b/>
        </w:rPr>
        <w:t xml:space="preserve"> </w:t>
      </w:r>
    </w:p>
    <w:p w:rsidR="00A73BD6" w:rsidRPr="008C09D3" w:rsidP="00AB61AF">
      <w:pPr>
        <w:numPr>
          <w:ilvl w:val="1"/>
          <w:numId w:val="1"/>
        </w:numPr>
        <w:ind w:left="284"/>
        <w:rPr>
          <w:rFonts w:ascii="Verdana" w:hAnsi="Verdana"/>
        </w:rPr>
      </w:pPr>
      <w:r w:rsidRPr="008C09D3">
        <w:rPr>
          <w:rFonts w:ascii="Verdana" w:hAnsi="Verdana"/>
        </w:rPr>
        <w:t>techUK</w:t>
      </w:r>
      <w:r w:rsidRPr="008C09D3">
        <w:rPr>
          <w:rFonts w:ascii="Verdana" w:hAnsi="Verdana"/>
        </w:rPr>
        <w:t xml:space="preserve"> members of all sizes report the need for far greater clarity and cohesion around the MOD’s expectations for cyber security within its supply chain. Since the announcement that all industry partners must achieve Level 0 Defence Cyber Certification (DCC) by the end of 2026, there remain concerns about the implementation of the requirements by MOD commercial teams, and the financial and administrative burden it is placing on members. Companies report variation in assessor interpretation of wording, and a lack</w:t>
      </w:r>
      <w:r w:rsidRPr="008C09D3">
        <w:rPr>
          <w:rFonts w:ascii="Verdana" w:hAnsi="Verdana"/>
        </w:rPr>
        <w:t xml:space="preserve"> of sufficient capacity within the MOD to deal with queries.</w:t>
      </w:r>
      <w:r w:rsidRPr="008C09D3">
        <w:rPr>
          <w:rFonts w:ascii="Verdana" w:hAnsi="Verdana"/>
          <w:b/>
        </w:rPr>
        <w:t xml:space="preserve"> </w:t>
      </w:r>
    </w:p>
    <w:p w:rsidR="00A73BD6" w:rsidRPr="008C09D3" w:rsidP="00AB61AF">
      <w:pPr>
        <w:numPr>
          <w:ilvl w:val="1"/>
          <w:numId w:val="1"/>
        </w:numPr>
        <w:ind w:left="284"/>
        <w:rPr>
          <w:rFonts w:ascii="Verdana" w:hAnsi="Verdana"/>
        </w:rPr>
      </w:pPr>
      <w:r w:rsidRPr="008C09D3">
        <w:rPr>
          <w:rFonts w:ascii="Verdana" w:hAnsi="Verdana"/>
        </w:rPr>
        <w:t>The MOD must look to codify the informal guidance currently available to industry, with tighter and more consistent language control. The focus for suppliers should be on achieving security and resilience-focused outcomes.</w:t>
      </w:r>
      <w:r w:rsidRPr="008C09D3">
        <w:rPr>
          <w:rFonts w:ascii="Verdana" w:hAnsi="Verdana"/>
          <w:b/>
        </w:rPr>
        <w:t xml:space="preserve"> </w:t>
      </w:r>
    </w:p>
    <w:p w:rsidR="00A73BD6" w:rsidRPr="008C09D3" w:rsidP="00AB61AF">
      <w:pPr>
        <w:numPr>
          <w:ilvl w:val="0"/>
          <w:numId w:val="1"/>
        </w:numPr>
        <w:ind w:left="284"/>
        <w:rPr>
          <w:rFonts w:ascii="Verdana" w:hAnsi="Verdana"/>
        </w:rPr>
      </w:pPr>
      <w:r w:rsidRPr="008C09D3">
        <w:rPr>
          <w:rFonts w:ascii="Verdana" w:hAnsi="Verdana"/>
          <w:b/>
          <w:u w:val="single"/>
        </w:rPr>
        <w:t>To what extent does the UK defence industry have the capacity to meet the</w:t>
      </w:r>
      <w:r w:rsidRPr="008C09D3">
        <w:rPr>
          <w:rFonts w:ascii="Verdana" w:hAnsi="Verdana"/>
          <w:b/>
        </w:rPr>
        <w:t xml:space="preserve"> </w:t>
      </w:r>
      <w:r w:rsidRPr="008C09D3">
        <w:rPr>
          <w:rFonts w:ascii="Verdana" w:hAnsi="Verdana"/>
          <w:b/>
          <w:u w:val="single"/>
        </w:rPr>
        <w:t>expected increase in defence spending? What are the main limitations to UKbased companies providing the necessary capacity, and how should these be</w:t>
      </w:r>
      <w:r w:rsidRPr="008C09D3">
        <w:rPr>
          <w:rFonts w:ascii="Verdana" w:hAnsi="Verdana"/>
          <w:b/>
        </w:rPr>
        <w:t xml:space="preserve"> </w:t>
      </w:r>
      <w:r w:rsidRPr="008C09D3">
        <w:rPr>
          <w:rFonts w:ascii="Verdana" w:hAnsi="Verdana"/>
          <w:b/>
          <w:u w:val="single"/>
        </w:rPr>
        <w:t>addressed?</w:t>
      </w:r>
      <w:r w:rsidRPr="008C09D3">
        <w:rPr>
          <w:rFonts w:ascii="Verdana" w:hAnsi="Verdana"/>
          <w:b/>
        </w:rPr>
        <w:t xml:space="preserve"> </w:t>
      </w:r>
    </w:p>
    <w:p w:rsidR="00A73BD6" w:rsidRPr="008C09D3" w:rsidP="00AB61AF">
      <w:pPr>
        <w:numPr>
          <w:ilvl w:val="1"/>
          <w:numId w:val="1"/>
        </w:numPr>
        <w:ind w:left="284"/>
        <w:rPr>
          <w:rFonts w:ascii="Verdana" w:hAnsi="Verdana"/>
        </w:rPr>
      </w:pPr>
      <w:r w:rsidRPr="008C09D3">
        <w:rPr>
          <w:rFonts w:ascii="Verdana" w:hAnsi="Verdana"/>
        </w:rPr>
        <w:t>The uncertainty of the past year caused by the DIP delay has forced companies into making extremely difficult choices regarding investment and staffing. techUK members share stories where subcontracted SMEs have suffered because of contracts being delayed, furloughed or cancelled completely. Given this the MOD must accept that it cannot now expect to just turn the tap back on without cost. As one techUK</w:t>
      </w:r>
      <w:r w:rsidRPr="008C09D3">
        <w:rPr>
          <w:rFonts w:ascii="Verdana" w:hAnsi="Verdana"/>
        </w:rPr>
        <w:t xml:space="preserve"> member states ‘building resilience back into the system will require recognition that it comes at an additional cost, and that this cost must be factored into procurement </w:t>
      </w:r>
      <w:r w:rsidRPr="008C09D3">
        <w:rPr>
          <w:rFonts w:ascii="Verdana" w:hAnsi="Verdana"/>
        </w:rPr>
        <w:t>decisions’</w:t>
      </w:r>
      <w:r w:rsidRPr="008C09D3">
        <w:rPr>
          <w:rFonts w:ascii="Verdana" w:hAnsi="Verdana"/>
        </w:rPr>
        <w:t>.</w:t>
      </w:r>
      <w:r w:rsidRPr="008C09D3">
        <w:rPr>
          <w:rFonts w:ascii="Verdana" w:hAnsi="Verdana"/>
          <w:b/>
        </w:rPr>
        <w:t xml:space="preserve"> </w:t>
      </w:r>
    </w:p>
    <w:p w:rsidR="00A73BD6" w:rsidRPr="008C09D3" w:rsidP="00AB61AF">
      <w:pPr>
        <w:numPr>
          <w:ilvl w:val="1"/>
          <w:numId w:val="1"/>
        </w:numPr>
        <w:ind w:left="284"/>
        <w:rPr>
          <w:rFonts w:ascii="Verdana" w:hAnsi="Verdana"/>
        </w:rPr>
      </w:pPr>
      <w:r w:rsidRPr="008C09D3">
        <w:rPr>
          <w:rFonts w:ascii="Verdana" w:hAnsi="Verdana"/>
        </w:rPr>
        <w:t>While techUK strongly welcomes the commitment to providing greater demand signals to industry, these must be accompanied by signposted routes to market leading to funded programmes of record. The best thing the MOD can do to ensure that industry has the necessary capacity in place, is to provide the stability of longterm</w:t>
      </w:r>
      <w:r w:rsidRPr="008C09D3">
        <w:rPr>
          <w:rFonts w:ascii="Verdana" w:hAnsi="Verdana"/>
        </w:rPr>
        <w:t>, multi-year contracts that allow for the necessary investment and resource management.</w:t>
      </w:r>
    </w:p>
    <w:p w:rsidR="00A73BD6" w:rsidRPr="008C09D3" w:rsidP="00AB61AF">
      <w:pPr>
        <w:numPr>
          <w:ilvl w:val="0"/>
          <w:numId w:val="1"/>
        </w:numPr>
        <w:ind w:left="284"/>
        <w:rPr>
          <w:rFonts w:ascii="Verdana" w:hAnsi="Verdana"/>
        </w:rPr>
      </w:pPr>
      <w:r w:rsidRPr="008C09D3">
        <w:rPr>
          <w:rFonts w:ascii="Verdana" w:hAnsi="Verdana"/>
          <w:b/>
          <w:u w:val="single"/>
        </w:rPr>
        <w:t>To what extent are there constraints in supply chains to providing the</w:t>
      </w:r>
      <w:r w:rsidRPr="008C09D3">
        <w:rPr>
          <w:rFonts w:ascii="Verdana" w:hAnsi="Verdana"/>
          <w:b/>
        </w:rPr>
        <w:t xml:space="preserve"> </w:t>
      </w:r>
      <w:r w:rsidRPr="008C09D3">
        <w:rPr>
          <w:rFonts w:ascii="Verdana" w:hAnsi="Verdana"/>
          <w:b/>
          <w:u w:val="single"/>
        </w:rPr>
        <w:t>necessary capacity, particularly where those supply chains are based outside</w:t>
      </w:r>
      <w:r w:rsidRPr="008C09D3">
        <w:rPr>
          <w:rFonts w:ascii="Verdana" w:hAnsi="Verdana"/>
          <w:b/>
        </w:rPr>
        <w:t xml:space="preserve"> </w:t>
      </w:r>
      <w:r w:rsidRPr="008C09D3">
        <w:rPr>
          <w:rFonts w:ascii="Verdana" w:hAnsi="Verdana"/>
          <w:b/>
          <w:u w:val="single"/>
        </w:rPr>
        <w:t>the UK? Is further Government action needed to provide greater stability in</w:t>
      </w:r>
      <w:r w:rsidRPr="008C09D3">
        <w:rPr>
          <w:rFonts w:ascii="Verdana" w:hAnsi="Verdana"/>
          <w:b/>
        </w:rPr>
        <w:t xml:space="preserve"> </w:t>
      </w:r>
      <w:r w:rsidRPr="008C09D3">
        <w:rPr>
          <w:rFonts w:ascii="Verdana" w:hAnsi="Verdana"/>
          <w:b/>
          <w:u w:val="single"/>
        </w:rPr>
        <w:t>access to necessary supply chain inputs?</w:t>
      </w:r>
      <w:r w:rsidRPr="008C09D3">
        <w:rPr>
          <w:rFonts w:ascii="Verdana" w:hAnsi="Verdana"/>
          <w:b/>
        </w:rPr>
        <w:t xml:space="preserve"> </w:t>
      </w:r>
    </w:p>
    <w:p w:rsidR="00A73BD6" w:rsidRPr="008C09D3" w:rsidP="00AB61AF">
      <w:pPr>
        <w:numPr>
          <w:ilvl w:val="1"/>
          <w:numId w:val="1"/>
        </w:numPr>
        <w:ind w:left="284"/>
        <w:rPr>
          <w:rFonts w:ascii="Verdana" w:hAnsi="Verdana"/>
        </w:rPr>
      </w:pPr>
      <w:r w:rsidRPr="008C09D3">
        <w:rPr>
          <w:rFonts w:ascii="Verdana" w:hAnsi="Verdana"/>
        </w:rPr>
        <w:t>The uncertainty experienced by industry caused by the delay to the DIP and wider Defence Reform has had a considerable impact on the ability of companies to manage their supply chains.</w:t>
      </w:r>
      <w:r w:rsidRPr="008C09D3">
        <w:rPr>
          <w:rFonts w:ascii="Verdana" w:hAnsi="Verdana"/>
          <w:b/>
        </w:rPr>
        <w:t xml:space="preserve"> </w:t>
      </w:r>
    </w:p>
    <w:p w:rsidR="00A73BD6" w:rsidRPr="008C09D3" w:rsidP="00AB61AF">
      <w:pPr>
        <w:numPr>
          <w:ilvl w:val="1"/>
          <w:numId w:val="1"/>
        </w:numPr>
        <w:ind w:left="284"/>
        <w:rPr>
          <w:rFonts w:ascii="Verdana" w:hAnsi="Verdana"/>
        </w:rPr>
      </w:pPr>
      <w:r w:rsidRPr="008C09D3">
        <w:rPr>
          <w:rFonts w:ascii="Verdana" w:hAnsi="Verdana"/>
        </w:rPr>
        <w:t>One techUK member reported to us in the Spring that ‘</w:t>
      </w:r>
      <w:r w:rsidRPr="008C09D3">
        <w:rPr>
          <w:rFonts w:ascii="Verdana" w:hAnsi="Verdana"/>
          <w:i/>
        </w:rPr>
        <w:t xml:space="preserve">there are certain critical components that are now subject to daily price increases that are being swallowed by certain industries which is driving ever greater cost into programmes that are held up, as well as the increasing the scarcity of those components. This only adds to schedule uncertainty in terms of forecast delivery </w:t>
      </w:r>
      <w:r w:rsidRPr="008C09D3">
        <w:rPr>
          <w:rFonts w:ascii="Verdana" w:hAnsi="Verdana"/>
          <w:i/>
        </w:rPr>
        <w:t>dates</w:t>
      </w:r>
      <w:r w:rsidRPr="008C09D3">
        <w:rPr>
          <w:rFonts w:ascii="Verdana" w:hAnsi="Verdana"/>
        </w:rPr>
        <w:t>’</w:t>
      </w:r>
      <w:r w:rsidRPr="008C09D3">
        <w:rPr>
          <w:rFonts w:ascii="Verdana" w:hAnsi="Verdana"/>
        </w:rPr>
        <w:t>.</w:t>
      </w:r>
      <w:r w:rsidRPr="008C09D3">
        <w:rPr>
          <w:rFonts w:ascii="Verdana" w:hAnsi="Verdana"/>
          <w:b/>
        </w:rPr>
        <w:t xml:space="preserve"> </w:t>
      </w:r>
    </w:p>
    <w:p w:rsidR="00A73BD6" w:rsidRPr="008C09D3" w:rsidP="00AB61AF">
      <w:pPr>
        <w:numPr>
          <w:ilvl w:val="1"/>
          <w:numId w:val="1"/>
        </w:numPr>
        <w:ind w:left="284"/>
        <w:rPr>
          <w:rFonts w:ascii="Verdana" w:hAnsi="Verdana"/>
        </w:rPr>
      </w:pPr>
      <w:r w:rsidRPr="008C09D3">
        <w:rPr>
          <w:rFonts w:ascii="Verdana" w:hAnsi="Verdana"/>
          <w:b/>
        </w:rPr>
        <w:t xml:space="preserve"> </w:t>
      </w:r>
      <w:r w:rsidRPr="008C09D3">
        <w:rPr>
          <w:rFonts w:ascii="Verdana" w:hAnsi="Verdana"/>
        </w:rPr>
        <w:t xml:space="preserve">Another member told us that a </w:t>
      </w:r>
      <w:r w:rsidRPr="008C09D3">
        <w:rPr>
          <w:rFonts w:ascii="Verdana" w:hAnsi="Verdana"/>
          <w:i/>
        </w:rPr>
        <w:t>further</w:t>
      </w:r>
      <w:r w:rsidRPr="008C09D3">
        <w:rPr>
          <w:rFonts w:ascii="Verdana" w:hAnsi="Verdana"/>
        </w:rPr>
        <w:t xml:space="preserve"> risk to the MOD is equipment supplier quotes going out of validity, becoming more expensive on renewal as prices rise because of the war in the Middle East and shortages of some critical minerals. The company is seeing some prices ‘being hiked significantly’, forcing them to ask the MOD to allow them to increase the project cost. This is not always possible, and they will be faced with some difficult decisions around ‘taking it on the chin’. </w:t>
      </w:r>
    </w:p>
    <w:p w:rsidR="00A73BD6" w:rsidRPr="008C09D3" w:rsidP="00AB61AF">
      <w:pPr>
        <w:numPr>
          <w:ilvl w:val="1"/>
          <w:numId w:val="1"/>
        </w:numPr>
        <w:ind w:left="284"/>
        <w:rPr>
          <w:rFonts w:ascii="Verdana" w:hAnsi="Verdana"/>
        </w:rPr>
      </w:pPr>
      <w:r w:rsidRPr="008C09D3">
        <w:rPr>
          <w:rFonts w:ascii="Verdana" w:hAnsi="Verdana"/>
        </w:rPr>
        <w:t xml:space="preserve">The MOD needs to provide industry with clarity on demand and rebuild the confidence that it lost during the delay. While demand signals have significant broad, long-term value, nothing provides the clarity and certainty like a contract allowing a company to invest in confidence. </w:t>
      </w:r>
      <w:r w:rsidRPr="008C09D3">
        <w:rPr>
          <w:rFonts w:ascii="Verdana" w:hAnsi="Verdana"/>
          <w:b/>
        </w:rPr>
        <w:t xml:space="preserve"> </w:t>
      </w:r>
    </w:p>
    <w:p w:rsidR="00A73BD6" w:rsidRPr="008C09D3" w:rsidP="00AB61AF">
      <w:pPr>
        <w:numPr>
          <w:ilvl w:val="0"/>
          <w:numId w:val="1"/>
        </w:numPr>
        <w:ind w:left="284"/>
        <w:rPr>
          <w:rFonts w:ascii="Verdana" w:hAnsi="Verdana"/>
        </w:rPr>
      </w:pPr>
      <w:r w:rsidRPr="008C09D3">
        <w:rPr>
          <w:rFonts w:ascii="Verdana" w:hAnsi="Verdana"/>
          <w:b/>
          <w:u w:val="single"/>
        </w:rPr>
        <w:t>Does industry have the capacity to provide a sufficient level of consumables,</w:t>
      </w:r>
      <w:r w:rsidRPr="008C09D3">
        <w:rPr>
          <w:rFonts w:ascii="Verdana" w:hAnsi="Verdana"/>
          <w:b/>
        </w:rPr>
        <w:t xml:space="preserve"> </w:t>
      </w:r>
      <w:r w:rsidRPr="008C09D3">
        <w:rPr>
          <w:rFonts w:ascii="Verdana" w:hAnsi="Verdana"/>
          <w:b/>
          <w:u w:val="single"/>
        </w:rPr>
        <w:t>such as munitions and drones, over a sustained period in the event of war?</w:t>
      </w:r>
      <w:r w:rsidRPr="008C09D3">
        <w:rPr>
          <w:rFonts w:ascii="Verdana" w:hAnsi="Verdana"/>
          <w:b/>
        </w:rPr>
        <w:t xml:space="preserve"> </w:t>
      </w:r>
      <w:r w:rsidRPr="008C09D3">
        <w:rPr>
          <w:rFonts w:ascii="Verdana" w:hAnsi="Verdana"/>
          <w:b/>
          <w:u w:val="single"/>
        </w:rPr>
        <w:t>What level of ‘always on’ capacity is needed to support this and what support</w:t>
      </w:r>
      <w:r w:rsidRPr="008C09D3">
        <w:rPr>
          <w:rFonts w:ascii="Verdana" w:hAnsi="Verdana"/>
          <w:b/>
        </w:rPr>
        <w:t xml:space="preserve"> </w:t>
      </w:r>
      <w:r w:rsidRPr="008C09D3">
        <w:rPr>
          <w:rFonts w:ascii="Verdana" w:hAnsi="Verdana"/>
          <w:b/>
          <w:u w:val="single"/>
        </w:rPr>
        <w:t>should the Government provide?</w:t>
      </w:r>
      <w:r w:rsidRPr="008C09D3">
        <w:rPr>
          <w:rFonts w:ascii="Verdana" w:hAnsi="Verdana"/>
          <w:b/>
        </w:rPr>
        <w:t xml:space="preserve"> </w:t>
      </w:r>
    </w:p>
    <w:p w:rsidR="00A73BD6" w:rsidRPr="008C09D3" w:rsidP="00AB61AF">
      <w:pPr>
        <w:numPr>
          <w:ilvl w:val="1"/>
          <w:numId w:val="1"/>
        </w:numPr>
        <w:ind w:left="284"/>
        <w:rPr>
          <w:rFonts w:ascii="Verdana" w:hAnsi="Verdana"/>
        </w:rPr>
      </w:pPr>
      <w:r w:rsidRPr="008C09D3">
        <w:rPr>
          <w:rFonts w:ascii="Verdana" w:hAnsi="Verdana"/>
        </w:rPr>
        <w:t xml:space="preserve">The ability for industry to provide ‘always on’ capacity ultimately relies on the MOD providing companies with the contracts that allow them the long-term security to invest in both skills and materials, as stated at 8.4, and attract investment allowing them to scale as required. </w:t>
      </w:r>
      <w:r w:rsidRPr="008C09D3">
        <w:rPr>
          <w:rFonts w:ascii="Verdana" w:hAnsi="Verdana"/>
          <w:b/>
        </w:rPr>
        <w:t xml:space="preserve"> </w:t>
      </w:r>
    </w:p>
    <w:p w:rsidR="00A73BD6" w:rsidRPr="008C09D3" w:rsidP="00AB61AF">
      <w:pPr>
        <w:numPr>
          <w:ilvl w:val="1"/>
          <w:numId w:val="1"/>
        </w:numPr>
        <w:ind w:left="284"/>
        <w:rPr>
          <w:rFonts w:ascii="Verdana" w:hAnsi="Verdana"/>
        </w:rPr>
      </w:pPr>
      <w:r w:rsidRPr="008C09D3">
        <w:rPr>
          <w:rFonts w:ascii="Verdana" w:hAnsi="Verdana"/>
        </w:rPr>
        <w:t xml:space="preserve">In the case of the examples mentioned in the question, this may be including looking at products in terms of components required such as </w:t>
      </w:r>
      <w:r w:rsidRPr="008C09D3">
        <w:rPr>
          <w:rFonts w:ascii="Verdana" w:hAnsi="Verdana"/>
        </w:rPr>
        <w:t>motors, and</w:t>
      </w:r>
      <w:r w:rsidRPr="008C09D3">
        <w:rPr>
          <w:rFonts w:ascii="Verdana" w:hAnsi="Verdana"/>
        </w:rPr>
        <w:t xml:space="preserve"> focusing investment that facilitates stockpiling where appropriate. </w:t>
      </w:r>
    </w:p>
    <w:p w:rsidR="00A73BD6" w:rsidRPr="008C09D3" w:rsidP="00AB61AF">
      <w:pPr>
        <w:numPr>
          <w:ilvl w:val="0"/>
          <w:numId w:val="1"/>
        </w:numPr>
        <w:ind w:left="284"/>
        <w:rPr>
          <w:rFonts w:ascii="Verdana" w:hAnsi="Verdana"/>
        </w:rPr>
      </w:pPr>
      <w:r w:rsidRPr="008C09D3">
        <w:rPr>
          <w:rFonts w:ascii="Verdana" w:hAnsi="Verdana"/>
          <w:b/>
          <w:u w:val="single"/>
        </w:rPr>
        <w:t>What lessons can the UK learn from how the relationship between the defence</w:t>
      </w:r>
      <w:r w:rsidRPr="008C09D3">
        <w:rPr>
          <w:rFonts w:ascii="Verdana" w:hAnsi="Verdana"/>
          <w:b/>
        </w:rPr>
        <w:t xml:space="preserve"> </w:t>
      </w:r>
      <w:r w:rsidRPr="008C09D3">
        <w:rPr>
          <w:rFonts w:ascii="Verdana" w:hAnsi="Verdana"/>
          <w:b/>
          <w:u w:val="single"/>
        </w:rPr>
        <w:t>industry and the Government is managed in other jurisdictions?</w:t>
      </w:r>
      <w:r w:rsidRPr="008C09D3">
        <w:rPr>
          <w:rFonts w:ascii="Verdana" w:hAnsi="Verdana"/>
          <w:b/>
        </w:rPr>
        <w:t xml:space="preserve"> </w:t>
      </w:r>
    </w:p>
    <w:p w:rsidR="00A73BD6" w:rsidRPr="008C09D3" w:rsidP="00AB61AF">
      <w:pPr>
        <w:numPr>
          <w:ilvl w:val="1"/>
          <w:numId w:val="1"/>
        </w:numPr>
        <w:ind w:left="284"/>
        <w:rPr>
          <w:rFonts w:ascii="Verdana" w:hAnsi="Verdana"/>
        </w:rPr>
      </w:pPr>
      <w:r w:rsidRPr="008C09D3">
        <w:rPr>
          <w:rFonts w:ascii="Verdana" w:hAnsi="Verdana"/>
        </w:rPr>
        <w:t>The countries that techUK</w:t>
      </w:r>
      <w:r w:rsidRPr="008C09D3">
        <w:rPr>
          <w:rFonts w:ascii="Verdana" w:hAnsi="Verdana"/>
        </w:rPr>
        <w:t xml:space="preserve"> members recognise as demonstrating good practice include the United States and Germany. Beyond simply the scale of spending, the policies of the US Department of War for example actively encourage the participation of SMEs in the defence ecosystem, allowing them to compete with traditional suppliers and scale as appropriate. This is in stark contrast to the lack of confidence that smaller techUK members feel the MOD has in SMEs’ ability to deliver.  </w:t>
      </w:r>
    </w:p>
    <w:p w:rsidR="00A73BD6" w:rsidRPr="008C09D3" w:rsidP="00AB61AF">
      <w:pPr>
        <w:numPr>
          <w:ilvl w:val="1"/>
          <w:numId w:val="1"/>
        </w:numPr>
        <w:ind w:left="284"/>
        <w:rPr>
          <w:rFonts w:ascii="Verdana" w:hAnsi="Verdana"/>
        </w:rPr>
      </w:pPr>
      <w:r w:rsidRPr="008C09D3">
        <w:rPr>
          <w:rFonts w:ascii="Verdana" w:hAnsi="Verdana"/>
        </w:rPr>
        <w:t xml:space="preserve">Fundamentally though, members see success where governments create functioning marketplaces, matching the demand with clear routes to market, and the capital to spend and invest. </w:t>
      </w:r>
    </w:p>
    <w:p w:rsidR="008C09D3" w:rsidRPr="008C09D3" w:rsidP="008C09D3">
      <w:pPr>
        <w:ind w:left="284"/>
        <w:rPr>
          <w:rFonts w:ascii="Verdana" w:hAnsi="Verdana"/>
          <w:i/>
          <w:iCs/>
        </w:rPr>
      </w:pPr>
      <w:r w:rsidRPr="008C09D3">
        <w:rPr>
          <w:rFonts w:ascii="Verdana" w:hAnsi="Verdana"/>
          <w:i/>
          <w:iCs/>
        </w:rPr>
        <w:t>21 July 2026</w:t>
      </w:r>
    </w:p>
    <w:p w:rsidR="008C09D3" w:rsidRPr="008C09D3">
      <w:pPr>
        <w:ind w:left="284"/>
        <w:rPr>
          <w:rFonts w:ascii="Verdana" w:hAnsi="Verdana"/>
          <w:i/>
          <w:iCs/>
        </w:rPr>
      </w:pPr>
    </w:p>
    <w:sectPr w:rsidSect="00AB61AF">
      <w:headerReference w:type="even" r:id="rId8"/>
      <w:headerReference w:type="default" r:id="rId9"/>
      <w:footerReference w:type="even" r:id="rId10"/>
      <w:footerReference w:type="default" r:id="rId11"/>
      <w:headerReference w:type="first" r:id="rId12"/>
      <w:footerReference w:type="first" r:id="rId13"/>
      <w:pgSz w:w="11905" w:h="16840"/>
      <w:pgMar w:top="1440" w:right="1440" w:bottom="1440" w:left="1440" w:header="720" w:footer="703"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BD6">
    <w:pPr>
      <w:spacing w:after="0" w:line="259" w:lineRule="auto"/>
    </w:pPr>
    <w:r>
      <w:fldChar w:fldCharType="begin"/>
    </w:r>
    <w:r>
      <w:instrText xml:space="preserve"> PAGE   \* MERGEFORMAT </w:instrText>
    </w:r>
    <w:r>
      <w:fldChar w:fldCharType="separate"/>
    </w:r>
    <w:r>
      <w:t>1</w:t>
    </w:r>
    <w:r>
      <w:fldChar w:fldCharType="end"/>
    </w:r>
    <w:r>
      <w:t xml:space="preserve"> </w:t>
    </w:r>
  </w:p>
  <w:p w:rsidR="00A73BD6">
    <w:pPr>
      <w:spacing w:after="0" w:line="259" w:lineRule="auto"/>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BD6">
    <w:pPr>
      <w:spacing w:after="0" w:line="259" w:lineRule="auto"/>
    </w:pPr>
    <w:r>
      <w:fldChar w:fldCharType="begin"/>
    </w:r>
    <w:r>
      <w:instrText xml:space="preserve"> PAGE   \* MERGEFORMAT </w:instrText>
    </w:r>
    <w:r>
      <w:fldChar w:fldCharType="separate"/>
    </w:r>
    <w:r>
      <w:t>1</w:t>
    </w:r>
    <w:r>
      <w:fldChar w:fldCharType="end"/>
    </w:r>
    <w:r>
      <w:t xml:space="preserve"> </w:t>
    </w:r>
  </w:p>
  <w:p w:rsidR="00A73BD6">
    <w:pPr>
      <w:spacing w:after="0" w:line="259" w:lineRule="auto"/>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BD6">
    <w:pPr>
      <w:spacing w:after="0" w:line="259" w:lineRule="auto"/>
    </w:pPr>
    <w:r>
      <w:fldChar w:fldCharType="begin"/>
    </w:r>
    <w:r>
      <w:instrText xml:space="preserve"> PAGE   \* MERGEFORMAT </w:instrText>
    </w:r>
    <w:r>
      <w:fldChar w:fldCharType="separate"/>
    </w:r>
    <w:r>
      <w:t>1</w:t>
    </w:r>
    <w:r>
      <w:fldChar w:fldCharType="end"/>
    </w:r>
    <w:r>
      <w:t xml:space="preserve"> </w:t>
    </w:r>
  </w:p>
  <w:p w:rsidR="00A73BD6">
    <w:pPr>
      <w:spacing w:after="0" w:line="259" w:lineRule="auto"/>
    </w:pPr>
    <w: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BD6">
    <w:pPr>
      <w:spacing w:after="0" w:line="259" w:lineRule="auto"/>
      <w:ind w:right="-1437"/>
    </w:pPr>
    <w:r>
      <w:rPr>
        <w:noProof/>
      </w:rPr>
      <w:drawing>
        <wp:anchor distT="0" distB="0" distL="114300" distR="114300" simplePos="0" relativeHeight="251658240" behindDoc="0" locked="0" layoutInCell="1" allowOverlap="0">
          <wp:simplePos x="0" y="0"/>
          <wp:positionH relativeFrom="page">
            <wp:posOffset>5594350</wp:posOffset>
          </wp:positionH>
          <wp:positionV relativeFrom="page">
            <wp:posOffset>0</wp:posOffset>
          </wp:positionV>
          <wp:extent cx="1953768" cy="1027176"/>
          <wp:effectExtent l="0" t="0" r="0" b="0"/>
          <wp:wrapSquare wrapText="bothSides"/>
          <wp:docPr id="6718" name="Picture 6718"/>
          <wp:cNvGraphicFramePr/>
          <a:graphic xmlns:a="http://schemas.openxmlformats.org/drawingml/2006/main">
            <a:graphicData uri="http://schemas.openxmlformats.org/drawingml/2006/picture">
              <pic:pic xmlns:pic="http://schemas.openxmlformats.org/drawingml/2006/picture">
                <pic:nvPicPr>
                  <pic:cNvPr id="6718" name="Picture 6718"/>
                  <pic:cNvPicPr/>
                </pic:nvPicPr>
                <pic:blipFill>
                  <a:blip xmlns:r="http://schemas.openxmlformats.org/officeDocument/2006/relationships" r:embed="rId1"/>
                  <a:stretch>
                    <a:fillRect/>
                  </a:stretch>
                </pic:blipFill>
                <pic:spPr>
                  <a:xfrm>
                    <a:off x="0" y="0"/>
                    <a:ext cx="1953768" cy="1027176"/>
                  </a:xfrm>
                  <a:prstGeom prst="rect">
                    <a:avLst/>
                  </a:prstGeom>
                </pic:spPr>
              </pic:pic>
            </a:graphicData>
          </a:graphic>
        </wp:anchor>
      </w:drawing>
    </w:r>
    <w:r>
      <w:rPr>
        <w:rFonts w:ascii="Calibri" w:eastAsia="Calibri" w:hAnsi="Calibri" w:cs="Calibri"/>
      </w:rPr>
      <w:t xml:space="preserve"> </w:t>
    </w:r>
    <w:r>
      <w:rPr>
        <w:rFonts w:ascii="Calibri" w:eastAsia="Calibri" w:hAnsi="Calibri" w:cs="Calibri"/>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BD6">
    <w:pPr>
      <w:spacing w:after="0" w:line="259" w:lineRule="auto"/>
      <w:ind w:right="-14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BD6">
    <w:pPr>
      <w:spacing w:after="0" w:line="259" w:lineRule="auto"/>
      <w:ind w:right="-1437"/>
    </w:pPr>
    <w:r>
      <w:rPr>
        <w:noProof/>
      </w:rPr>
      <w:drawing>
        <wp:anchor distT="0" distB="0" distL="114300" distR="114300" simplePos="0" relativeHeight="251659264" behindDoc="0" locked="0" layoutInCell="1" allowOverlap="0">
          <wp:simplePos x="0" y="0"/>
          <wp:positionH relativeFrom="page">
            <wp:posOffset>5594350</wp:posOffset>
          </wp:positionH>
          <wp:positionV relativeFrom="page">
            <wp:posOffset>0</wp:posOffset>
          </wp:positionV>
          <wp:extent cx="1953768" cy="1027176"/>
          <wp:effectExtent l="0" t="0" r="0" b="0"/>
          <wp:wrapSquare wrapText="bothSides"/>
          <wp:docPr id="1334023365" name="Picture 1334023365"/>
          <wp:cNvGraphicFramePr/>
          <a:graphic xmlns:a="http://schemas.openxmlformats.org/drawingml/2006/main">
            <a:graphicData uri="http://schemas.openxmlformats.org/drawingml/2006/picture">
              <pic:pic xmlns:pic="http://schemas.openxmlformats.org/drawingml/2006/picture">
                <pic:nvPicPr>
                  <pic:cNvPr id="6718" name="Picture 6718"/>
                  <pic:cNvPicPr/>
                </pic:nvPicPr>
                <pic:blipFill>
                  <a:blip xmlns:r="http://schemas.openxmlformats.org/officeDocument/2006/relationships" r:embed="rId1"/>
                  <a:stretch>
                    <a:fillRect/>
                  </a:stretch>
                </pic:blipFill>
                <pic:spPr>
                  <a:xfrm>
                    <a:off x="0" y="0"/>
                    <a:ext cx="1953768" cy="1027176"/>
                  </a:xfrm>
                  <a:prstGeom prst="rect">
                    <a:avLst/>
                  </a:prstGeom>
                </pic:spPr>
              </pic:pic>
            </a:graphicData>
          </a:graphic>
        </wp:anchor>
      </w:drawing>
    </w:r>
    <w:r>
      <w:rPr>
        <w:rFonts w:ascii="Calibri" w:eastAsia="Calibri" w:hAnsi="Calibri" w:cs="Calibri"/>
      </w:rPr>
      <w:t xml:space="preserve"> </w:t>
    </w:r>
    <w:r>
      <w:rPr>
        <w:rFonts w:ascii="Calibri" w:eastAsia="Calibri" w:hAnsi="Calibri" w:cs="Calibri"/>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A272701"/>
    <w:multiLevelType w:val="multilevel"/>
    <w:tmpl w:val="1B54A3EE"/>
    <w:lvl w:ilvl="0">
      <w:start w:val="1"/>
      <w:numFmt w:val="decimal"/>
      <w:lvlText w:val="%1."/>
      <w:lvlJc w:val="left"/>
      <w:pPr>
        <w:ind w:left="706"/>
      </w:pPr>
      <w:rPr>
        <w:rFonts w:ascii="Arial" w:eastAsia="Arial" w:hAnsi="Arial" w:cs="Arial"/>
        <w:b/>
        <w:bCs/>
        <w:i w:val="0"/>
        <w:strike w:val="0"/>
        <w:dstrike w:val="0"/>
        <w:color w:val="000000"/>
        <w:sz w:val="22"/>
        <w:szCs w:val="22"/>
        <w:u w:val="none" w:color="000000"/>
        <w:bdr w:val="nil"/>
        <w:shd w:val="clear" w:color="auto" w:fill="auto"/>
        <w:vertAlign w:val="baseline"/>
      </w:rPr>
    </w:lvl>
    <w:lvl w:ilvl="1">
      <w:start w:val="1"/>
      <w:numFmt w:val="decimal"/>
      <w:lvlText w:val="%1.%2"/>
      <w:lvlJc w:val="left"/>
      <w:pPr>
        <w:ind w:left="1436"/>
      </w:pPr>
      <w:rPr>
        <w:rFonts w:ascii="Arial" w:eastAsia="Arial" w:hAnsi="Arial" w:cs="Arial"/>
        <w:b w:val="0"/>
        <w:i w:val="0"/>
        <w:strike w:val="0"/>
        <w:dstrike w:val="0"/>
        <w:color w:val="000000"/>
        <w:sz w:val="22"/>
        <w:szCs w:val="22"/>
        <w:u w:val="none" w:color="000000"/>
        <w:bdr w:val="nil"/>
        <w:shd w:val="clear" w:color="auto" w:fill="auto"/>
        <w:vertAlign w:val="baseline"/>
      </w:rPr>
    </w:lvl>
    <w:lvl w:ilvl="2">
      <w:start w:val="1"/>
      <w:numFmt w:val="lowerRoman"/>
      <w:lvlText w:val="%3"/>
      <w:lvlJc w:val="left"/>
      <w:pPr>
        <w:ind w:left="1365"/>
      </w:pPr>
      <w:rPr>
        <w:rFonts w:ascii="Arial" w:eastAsia="Arial" w:hAnsi="Arial" w:cs="Arial"/>
        <w:b w:val="0"/>
        <w:i w:val="0"/>
        <w:strike w:val="0"/>
        <w:dstrike w:val="0"/>
        <w:color w:val="000000"/>
        <w:sz w:val="22"/>
        <w:szCs w:val="22"/>
        <w:u w:val="none" w:color="000000"/>
        <w:bdr w:val="nil"/>
        <w:shd w:val="clear" w:color="auto" w:fill="auto"/>
        <w:vertAlign w:val="baseline"/>
      </w:rPr>
    </w:lvl>
    <w:lvl w:ilvl="3">
      <w:start w:val="1"/>
      <w:numFmt w:val="decimal"/>
      <w:lvlText w:val="%4"/>
      <w:lvlJc w:val="left"/>
      <w:pPr>
        <w:ind w:left="2085"/>
      </w:pPr>
      <w:rPr>
        <w:rFonts w:ascii="Arial" w:eastAsia="Arial" w:hAnsi="Arial" w:cs="Arial"/>
        <w:b w:val="0"/>
        <w:i w:val="0"/>
        <w:strike w:val="0"/>
        <w:dstrike w:val="0"/>
        <w:color w:val="000000"/>
        <w:sz w:val="22"/>
        <w:szCs w:val="22"/>
        <w:u w:val="none" w:color="000000"/>
        <w:bdr w:val="nil"/>
        <w:shd w:val="clear" w:color="auto" w:fill="auto"/>
        <w:vertAlign w:val="baseline"/>
      </w:rPr>
    </w:lvl>
    <w:lvl w:ilvl="4">
      <w:start w:val="1"/>
      <w:numFmt w:val="lowerLetter"/>
      <w:lvlText w:val="%5"/>
      <w:lvlJc w:val="left"/>
      <w:pPr>
        <w:ind w:left="2805"/>
      </w:pPr>
      <w:rPr>
        <w:rFonts w:ascii="Arial" w:eastAsia="Arial" w:hAnsi="Arial" w:cs="Arial"/>
        <w:b w:val="0"/>
        <w:i w:val="0"/>
        <w:strike w:val="0"/>
        <w:dstrike w:val="0"/>
        <w:color w:val="000000"/>
        <w:sz w:val="22"/>
        <w:szCs w:val="22"/>
        <w:u w:val="none" w:color="000000"/>
        <w:bdr w:val="nil"/>
        <w:shd w:val="clear" w:color="auto" w:fill="auto"/>
        <w:vertAlign w:val="baseline"/>
      </w:rPr>
    </w:lvl>
    <w:lvl w:ilvl="5">
      <w:start w:val="1"/>
      <w:numFmt w:val="lowerRoman"/>
      <w:lvlText w:val="%6"/>
      <w:lvlJc w:val="left"/>
      <w:pPr>
        <w:ind w:left="3525"/>
      </w:pPr>
      <w:rPr>
        <w:rFonts w:ascii="Arial" w:eastAsia="Arial" w:hAnsi="Arial" w:cs="Arial"/>
        <w:b w:val="0"/>
        <w:i w:val="0"/>
        <w:strike w:val="0"/>
        <w:dstrike w:val="0"/>
        <w:color w:val="000000"/>
        <w:sz w:val="22"/>
        <w:szCs w:val="22"/>
        <w:u w:val="none" w:color="000000"/>
        <w:bdr w:val="nil"/>
        <w:shd w:val="clear" w:color="auto" w:fill="auto"/>
        <w:vertAlign w:val="baseline"/>
      </w:rPr>
    </w:lvl>
    <w:lvl w:ilvl="6">
      <w:start w:val="1"/>
      <w:numFmt w:val="decimal"/>
      <w:lvlText w:val="%7"/>
      <w:lvlJc w:val="left"/>
      <w:pPr>
        <w:ind w:left="4245"/>
      </w:pPr>
      <w:rPr>
        <w:rFonts w:ascii="Arial" w:eastAsia="Arial" w:hAnsi="Arial" w:cs="Arial"/>
        <w:b w:val="0"/>
        <w:i w:val="0"/>
        <w:strike w:val="0"/>
        <w:dstrike w:val="0"/>
        <w:color w:val="000000"/>
        <w:sz w:val="22"/>
        <w:szCs w:val="22"/>
        <w:u w:val="none" w:color="000000"/>
        <w:bdr w:val="nil"/>
        <w:shd w:val="clear" w:color="auto" w:fill="auto"/>
        <w:vertAlign w:val="baseline"/>
      </w:rPr>
    </w:lvl>
    <w:lvl w:ilvl="7">
      <w:start w:val="1"/>
      <w:numFmt w:val="lowerLetter"/>
      <w:lvlText w:val="%8"/>
      <w:lvlJc w:val="left"/>
      <w:pPr>
        <w:ind w:left="4965"/>
      </w:pPr>
      <w:rPr>
        <w:rFonts w:ascii="Arial" w:eastAsia="Arial" w:hAnsi="Arial" w:cs="Arial"/>
        <w:b w:val="0"/>
        <w:i w:val="0"/>
        <w:strike w:val="0"/>
        <w:dstrike w:val="0"/>
        <w:color w:val="000000"/>
        <w:sz w:val="22"/>
        <w:szCs w:val="22"/>
        <w:u w:val="none" w:color="000000"/>
        <w:bdr w:val="nil"/>
        <w:shd w:val="clear" w:color="auto" w:fill="auto"/>
        <w:vertAlign w:val="baseline"/>
      </w:rPr>
    </w:lvl>
    <w:lvl w:ilvl="8">
      <w:start w:val="1"/>
      <w:numFmt w:val="lowerRoman"/>
      <w:lvlText w:val="%9"/>
      <w:lvlJc w:val="left"/>
      <w:pPr>
        <w:ind w:left="5685"/>
      </w:pPr>
      <w:rPr>
        <w:rFonts w:ascii="Arial" w:eastAsia="Arial" w:hAnsi="Arial" w:cs="Arial"/>
        <w:b w:val="0"/>
        <w:i w:val="0"/>
        <w:strike w:val="0"/>
        <w:dstrike w:val="0"/>
        <w:color w:val="000000"/>
        <w:sz w:val="22"/>
        <w:szCs w:val="22"/>
        <w:u w:val="none" w:color="000000"/>
        <w:bdr w:val="nil"/>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TW"/>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AB61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61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61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61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61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61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61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61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61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61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61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61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61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61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61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61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61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61AF"/>
    <w:rPr>
      <w:rFonts w:eastAsiaTheme="majorEastAsia" w:cstheme="majorBidi"/>
      <w:color w:val="272727" w:themeColor="text1" w:themeTint="D8"/>
    </w:rPr>
  </w:style>
  <w:style w:type="paragraph" w:styleId="Title">
    <w:name w:val="Title"/>
    <w:basedOn w:val="Normal"/>
    <w:next w:val="Normal"/>
    <w:link w:val="TitleChar"/>
    <w:uiPriority w:val="10"/>
    <w:qFormat/>
    <w:rsid w:val="00AB61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61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61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61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61AF"/>
    <w:pPr>
      <w:spacing w:before="160"/>
      <w:jc w:val="center"/>
    </w:pPr>
    <w:rPr>
      <w:i/>
      <w:iCs/>
      <w:color w:val="404040" w:themeColor="text1" w:themeTint="BF"/>
    </w:rPr>
  </w:style>
  <w:style w:type="character" w:customStyle="1" w:styleId="QuoteChar">
    <w:name w:val="Quote Char"/>
    <w:basedOn w:val="DefaultParagraphFont"/>
    <w:link w:val="Quote"/>
    <w:uiPriority w:val="29"/>
    <w:rsid w:val="00AB61AF"/>
    <w:rPr>
      <w:i/>
      <w:iCs/>
      <w:color w:val="404040" w:themeColor="text1" w:themeTint="BF"/>
    </w:rPr>
  </w:style>
  <w:style w:type="paragraph" w:styleId="ListParagraph">
    <w:name w:val="List Paragraph"/>
    <w:basedOn w:val="Normal"/>
    <w:uiPriority w:val="34"/>
    <w:qFormat/>
    <w:rsid w:val="00AB61AF"/>
    <w:pPr>
      <w:ind w:left="720"/>
      <w:contextualSpacing/>
    </w:pPr>
  </w:style>
  <w:style w:type="character" w:styleId="IntenseEmphasis">
    <w:name w:val="Intense Emphasis"/>
    <w:basedOn w:val="DefaultParagraphFont"/>
    <w:uiPriority w:val="21"/>
    <w:qFormat/>
    <w:rsid w:val="00AB61AF"/>
    <w:rPr>
      <w:i/>
      <w:iCs/>
      <w:color w:val="0F4761" w:themeColor="accent1" w:themeShade="BF"/>
    </w:rPr>
  </w:style>
  <w:style w:type="paragraph" w:styleId="IntenseQuote">
    <w:name w:val="Intense Quote"/>
    <w:basedOn w:val="Normal"/>
    <w:next w:val="Normal"/>
    <w:link w:val="IntenseQuoteChar"/>
    <w:uiPriority w:val="30"/>
    <w:qFormat/>
    <w:rsid w:val="00AB61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61AF"/>
    <w:rPr>
      <w:i/>
      <w:iCs/>
      <w:color w:val="0F4761" w:themeColor="accent1" w:themeShade="BF"/>
    </w:rPr>
  </w:style>
  <w:style w:type="character" w:styleId="IntenseReference">
    <w:name w:val="Intense Reference"/>
    <w:basedOn w:val="DefaultParagraphFont"/>
    <w:uiPriority w:val="32"/>
    <w:qFormat/>
    <w:rsid w:val="00AB61A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header3.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EE0AAC2DD13DBD4E83D33BED1AC32442" ma:contentTypeVersion="171" ma:contentTypeDescription="Create a new document." ma:contentTypeScope="" ma:versionID="668496e791bc85b8f416e7c0d146fe23">
  <xsd:schema xmlns:xsd="http://www.w3.org/2001/XMLSchema" xmlns:xs="http://www.w3.org/2001/XMLSchema" xmlns:p="http://schemas.microsoft.com/office/2006/metadata/properties" xmlns:ns2="4600776d-0a3c-44b4-bff2-0ceaafb13046" xmlns:ns3="485a6302-b85f-4d7c-a011-e26d5ba99389" xmlns:ns4="79d268c4-0356-4512-82e3-e8973b96fbb0" targetNamespace="http://schemas.microsoft.com/office/2006/metadata/properties" ma:root="true" ma:fieldsID="084d309e37b89454fe82a1566b719a5d" ns2:_="" ns3:_="" ns4:_="">
    <xsd:import namespace="4600776d-0a3c-44b4-bff2-0ceaafb13046"/>
    <xsd:import namespace="485a6302-b85f-4d7c-a011-e26d5ba99389"/>
    <xsd:import namespace="79d268c4-0356-4512-82e3-e8973b96fbb0"/>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4:MediaServiceMetadata" minOccurs="0"/>
                <xsd:element ref="ns4:MediaServiceFastMetadata" minOccurs="0"/>
                <xsd:element ref="ns3:SharedWithUsers" minOccurs="0"/>
                <xsd:element ref="ns3:SharedWithDetails" minOccurs="0"/>
                <xsd:element ref="ns2:TaxCatchAll" minOccurs="0"/>
                <xsd:element ref="ns2:k5b153ee974a4a57a7568e533217f2cb" minOccurs="0"/>
                <xsd:element ref="ns2:cd0fc526a5c840319a97fd94028e9904" minOccurs="0"/>
                <xsd:element ref="ns3:_dlc_DocIdUrl" minOccurs="0"/>
                <xsd:element ref="ns2:g3ef09377e3444258679b6035a1ff93a" minOccurs="0"/>
                <xsd:element ref="ns2:c4838c65c76546ae93d5703426802f7f" minOccurs="0"/>
                <xsd:element ref="ns2:j6c5b17cd04246da82e5604daf08bc68" minOccurs="0"/>
                <xsd:element ref="ns3:_dlc_DocId"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5" nillable="true" ma:displayName="Taxonomy Catch All Column" ma:hidden="true" ma:list="{c3be72a0-5934-40e7-a617-8e49b85798f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k5b153ee974a4a57a7568e533217f2cb" ma:index="16" nillable="true" ma:taxonomy="true" ma:internalName="k5b153ee974a4a57a7568e533217f2cb" ma:taxonomyFieldName="ProtectiveMarking" ma:displayName="Protective Marking" ma:indexed="true" ma:readOnly="false" ma:default="36;#Unrestricted|ae6bc852-fecb-4b6b-95a3-8d1301f0fcb7"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23"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6" nillable="true" ma:taxonomy="true" ma:internalName="j6c5b17cd04246da82e5604daf08bc68" ma:taxonomyFieldName="RMKeyword2" ma:displayName="RM Keyword 2" ma:readOnly="false" ma:default="11;#Procedures And Guidance|ff371ca7-c6fe-44b5-885b-2b2af847cc2a"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85a6302-b85f-4d7c-a011-e26d5ba99389"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28" nillable="true" ma:displayName="Document ID Value" ma:description="The value of the document ID assigned to this item."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d268c4-0356-4512-82e3-e8973b96fbb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d0fc526a5c840319a97fd94028e9904 xmlns="4600776d-0a3c-44b4-bff2-0ceaafb13046">
      <Terms xmlns="http://schemas.microsoft.com/office/infopath/2007/PartnerControls"/>
    </cd0fc526a5c840319a97fd94028e9904>
    <TransfertoArchives xmlns="4600776d-0a3c-44b4-bff2-0ceaafb13046">false</TransfertoArchives>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Procedures And Guidance</TermName>
          <TermId xmlns="http://schemas.microsoft.com/office/infopath/2007/PartnerControls">ff371ca7-c6fe-44b5-885b-2b2af847cc2a</TermId>
        </TermInfo>
      </Terms>
    </j6c5b17cd04246da82e5604daf08bc68>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ae6bc852-fecb-4b6b-95a3-8d1301f0fcb7</TermId>
        </TermInfo>
      </Terms>
    </k5b153ee974a4a57a7568e533217f2cb>
    <RetentionTriggerDate xmlns="4600776d-0a3c-44b4-bff2-0ceaafb13046" xsi:nil="true"/>
    <c4838c65c76546ae93d5703426802f7f xmlns="4600776d-0a3c-44b4-bff2-0ceaafb13046">
      <Terms xmlns="http://schemas.microsoft.com/office/infopath/2007/PartnerControls"/>
    </c4838c65c76546ae93d5703426802f7f>
    <RecordNumber xmlns="4600776d-0a3c-44b4-bff2-0ceaafb13046" xsi:nil="true"/>
    <g3ef09377e3444258679b6035a1ff93a xmlns="4600776d-0a3c-44b4-bff2-0ceaafb13046">
      <Terms xmlns="http://schemas.microsoft.com/office/infopath/2007/PartnerControls"/>
    </g3ef09377e3444258679b6035a1ff93a>
    <TaxCatchAll xmlns="4600776d-0a3c-44b4-bff2-0ceaafb13046">
      <Value>11</Value>
      <Value>36</Value>
    </TaxCatchAll>
  </documentManagement>
</p:properties>
</file>

<file path=customXml/item4.xml><?xml version="1.0" encoding="utf-8"?>
<?mso-contentType ?>
<FormTemplates xmlns="http://schemas.microsoft.com/sharepoint/v3/contenttype/forms"/>
</file>

<file path=customXml/itemProps1.xml><?xml version="1.0" encoding="utf-8"?>
<ds:datastoreItem xmlns:ds="http://schemas.openxmlformats.org/officeDocument/2006/customXml" ds:itemID="{048BFE18-037E-42EB-8F91-3898BCFD416D}">
  <ds:schemaRefs>
    <ds:schemaRef ds:uri="http://schemas.microsoft.com/sharepoint/events"/>
  </ds:schemaRefs>
</ds:datastoreItem>
</file>

<file path=customXml/itemProps2.xml><?xml version="1.0" encoding="utf-8"?>
<ds:datastoreItem xmlns:ds="http://schemas.openxmlformats.org/officeDocument/2006/customXml" ds:itemID="{A14D1630-B044-4687-9C78-E4D469BC9E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485a6302-b85f-4d7c-a011-e26d5ba99389"/>
    <ds:schemaRef ds:uri="79d268c4-0356-4512-82e3-e8973b96fb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41C9B4-DB5A-41ED-A947-87A3EA025E73}">
  <ds:schemaRefs>
    <ds:schemaRef ds:uri="http://schemas.microsoft.com/office/2006/metadata/properties"/>
    <ds:schemaRef ds:uri="http://schemas.microsoft.com/office/infopath/2007/PartnerControls"/>
    <ds:schemaRef ds:uri="4600776d-0a3c-44b4-bff2-0ceaafb13046"/>
  </ds:schemaRefs>
</ds:datastoreItem>
</file>

<file path=customXml/itemProps4.xml><?xml version="1.0" encoding="utf-8"?>
<ds:datastoreItem xmlns:ds="http://schemas.openxmlformats.org/officeDocument/2006/customXml" ds:itemID="{F5556D9E-6F07-4FCD-914F-AFEF489F2D9A}">
  <ds:schemaRefs>
    <ds:schemaRef ds:uri="http://schemas.microsoft.com/sharepoint/v3/contenttype/forms"/>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DEF0024</dc:title>
  <cp:revision>0</cp:revision>
</cp:coreProperties>
</file>