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C13D2" w:rsidRPr="000D5C8E" w:rsidP="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Written evidence </w:t>
      </w:r>
      <w:r w:rsidRPr="000D5C8E" w:rsidR="000D5C8E">
        <w:rPr>
          <w:rFonts w:ascii="Verdana" w:hAnsi="Verdana"/>
          <w:b/>
          <w:bCs/>
          <w:color w:val="000000" w:themeColor="text1"/>
          <w:sz w:val="24"/>
          <w:szCs w:val="24"/>
        </w:rPr>
        <w:t>from</w:t>
      </w:r>
      <w:r w:rsidRPr="000D5C8E">
        <w:rPr>
          <w:rFonts w:ascii="Verdana" w:hAnsi="Verdana"/>
          <w:b/>
          <w:bCs/>
          <w:color w:val="000000" w:themeColor="text1"/>
          <w:sz w:val="24"/>
          <w:szCs w:val="24"/>
        </w:rPr>
        <w:t xml:space="preserve"> Neil Daly, Founder and Chief Executive Officer, Skin Analytics </w:t>
      </w:r>
      <w:r w:rsidR="000D5C8E">
        <w:rPr>
          <w:rFonts w:ascii="Verdana" w:hAnsi="Verdana"/>
          <w:b/>
          <w:bCs/>
          <w:color w:val="000000" w:themeColor="text1"/>
          <w:sz w:val="24"/>
          <w:szCs w:val="24"/>
        </w:rPr>
        <w:t>(PMA0125)</w:t>
      </w:r>
    </w:p>
    <w:p w:rsidR="000D5C8E" w:rsidRPr="000D5C8E" w:rsidP="000D5C8E">
      <w:pPr>
        <w:spacing w:line="276" w:lineRule="auto"/>
        <w:rPr>
          <w:rFonts w:ascii="Verdana" w:hAnsi="Verdana"/>
          <w:color w:val="000000" w:themeColor="text1"/>
          <w:sz w:val="24"/>
          <w:szCs w:val="24"/>
        </w:rPr>
      </w:pPr>
    </w:p>
    <w:p w:rsidR="00AC13D2" w:rsidRPr="000D5C8E" w:rsidP="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Declaration of interest. </w:t>
      </w:r>
      <w:r w:rsidRPr="000D5C8E">
        <w:rPr>
          <w:rFonts w:ascii="Verdana" w:hAnsi="Verdana"/>
          <w:color w:val="000000" w:themeColor="text1"/>
          <w:sz w:val="24"/>
          <w:szCs w:val="24"/>
        </w:rPr>
        <w:t>I co-chair the Department of Health and Social Care’s Innovator Passport Task and Finish Group as an industry representative. This submission is made in a personal and company capacity and reflects our direct experience of bringing an autonomous AI medical device into NHS use.</w:t>
      </w:r>
    </w:p>
    <w:p w:rsidR="00AC13D2" w:rsidRPr="000D5C8E">
      <w:pPr>
        <w:pStyle w:val="Heading1"/>
        <w:spacing w:before="0" w:after="0" w:line="276" w:lineRule="auto"/>
        <w:rPr>
          <w:rFonts w:ascii="Verdana" w:eastAsia="Roboto" w:hAnsi="Verdana" w:cs="Roboto"/>
          <w:color w:val="000000" w:themeColor="text1"/>
        </w:rPr>
      </w:pPr>
    </w:p>
    <w:p w:rsidR="00AC13D2" w:rsidP="000D5C8E">
      <w:pPr>
        <w:rPr>
          <w:rFonts w:ascii="Verdana" w:hAnsi="Verdana"/>
          <w:b/>
          <w:color w:val="000000" w:themeColor="text1"/>
          <w:sz w:val="24"/>
          <w:szCs w:val="24"/>
        </w:rPr>
      </w:pPr>
      <w:r w:rsidRPr="000D5C8E">
        <w:rPr>
          <w:rFonts w:ascii="Verdana" w:hAnsi="Verdana"/>
          <w:b/>
          <w:color w:val="000000" w:themeColor="text1"/>
          <w:sz w:val="24"/>
          <w:szCs w:val="24"/>
        </w:rPr>
        <w:t>Summary</w:t>
      </w:r>
    </w:p>
    <w:p w:rsidR="000D5C8E" w:rsidRPr="000D5C8E" w:rsidP="000D5C8E">
      <w:pPr>
        <w:rPr>
          <w:rFonts w:ascii="Verdana" w:hAnsi="Verdana"/>
          <w:b/>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The NHS is the best system in the world at generating evidence for an innovation, and one of the worst at scaling what it has already proven. The barriers are not clinical evidence which we are exceptional at generating and they are no longer regulatory.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They sit in the gap between proof and routine adoption with no national route to commission a proven technology. The rigour of regulatory approval is not recognised in procurement. The NICE Early Value Assessment and Health Technology Assessment frameworks have promise but need more detailed training and rules of engagement for committees as well as closer alignment to regulatory processes at the front end and adoption pathways as the back end. </w:t>
      </w: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Making these fixes would represent the single highest return change available to Government.</w:t>
      </w:r>
    </w:p>
    <w:p w:rsidR="00AC13D2" w:rsidRPr="000D5C8E">
      <w:pPr>
        <w:spacing w:line="276" w:lineRule="auto"/>
        <w:rPr>
          <w:rFonts w:ascii="Verdana" w:hAnsi="Verdana"/>
          <w:color w:val="000000" w:themeColor="text1"/>
          <w:sz w:val="24"/>
          <w:szCs w:val="24"/>
        </w:rPr>
      </w:pPr>
    </w:p>
    <w:p w:rsidR="00AC13D2">
      <w:pPr>
        <w:spacing w:line="276" w:lineRule="auto"/>
        <w:rPr>
          <w:rFonts w:ascii="Verdana" w:hAnsi="Verdana"/>
          <w:b/>
          <w:bCs/>
          <w:color w:val="000000" w:themeColor="text1"/>
          <w:sz w:val="24"/>
          <w:szCs w:val="24"/>
        </w:rPr>
      </w:pPr>
      <w:r w:rsidRPr="000D5C8E">
        <w:rPr>
          <w:rFonts w:ascii="Verdana" w:hAnsi="Verdana"/>
          <w:b/>
          <w:bCs/>
          <w:color w:val="000000" w:themeColor="text1"/>
          <w:sz w:val="24"/>
          <w:szCs w:val="24"/>
        </w:rPr>
        <w:t>1. An NHS innovation strategy that closes the strategy-to-translation gap</w:t>
      </w:r>
    </w:p>
    <w:p w:rsidR="000D5C8E"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Problem. </w:t>
      </w:r>
      <w:r w:rsidRPr="000D5C8E">
        <w:rPr>
          <w:rFonts w:ascii="Verdana" w:hAnsi="Verdana"/>
          <w:color w:val="000000" w:themeColor="text1"/>
          <w:sz w:val="24"/>
          <w:szCs w:val="24"/>
        </w:rPr>
        <w:t xml:space="preserve">The national strategy is clear </w:t>
      </w:r>
      <w:r w:rsidRPr="000D5C8E">
        <w:rPr>
          <w:rFonts w:ascii="Verdana" w:hAnsi="Verdana"/>
          <w:color w:val="000000" w:themeColor="text1"/>
          <w:sz w:val="24"/>
          <w:szCs w:val="24"/>
        </w:rPr>
        <w:t>an</w:t>
      </w:r>
      <w:r w:rsidRPr="000D5C8E">
        <w:rPr>
          <w:rFonts w:ascii="Verdana" w:hAnsi="Verdana"/>
          <w:color w:val="000000" w:themeColor="text1"/>
          <w:sz w:val="24"/>
          <w:szCs w:val="24"/>
        </w:rPr>
        <w:t xml:space="preserve"> </w:t>
      </w:r>
      <w:r w:rsidRPr="000D5C8E">
        <w:rPr>
          <w:rFonts w:ascii="Verdana" w:hAnsi="Verdana"/>
          <w:color w:val="000000" w:themeColor="text1"/>
          <w:sz w:val="24"/>
          <w:szCs w:val="24"/>
        </w:rPr>
        <w:t>The</w:t>
      </w:r>
      <w:r w:rsidRPr="000D5C8E">
        <w:rPr>
          <w:rFonts w:ascii="Verdana" w:hAnsi="Verdana"/>
          <w:color w:val="000000" w:themeColor="text1"/>
          <w:sz w:val="24"/>
          <w:szCs w:val="24"/>
        </w:rPr>
        <w:t xml:space="preserve"> 10 Year Health Plan states that, subject to NICE approval, AI triage will be standard practice in dermatology pathways by 2028 to 2029.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While this seems ambitious, when set against the appropriate context it is not. 2029 would represent nearly a decade of AI skin cancer pathways within the NHS and nearly 13 years since the first NHS patients were recruited into a clinical study. To date, 280,000 NHS patients have been through these AI </w:t>
      </w:r>
      <w:r w:rsidRPr="000D5C8E">
        <w:rPr>
          <w:rFonts w:ascii="Verdana" w:hAnsi="Verdana"/>
          <w:color w:val="000000" w:themeColor="text1"/>
          <w:sz w:val="24"/>
          <w:szCs w:val="24"/>
        </w:rPr>
        <w:t>pathways</w:t>
      </w:r>
      <w:r w:rsidRPr="000D5C8E">
        <w:rPr>
          <w:rFonts w:ascii="Verdana" w:hAnsi="Verdana"/>
          <w:color w:val="000000" w:themeColor="text1"/>
          <w:sz w:val="24"/>
          <w:szCs w:val="24"/>
        </w:rPr>
        <w:t xml:space="preserve"> and more than 20,000 skin cancers have been found across 25 NHS sites spread across England. A NICE EVA gave the highest possible outcome in </w:t>
      </w:r>
      <w:r w:rsidRPr="000D5C8E">
        <w:rPr>
          <w:rFonts w:ascii="Verdana" w:hAnsi="Verdana"/>
          <w:color w:val="000000" w:themeColor="text1"/>
          <w:sz w:val="24"/>
          <w:szCs w:val="24"/>
        </w:rPr>
        <w:t>mid 2025</w:t>
      </w:r>
      <w:r w:rsidRPr="000D5C8E">
        <w:rPr>
          <w:rFonts w:ascii="Verdana" w:hAnsi="Verdana"/>
          <w:color w:val="000000" w:themeColor="text1"/>
          <w:sz w:val="24"/>
          <w:szCs w:val="24"/>
        </w:rPr>
        <w:t xml:space="preserve">, so a further 3-4 years post this decision to make standard practice is setting a very low bar and will happen without any national strategy simply from local market need.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These timelines make it impossible for the UK venture capital community to provide critical early funding to innovative companies, making it challenging in </w:t>
      </w:r>
      <w:r w:rsidRPr="000D5C8E">
        <w:rPr>
          <w:rFonts w:ascii="Verdana" w:hAnsi="Verdana"/>
          <w:color w:val="000000" w:themeColor="text1"/>
          <w:sz w:val="24"/>
          <w:szCs w:val="24"/>
        </w:rPr>
        <w:t>turn to foster innovation to the point that it is ready to alleviate the pressure the NHS is facing.</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Recommendation. </w:t>
      </w:r>
      <w:r w:rsidRPr="000D5C8E">
        <w:rPr>
          <w:rFonts w:ascii="Verdana" w:hAnsi="Verdana"/>
          <w:color w:val="000000" w:themeColor="text1"/>
          <w:sz w:val="24"/>
          <w:szCs w:val="24"/>
        </w:rPr>
        <w:t>Government should set a national innovation strategy with an explicit translation mechanism. Once a technology has cleared regulatory approval and a positive NICE assessment, there should be a single, standardised national adoption route rather than a fresh local evaluation at every trust. Make evidence portable across the system by default.</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Further, Government should ensure that any plans are internally consistent with the path innovation must follow, through venture investors. Government should see British companies competing on the global scale as good for the country and worth expediting adoption in our backyard to provide the opportunity for them to do so.</w:t>
      </w:r>
    </w:p>
    <w:p w:rsidR="00AC13D2" w:rsidRPr="000D5C8E">
      <w:pPr>
        <w:spacing w:line="276" w:lineRule="auto"/>
        <w:rPr>
          <w:rFonts w:ascii="Verdana" w:hAnsi="Verdana"/>
          <w:color w:val="000000" w:themeColor="text1"/>
          <w:sz w:val="24"/>
          <w:szCs w:val="24"/>
        </w:rPr>
      </w:pPr>
    </w:p>
    <w:p w:rsidR="00AC13D2">
      <w:pPr>
        <w:spacing w:line="276" w:lineRule="auto"/>
        <w:rPr>
          <w:rFonts w:ascii="Verdana" w:hAnsi="Verdana"/>
          <w:b/>
          <w:bCs/>
          <w:color w:val="000000" w:themeColor="text1"/>
          <w:sz w:val="24"/>
          <w:szCs w:val="24"/>
        </w:rPr>
      </w:pPr>
      <w:r w:rsidRPr="000D5C8E">
        <w:rPr>
          <w:rFonts w:ascii="Verdana" w:hAnsi="Verdana"/>
          <w:b/>
          <w:bCs/>
          <w:color w:val="000000" w:themeColor="text1"/>
          <w:sz w:val="24"/>
          <w:szCs w:val="24"/>
        </w:rPr>
        <w:t>2. Standardisation and clarity after regulatory approval</w:t>
      </w:r>
    </w:p>
    <w:p w:rsidR="00A100A9"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Problem. </w:t>
      </w:r>
      <w:r w:rsidRPr="000D5C8E">
        <w:rPr>
          <w:rFonts w:ascii="Verdana" w:hAnsi="Verdana"/>
          <w:color w:val="000000" w:themeColor="text1"/>
          <w:sz w:val="24"/>
          <w:szCs w:val="24"/>
        </w:rPr>
        <w:t xml:space="preserve">Today, clearing the highest regulatory bar changes very little about how hard a technology is to deploy. DERM holds a Class III CE mark under the EU Medical Device Regulation, has met NHS England DTAC requirements, and is, to our knowledge, the only autonomous AI medical device sitting in its regulator’s highest risk tier in any major market.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Despite this, every trust still applies its own information governance, clinical safety, procurement and evaluation processes, each interpreted differently. The work of meeting the most demanding regulatory standard in the world is not recognised, and the same assurance is re-litigated locally, </w:t>
      </w:r>
      <w:r w:rsidRPr="000D5C8E">
        <w:rPr>
          <w:rFonts w:ascii="Verdana" w:hAnsi="Verdana"/>
          <w:color w:val="000000" w:themeColor="text1"/>
          <w:sz w:val="24"/>
          <w:szCs w:val="24"/>
        </w:rPr>
        <w:t>again and again</w:t>
      </w:r>
      <w:r w:rsidRPr="000D5C8E">
        <w:rPr>
          <w:rFonts w:ascii="Verdana" w:hAnsi="Verdana"/>
          <w:color w:val="000000" w:themeColor="text1"/>
          <w:sz w:val="24"/>
          <w:szCs w:val="24"/>
        </w:rPr>
        <w:t>.</w:t>
      </w: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Further, and critically, companies that choose to avoid regulatory oversight in breach of those laws are allowed to operate with no sanction or penalty. The regulatory bodies need to be given resources and authority to enforce the regulations. Companies in our field have chosen to ignore the law, comfortable that the regulators will not investigate.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Recommendation. </w:t>
      </w:r>
      <w:r w:rsidRPr="000D5C8E">
        <w:rPr>
          <w:rFonts w:ascii="Verdana" w:hAnsi="Verdana"/>
          <w:color w:val="000000" w:themeColor="text1"/>
          <w:sz w:val="24"/>
          <w:szCs w:val="24"/>
        </w:rPr>
        <w:t>Post approval requirements should be standardised nationally and proportionate to the regulatory classification already achieved. A device that has met Class III and NICE requirements should not face a higher, local evidence bar to be used. Define once, centrally, what good looks like after approval, and have trusts adopt against that standard rather than rebuild it.</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Focus regulatory bodies on enforcement and provide sufficient staff to be effective to ensure the value of regulatory clearance is recognised. </w:t>
      </w:r>
    </w:p>
    <w:p w:rsidR="00AC13D2">
      <w:pPr>
        <w:spacing w:line="276" w:lineRule="auto"/>
        <w:rPr>
          <w:rFonts w:ascii="Verdana" w:hAnsi="Verdana"/>
          <w:color w:val="000000" w:themeColor="text1"/>
          <w:sz w:val="24"/>
          <w:szCs w:val="24"/>
        </w:rPr>
      </w:pPr>
    </w:p>
    <w:p w:rsidR="000D5C8E">
      <w:pPr>
        <w:spacing w:line="276" w:lineRule="auto"/>
        <w:rPr>
          <w:rFonts w:ascii="Verdana" w:hAnsi="Verdana"/>
          <w:color w:val="000000" w:themeColor="text1"/>
          <w:sz w:val="24"/>
          <w:szCs w:val="24"/>
        </w:rPr>
      </w:pPr>
    </w:p>
    <w:p w:rsidR="000D5C8E" w:rsidRPr="000D5C8E">
      <w:pPr>
        <w:spacing w:line="276" w:lineRule="auto"/>
        <w:rPr>
          <w:rFonts w:ascii="Verdana" w:hAnsi="Verdana"/>
          <w:color w:val="000000" w:themeColor="text1"/>
          <w:sz w:val="24"/>
          <w:szCs w:val="24"/>
        </w:rPr>
      </w:pPr>
    </w:p>
    <w:p w:rsidR="00AC13D2">
      <w:pPr>
        <w:spacing w:line="276" w:lineRule="auto"/>
        <w:rPr>
          <w:rFonts w:ascii="Verdana" w:hAnsi="Verdana"/>
          <w:b/>
          <w:bCs/>
          <w:color w:val="000000" w:themeColor="text1"/>
          <w:sz w:val="24"/>
          <w:szCs w:val="24"/>
        </w:rPr>
      </w:pPr>
      <w:r w:rsidRPr="000D5C8E">
        <w:rPr>
          <w:rFonts w:ascii="Verdana" w:hAnsi="Verdana"/>
          <w:b/>
          <w:bCs/>
          <w:color w:val="000000" w:themeColor="text1"/>
          <w:sz w:val="24"/>
          <w:szCs w:val="24"/>
        </w:rPr>
        <w:t>3. Incentivising clinicians to take on innovation</w:t>
      </w:r>
    </w:p>
    <w:p w:rsidR="000D5C8E"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Problem. </w:t>
      </w:r>
      <w:r w:rsidRPr="000D5C8E">
        <w:rPr>
          <w:rFonts w:ascii="Verdana" w:hAnsi="Verdana"/>
          <w:color w:val="000000" w:themeColor="text1"/>
          <w:sz w:val="24"/>
          <w:szCs w:val="24"/>
        </w:rPr>
        <w:t xml:space="preserve">Clinicians carry the risk and the workload of adopting something new but are not incentivised to do so. </w:t>
      </w:r>
      <w:r w:rsidRPr="000D5C8E">
        <w:rPr>
          <w:rFonts w:ascii="Verdana" w:hAnsi="Verdana"/>
          <w:color w:val="000000" w:themeColor="text1"/>
          <w:sz w:val="24"/>
          <w:szCs w:val="24"/>
        </w:rPr>
        <w:t>Often</w:t>
      </w:r>
      <w:r w:rsidRPr="000D5C8E">
        <w:rPr>
          <w:rFonts w:ascii="Verdana" w:hAnsi="Verdana"/>
          <w:color w:val="000000" w:themeColor="text1"/>
          <w:sz w:val="24"/>
          <w:szCs w:val="24"/>
        </w:rPr>
        <w:t xml:space="preserve"> they have little training or experience in population or system level decision making nor NHS Clinical Risk Management standards.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The new wave of technology advancements that enable dramatic improvements in patient access needs to be evaluated and supported by clinical teams but there can exist perverse incentives in some cases.  A population health perspective is essential to ensure these new technologies can deliver Government's strategy.</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Recommendation. </w:t>
      </w:r>
      <w:r w:rsidRPr="000D5C8E">
        <w:rPr>
          <w:rFonts w:ascii="Verdana" w:hAnsi="Verdana"/>
          <w:color w:val="000000" w:themeColor="text1"/>
          <w:sz w:val="24"/>
          <w:szCs w:val="24"/>
        </w:rPr>
        <w:t xml:space="preserve">Given the unique position the NHS has a very </w:t>
      </w:r>
      <w:r w:rsidRPr="000D5C8E">
        <w:rPr>
          <w:rFonts w:ascii="Verdana" w:hAnsi="Verdana"/>
          <w:color w:val="000000" w:themeColor="text1"/>
          <w:sz w:val="24"/>
          <w:szCs w:val="24"/>
        </w:rPr>
        <w:t>cost effective</w:t>
      </w:r>
      <w:r w:rsidRPr="000D5C8E">
        <w:rPr>
          <w:rFonts w:ascii="Verdana" w:hAnsi="Verdana"/>
          <w:color w:val="000000" w:themeColor="text1"/>
          <w:sz w:val="24"/>
          <w:szCs w:val="24"/>
        </w:rPr>
        <w:t xml:space="preserve"> nationalised care system, ensure clinicians receive training on population level decision making as well as NHS Clinical Risk Management so that we have a better baseline of the residual risk in current systems which is often ignored.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Align incentives so that clinicians and providers are rewarded for safely adopting new innovations. Give clinical teams clear national cover to adopt approved autonomous technology rather than leaving each clinician to shoulder the risk locally.</w:t>
      </w:r>
    </w:p>
    <w:p w:rsidR="00AC13D2" w:rsidRPr="000D5C8E">
      <w:pPr>
        <w:spacing w:line="276" w:lineRule="auto"/>
        <w:rPr>
          <w:rFonts w:ascii="Verdana" w:hAnsi="Verdana"/>
          <w:color w:val="000000" w:themeColor="text1"/>
          <w:sz w:val="24"/>
          <w:szCs w:val="24"/>
        </w:rPr>
      </w:pPr>
    </w:p>
    <w:p w:rsidR="00AC13D2">
      <w:pPr>
        <w:spacing w:line="276" w:lineRule="auto"/>
        <w:rPr>
          <w:rFonts w:ascii="Verdana" w:hAnsi="Verdana"/>
          <w:b/>
          <w:bCs/>
          <w:color w:val="000000" w:themeColor="text1"/>
          <w:sz w:val="24"/>
          <w:szCs w:val="24"/>
        </w:rPr>
      </w:pPr>
      <w:r w:rsidRPr="000D5C8E">
        <w:rPr>
          <w:rFonts w:ascii="Verdana" w:hAnsi="Verdana"/>
          <w:b/>
          <w:bCs/>
          <w:color w:val="000000" w:themeColor="text1"/>
          <w:sz w:val="24"/>
          <w:szCs w:val="24"/>
        </w:rPr>
        <w:t>4. Our experience with NICE approval</w:t>
      </w:r>
    </w:p>
    <w:p w:rsidR="000D5C8E"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Problem. </w:t>
      </w:r>
      <w:r w:rsidRPr="000D5C8E">
        <w:rPr>
          <w:rFonts w:ascii="Verdana" w:hAnsi="Verdana"/>
          <w:color w:val="000000" w:themeColor="text1"/>
          <w:sz w:val="24"/>
          <w:szCs w:val="24"/>
        </w:rPr>
        <w:t>In May 2025, NICE published its Early Value Assessment (EVA) of AI technologies for assessing and triaging skin lesions on the urgent suspected skin cancer pathway. Of the technologies reviewed, DERM was the only one recommended for use in the NHS, conditionally, over a three-year evidence generation period. The assessment itself was rigorous and we welcomed that, but it ran for 18 months instead of four, created an air pocket where NHS sales were not possible and ultimately reached the wrong conclusion whi</w:t>
      </w:r>
      <w:r w:rsidRPr="000D5C8E">
        <w:rPr>
          <w:rFonts w:ascii="Verdana" w:hAnsi="Verdana"/>
          <w:color w:val="000000" w:themeColor="text1"/>
          <w:sz w:val="24"/>
          <w:szCs w:val="24"/>
        </w:rPr>
        <w:t xml:space="preserve">ch had to be overturned by the NICE Executive.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That amount of time was nearly terminal for Skin Analytics despite the undeniable value the technology brought the NHS. The NICE Committee wasn’t appropriately trained on the new EVA process and reached a conclusion that was not consistent with the published guidelines.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Further, there is deep uncertainty on what the highest approval, a conditional recommendation, does and does not unlock. A positive NICE outcome, on top of </w:t>
      </w:r>
      <w:r w:rsidRPr="000D5C8E">
        <w:rPr>
          <w:rFonts w:ascii="Verdana" w:hAnsi="Verdana"/>
          <w:color w:val="000000" w:themeColor="text1"/>
          <w:sz w:val="24"/>
          <w:szCs w:val="24"/>
        </w:rPr>
        <w:t xml:space="preserve">a Class III approval, led to virtually no commercial partnerships within the NHS between May 2025 and June 2026.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b/>
          <w:bCs/>
          <w:color w:val="000000" w:themeColor="text1"/>
          <w:sz w:val="24"/>
          <w:szCs w:val="24"/>
        </w:rPr>
        <w:t xml:space="preserve">Recommendation. </w:t>
      </w:r>
      <w:r w:rsidRPr="000D5C8E">
        <w:rPr>
          <w:rFonts w:ascii="Verdana" w:hAnsi="Verdana"/>
          <w:color w:val="000000" w:themeColor="text1"/>
          <w:sz w:val="24"/>
          <w:szCs w:val="24"/>
        </w:rPr>
        <w:t xml:space="preserve">Pair conditional NICE recommendations with a funded adoption route and ensure a positive NICE EVA assessment is the trigger for national rollout support, not as the start of another </w:t>
      </w:r>
      <w:r w:rsidRPr="000D5C8E">
        <w:rPr>
          <w:rFonts w:ascii="Verdana" w:hAnsi="Verdana"/>
          <w:color w:val="000000" w:themeColor="text1"/>
          <w:sz w:val="24"/>
          <w:szCs w:val="24"/>
        </w:rPr>
        <w:t>three year</w:t>
      </w:r>
      <w:r w:rsidRPr="000D5C8E">
        <w:rPr>
          <w:rFonts w:ascii="Verdana" w:hAnsi="Verdana"/>
          <w:color w:val="000000" w:themeColor="text1"/>
          <w:sz w:val="24"/>
          <w:szCs w:val="24"/>
        </w:rPr>
        <w:t xml:space="preserve"> wait.</w:t>
      </w:r>
    </w:p>
    <w:p w:rsidR="000D5C8E" w:rsidRPr="000D5C8E">
      <w:pPr>
        <w:spacing w:line="276" w:lineRule="auto"/>
        <w:rPr>
          <w:rFonts w:ascii="Verdana" w:hAnsi="Verdana"/>
          <w:color w:val="000000" w:themeColor="text1"/>
          <w:sz w:val="24"/>
          <w:szCs w:val="24"/>
        </w:rPr>
      </w:pPr>
    </w:p>
    <w:p w:rsidR="00AC13D2" w:rsidRPr="000D5C8E" w:rsidP="000D5C8E">
      <w:pPr>
        <w:rPr>
          <w:rFonts w:ascii="Verdana" w:hAnsi="Verdana"/>
          <w:b/>
          <w:color w:val="000000" w:themeColor="text1"/>
          <w:sz w:val="24"/>
          <w:szCs w:val="24"/>
        </w:rPr>
      </w:pPr>
      <w:r w:rsidRPr="000D5C8E">
        <w:rPr>
          <w:rFonts w:ascii="Verdana" w:hAnsi="Verdana"/>
          <w:b/>
          <w:color w:val="000000" w:themeColor="text1"/>
          <w:sz w:val="24"/>
          <w:szCs w:val="24"/>
        </w:rPr>
        <w:t>About the author</w:t>
      </w: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 xml:space="preserve">Neil Daly is the Founder and Chief Executive Officer of Skin Analytics, the company behind DERM (Deep Ensemble for Recognition of Malignancy), the first autonomous AI medical device for skin cancer to hold a Class III CE mark under the EU Medical Device Regulation and to receive a positive recommendation from NICE’s Early Value Assessment programme. </w:t>
      </w:r>
    </w:p>
    <w:p w:rsidR="00AC13D2" w:rsidRPr="000D5C8E">
      <w:pPr>
        <w:spacing w:line="276" w:lineRule="auto"/>
        <w:rPr>
          <w:rFonts w:ascii="Verdana" w:hAnsi="Verdana"/>
          <w:color w:val="000000" w:themeColor="text1"/>
          <w:sz w:val="24"/>
          <w:szCs w:val="24"/>
        </w:rPr>
      </w:pPr>
    </w:p>
    <w:p w:rsidR="00AC13D2" w:rsidRPr="000D5C8E">
      <w:pPr>
        <w:spacing w:line="276" w:lineRule="auto"/>
        <w:rPr>
          <w:rFonts w:ascii="Verdana" w:hAnsi="Verdana"/>
          <w:color w:val="000000" w:themeColor="text1"/>
          <w:sz w:val="24"/>
          <w:szCs w:val="24"/>
        </w:rPr>
      </w:pPr>
      <w:r w:rsidRPr="000D5C8E">
        <w:rPr>
          <w:rFonts w:ascii="Verdana" w:hAnsi="Verdana"/>
          <w:color w:val="000000" w:themeColor="text1"/>
          <w:sz w:val="24"/>
          <w:szCs w:val="24"/>
        </w:rPr>
        <w:t>DERM has assessed over 280,000 patients across NHS services and identified more than 20,000 skin cancers, detecting around 98 per cent of cancers with a negative predictive value for melanoma of 99.8 per cent, performing at least as well as a dermatologist at ruling out cancer.</w:t>
      </w:r>
    </w:p>
    <w:sectPr>
      <w:footerReference w:type="default" r:id="rId4"/>
      <w:pgSz w:w="11906" w:h="16838"/>
      <w:pgMar w:top="1080" w:right="1080" w:bottom="108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23AC373-7B78-4FE3-A0F6-7B8666318FC2}"/>
  </w:font>
  <w:font w:name="Verdana">
    <w:panose1 w:val="020B0604030504040204"/>
    <w:charset w:val="00"/>
    <w:family w:val="swiss"/>
    <w:pitch w:val="variable"/>
    <w:sig w:usb0="A00006FF" w:usb1="4000205B" w:usb2="00000010" w:usb3="00000000" w:csb0="0000019F" w:csb1="00000000"/>
    <w:embedRegular r:id="rId2" w:fontKey="{A7B591CD-32A9-45B0-A950-3DAD843F0F31}"/>
    <w:embedBold r:id="rId3" w:fontKey="{3EF5B590-9042-4B58-8280-AC7360AD4A62}"/>
  </w:font>
  <w:font w:name="Roboto">
    <w:charset w:val="00"/>
    <w:family w:val="auto"/>
    <w:pitch w:val="variable"/>
    <w:sig w:usb0="E0000AFF" w:usb1="5000217F" w:usb2="00000021" w:usb3="00000000" w:csb0="0000019F" w:csb1="00000000"/>
    <w:embedBold r:id="rId4" w:fontKey="{603FEB0C-E92E-462F-BC62-ED1BDB65EEEA}"/>
  </w:font>
  <w:font w:name="Calibri">
    <w:panose1 w:val="020F0502020204030204"/>
    <w:charset w:val="00"/>
    <w:family w:val="swiss"/>
    <w:pitch w:val="variable"/>
    <w:sig w:usb0="E4002EFF" w:usb1="C200247B" w:usb2="00000009" w:usb3="00000000" w:csb0="000001FF" w:csb1="00000000"/>
    <w:embedRegular r:id="rId5" w:fontKey="{E71F293B-57C6-4904-9AB3-F1A25A2C3824}"/>
  </w:font>
  <w:font w:name="Cambria">
    <w:panose1 w:val="02040503050406030204"/>
    <w:charset w:val="00"/>
    <w:family w:val="roman"/>
    <w:pitch w:val="variable"/>
    <w:sig w:usb0="E00006FF" w:usb1="420024FF" w:usb2="02000000" w:usb3="00000000" w:csb0="0000019F" w:csb1="00000000"/>
    <w:embedRegular r:id="rId6" w:fontKey="{AB2E0939-C1BF-4B72-A8D4-91D02449A5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13D2">
    <w:pPr>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80"/>
      <w:outlineLvl w:val="0"/>
    </w:pPr>
    <w:rPr>
      <w:b/>
      <w:bCs/>
      <w:color w:val="1F3864"/>
      <w:sz w:val="24"/>
      <w:szCs w:val="24"/>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0D5C8E"/>
    <w:pPr>
      <w:tabs>
        <w:tab w:val="center" w:pos="4513"/>
        <w:tab w:val="right" w:pos="9026"/>
      </w:tabs>
    </w:pPr>
  </w:style>
  <w:style w:type="character" w:customStyle="1" w:styleId="HeaderChar">
    <w:name w:val="Header Char"/>
    <w:basedOn w:val="DefaultParagraphFont"/>
    <w:link w:val="Header"/>
    <w:uiPriority w:val="99"/>
    <w:rsid w:val="000D5C8E"/>
  </w:style>
  <w:style w:type="paragraph" w:styleId="Footer">
    <w:name w:val="footer"/>
    <w:basedOn w:val="Normal"/>
    <w:link w:val="FooterChar"/>
    <w:uiPriority w:val="99"/>
    <w:unhideWhenUsed/>
    <w:rsid w:val="000D5C8E"/>
    <w:pPr>
      <w:tabs>
        <w:tab w:val="center" w:pos="4513"/>
        <w:tab w:val="right" w:pos="9026"/>
      </w:tabs>
    </w:pPr>
  </w:style>
  <w:style w:type="character" w:customStyle="1" w:styleId="FooterChar">
    <w:name w:val="Footer Char"/>
    <w:basedOn w:val="DefaultParagraphFont"/>
    <w:link w:val="Footer"/>
    <w:uiPriority w:val="99"/>
    <w:rsid w:val="000D5C8E"/>
  </w:style>
  <w:style w:type="paragraph" w:styleId="ListParagraph">
    <w:name w:val="List Paragraph"/>
    <w:basedOn w:val="Normal"/>
    <w:uiPriority w:val="34"/>
    <w:qFormat/>
    <w:rsid w:val="000D5C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PMA0125</dc:title>
  <cp:revision>0</cp:revision>
</cp:coreProperties>
</file>