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0632">
      <w:pPr>
        <w:pStyle w:val="Heading1"/>
        <w:rPr>
          <w:u w:val="none"/>
        </w:rPr>
      </w:pPr>
      <w:r>
        <w:t>MHCLG</w:t>
      </w:r>
      <w:r>
        <w:rPr>
          <w:spacing w:val="-10"/>
        </w:rPr>
        <w:t xml:space="preserve"> </w:t>
      </w:r>
      <w:r>
        <w:t>Responses</w:t>
      </w:r>
      <w:r>
        <w:rPr>
          <w:spacing w:val="-7"/>
        </w:rPr>
        <w:t xml:space="preserve"> </w:t>
      </w:r>
      <w:r>
        <w:t>to</w:t>
      </w:r>
      <w:r>
        <w:rPr>
          <w:spacing w:val="-8"/>
        </w:rPr>
        <w:t xml:space="preserve"> </w:t>
      </w:r>
      <w:r>
        <w:t>Environmental</w:t>
      </w:r>
      <w:r>
        <w:rPr>
          <w:spacing w:val="-17"/>
        </w:rPr>
        <w:t xml:space="preserve"> </w:t>
      </w:r>
      <w:r>
        <w:t>Audit</w:t>
      </w:r>
      <w:r>
        <w:rPr>
          <w:spacing w:val="-8"/>
        </w:rPr>
        <w:t xml:space="preserve"> </w:t>
      </w:r>
      <w:r>
        <w:t>Committee</w:t>
      </w:r>
      <w:r>
        <w:rPr>
          <w:spacing w:val="-9"/>
        </w:rPr>
        <w:t xml:space="preserve"> </w:t>
      </w:r>
      <w:r>
        <w:rPr>
          <w:spacing w:val="-2"/>
        </w:rPr>
        <w:t>Questions</w:t>
      </w:r>
    </w:p>
    <w:p w:rsidR="00830632">
      <w:pPr>
        <w:pStyle w:val="BodyText"/>
        <w:spacing w:before="1"/>
        <w:rPr>
          <w:b/>
        </w:rPr>
      </w:pPr>
    </w:p>
    <w:p w:rsidR="00830632">
      <w:pPr>
        <w:pStyle w:val="ListParagraph"/>
        <w:numPr>
          <w:ilvl w:val="0"/>
          <w:numId w:val="1"/>
        </w:numPr>
        <w:tabs>
          <w:tab w:val="left" w:pos="743"/>
        </w:tabs>
        <w:rPr>
          <w:i/>
          <w:sz w:val="24"/>
        </w:rPr>
      </w:pPr>
      <w:r>
        <w:rPr>
          <w:i/>
          <w:sz w:val="24"/>
        </w:rPr>
        <w:t>What</w:t>
      </w:r>
      <w:r>
        <w:rPr>
          <w:i/>
          <w:spacing w:val="-3"/>
          <w:sz w:val="24"/>
        </w:rPr>
        <w:t xml:space="preserve"> </w:t>
      </w:r>
      <w:r>
        <w:rPr>
          <w:i/>
          <w:sz w:val="24"/>
        </w:rPr>
        <w:t>is</w:t>
      </w:r>
      <w:r>
        <w:rPr>
          <w:i/>
          <w:spacing w:val="-3"/>
          <w:sz w:val="24"/>
        </w:rPr>
        <w:t xml:space="preserve"> </w:t>
      </w:r>
      <w:r>
        <w:rPr>
          <w:i/>
          <w:sz w:val="24"/>
        </w:rPr>
        <w:t>the</w:t>
      </w:r>
      <w:r>
        <w:rPr>
          <w:i/>
          <w:spacing w:val="-3"/>
          <w:sz w:val="24"/>
        </w:rPr>
        <w:t xml:space="preserve"> </w:t>
      </w:r>
      <w:r>
        <w:rPr>
          <w:i/>
          <w:sz w:val="24"/>
        </w:rPr>
        <w:t>current</w:t>
      </w:r>
      <w:r>
        <w:rPr>
          <w:i/>
          <w:spacing w:val="-3"/>
          <w:sz w:val="24"/>
        </w:rPr>
        <w:t xml:space="preserve"> </w:t>
      </w:r>
      <w:r>
        <w:rPr>
          <w:i/>
          <w:sz w:val="24"/>
        </w:rPr>
        <w:t>state</w:t>
      </w:r>
      <w:r>
        <w:rPr>
          <w:i/>
          <w:spacing w:val="-2"/>
          <w:sz w:val="24"/>
        </w:rPr>
        <w:t xml:space="preserve"> </w:t>
      </w:r>
      <w:r>
        <w:rPr>
          <w:i/>
          <w:sz w:val="24"/>
        </w:rPr>
        <w:t>of</w:t>
      </w:r>
      <w:r>
        <w:rPr>
          <w:i/>
          <w:spacing w:val="-5"/>
          <w:sz w:val="24"/>
        </w:rPr>
        <w:t xml:space="preserve"> </w:t>
      </w:r>
      <w:r>
        <w:rPr>
          <w:i/>
          <w:sz w:val="24"/>
        </w:rPr>
        <w:t>funding</w:t>
      </w:r>
      <w:r>
        <w:rPr>
          <w:i/>
          <w:spacing w:val="-3"/>
          <w:sz w:val="24"/>
        </w:rPr>
        <w:t xml:space="preserve"> </w:t>
      </w:r>
      <w:r>
        <w:rPr>
          <w:i/>
          <w:sz w:val="24"/>
        </w:rPr>
        <w:t>to</w:t>
      </w:r>
      <w:r>
        <w:rPr>
          <w:i/>
          <w:spacing w:val="-5"/>
          <w:sz w:val="24"/>
        </w:rPr>
        <w:t xml:space="preserve"> </w:t>
      </w:r>
      <w:r>
        <w:rPr>
          <w:i/>
          <w:sz w:val="24"/>
        </w:rPr>
        <w:t>local</w:t>
      </w:r>
      <w:r>
        <w:rPr>
          <w:i/>
          <w:spacing w:val="-3"/>
          <w:sz w:val="24"/>
        </w:rPr>
        <w:t xml:space="preserve"> </w:t>
      </w:r>
      <w:r>
        <w:rPr>
          <w:i/>
          <w:sz w:val="24"/>
        </w:rPr>
        <w:t>authorities –</w:t>
      </w:r>
      <w:r>
        <w:rPr>
          <w:i/>
          <w:spacing w:val="-2"/>
          <w:sz w:val="24"/>
        </w:rPr>
        <w:t xml:space="preserve"> </w:t>
      </w:r>
      <w:r>
        <w:rPr>
          <w:i/>
          <w:sz w:val="24"/>
        </w:rPr>
        <w:t>what</w:t>
      </w:r>
      <w:r>
        <w:rPr>
          <w:i/>
          <w:spacing w:val="-3"/>
          <w:sz w:val="24"/>
        </w:rPr>
        <w:t xml:space="preserve"> </w:t>
      </w:r>
      <w:r>
        <w:rPr>
          <w:i/>
          <w:sz w:val="24"/>
        </w:rPr>
        <w:t>is</w:t>
      </w:r>
      <w:r>
        <w:rPr>
          <w:i/>
          <w:spacing w:val="-3"/>
          <w:sz w:val="24"/>
        </w:rPr>
        <w:t xml:space="preserve"> </w:t>
      </w:r>
      <w:r>
        <w:rPr>
          <w:i/>
          <w:sz w:val="24"/>
        </w:rPr>
        <w:t>funded</w:t>
      </w:r>
      <w:r>
        <w:rPr>
          <w:i/>
          <w:spacing w:val="-5"/>
          <w:sz w:val="24"/>
        </w:rPr>
        <w:t xml:space="preserve"> </w:t>
      </w:r>
      <w:r>
        <w:rPr>
          <w:i/>
          <w:sz w:val="24"/>
        </w:rPr>
        <w:t>or</w:t>
      </w:r>
      <w:r>
        <w:rPr>
          <w:i/>
          <w:spacing w:val="-3"/>
          <w:sz w:val="24"/>
        </w:rPr>
        <w:t xml:space="preserve"> </w:t>
      </w:r>
      <w:r>
        <w:rPr>
          <w:i/>
          <w:sz w:val="24"/>
        </w:rPr>
        <w:t>not</w:t>
      </w:r>
      <w:r>
        <w:rPr>
          <w:i/>
          <w:sz w:val="24"/>
        </w:rPr>
        <w:t xml:space="preserve"> funded by MHCLG (including anything specific to air quality) and what involvement the Department has in funding decisions at a local level.</w:t>
      </w:r>
    </w:p>
    <w:p w:rsidR="00830632">
      <w:pPr>
        <w:pStyle w:val="BodyText"/>
        <w:rPr>
          <w:i/>
        </w:rPr>
      </w:pPr>
    </w:p>
    <w:p w:rsidR="00830632">
      <w:pPr>
        <w:pStyle w:val="BodyText"/>
        <w:spacing w:before="1" w:line="278" w:lineRule="auto"/>
        <w:ind w:left="23"/>
      </w:pPr>
      <w:r>
        <w:t>The Department for Environment, Food and Rural</w:t>
      </w:r>
      <w:r>
        <w:rPr>
          <w:spacing w:val="-6"/>
        </w:rPr>
        <w:t xml:space="preserve"> </w:t>
      </w:r>
      <w:r>
        <w:t xml:space="preserve">Affairs (DEFRA) </w:t>
      </w:r>
      <w:r>
        <w:t>have</w:t>
      </w:r>
      <w:r>
        <w:t xml:space="preserve"> primary policy</w:t>
      </w:r>
      <w:r>
        <w:rPr>
          <w:spacing w:val="-1"/>
        </w:rPr>
        <w:t xml:space="preserve"> </w:t>
      </w:r>
      <w:r>
        <w:t>responsibility</w:t>
      </w:r>
      <w:r>
        <w:rPr>
          <w:spacing w:val="-1"/>
        </w:rPr>
        <w:t xml:space="preserve"> </w:t>
      </w:r>
      <w:r>
        <w:t>for</w:t>
      </w:r>
      <w:r>
        <w:rPr>
          <w:spacing w:val="-5"/>
        </w:rPr>
        <w:t xml:space="preserve"> </w:t>
      </w:r>
      <w:r>
        <w:t>air</w:t>
      </w:r>
      <w:r>
        <w:rPr>
          <w:spacing w:val="-3"/>
        </w:rPr>
        <w:t xml:space="preserve"> </w:t>
      </w:r>
      <w:r>
        <w:t>quality.</w:t>
      </w:r>
      <w:r>
        <w:rPr>
          <w:spacing w:val="-5"/>
        </w:rPr>
        <w:t xml:space="preserve"> </w:t>
      </w:r>
      <w:r>
        <w:t>They</w:t>
      </w:r>
      <w:r>
        <w:rPr>
          <w:spacing w:val="-1"/>
        </w:rPr>
        <w:t xml:space="preserve"> </w:t>
      </w:r>
      <w:r>
        <w:t>are</w:t>
      </w:r>
      <w:r>
        <w:rPr>
          <w:spacing w:val="-1"/>
        </w:rPr>
        <w:t xml:space="preserve"> </w:t>
      </w:r>
      <w:r>
        <w:t>responsible for</w:t>
      </w:r>
      <w:r>
        <w:rPr>
          <w:spacing w:val="-4"/>
        </w:rPr>
        <w:t xml:space="preserve"> </w:t>
      </w:r>
      <w:r>
        <w:t>engagement</w:t>
      </w:r>
      <w:r>
        <w:rPr>
          <w:spacing w:val="-1"/>
        </w:rPr>
        <w:t xml:space="preserve"> </w:t>
      </w:r>
      <w:r>
        <w:t>with</w:t>
      </w:r>
      <w:r>
        <w:rPr>
          <w:spacing w:val="-2"/>
        </w:rPr>
        <w:t xml:space="preserve"> </w:t>
      </w:r>
      <w:r>
        <w:t>local authorities, including the provision of specific ringfenced funding. MHCLG are not responsible</w:t>
      </w:r>
      <w:r>
        <w:rPr>
          <w:spacing w:val="-3"/>
        </w:rPr>
        <w:t xml:space="preserve"> </w:t>
      </w:r>
      <w:r>
        <w:t>for</w:t>
      </w:r>
      <w:r>
        <w:rPr>
          <w:spacing w:val="-6"/>
        </w:rPr>
        <w:t xml:space="preserve"> </w:t>
      </w:r>
      <w:r>
        <w:t>all</w:t>
      </w:r>
      <w:r>
        <w:rPr>
          <w:spacing w:val="-4"/>
        </w:rPr>
        <w:t xml:space="preserve"> </w:t>
      </w:r>
      <w:r>
        <w:t>services</w:t>
      </w:r>
      <w:r>
        <w:rPr>
          <w:spacing w:val="-3"/>
        </w:rPr>
        <w:t xml:space="preserve"> </w:t>
      </w:r>
      <w:r>
        <w:t>provided</w:t>
      </w:r>
      <w:r>
        <w:rPr>
          <w:spacing w:val="-5"/>
        </w:rPr>
        <w:t xml:space="preserve"> </w:t>
      </w:r>
      <w:r>
        <w:t>by</w:t>
      </w:r>
      <w:r>
        <w:rPr>
          <w:spacing w:val="-3"/>
        </w:rPr>
        <w:t xml:space="preserve"> </w:t>
      </w:r>
      <w:r>
        <w:t>local</w:t>
      </w:r>
      <w:r>
        <w:rPr>
          <w:spacing w:val="-6"/>
        </w:rPr>
        <w:t xml:space="preserve"> </w:t>
      </w:r>
      <w:r>
        <w:t>authorities;</w:t>
      </w:r>
      <w:r>
        <w:rPr>
          <w:spacing w:val="-5"/>
        </w:rPr>
        <w:t xml:space="preserve"> </w:t>
      </w:r>
      <w:r>
        <w:t>responsibility</w:t>
      </w:r>
      <w:r>
        <w:rPr>
          <w:spacing w:val="-3"/>
        </w:rPr>
        <w:t xml:space="preserve"> </w:t>
      </w:r>
      <w:r>
        <w:t>sits</w:t>
      </w:r>
      <w:r>
        <w:rPr>
          <w:spacing w:val="-3"/>
        </w:rPr>
        <w:t xml:space="preserve"> </w:t>
      </w:r>
      <w:r>
        <w:t>with</w:t>
      </w:r>
      <w:r>
        <w:rPr>
          <w:spacing w:val="-2"/>
        </w:rPr>
        <w:t xml:space="preserve"> </w:t>
      </w:r>
      <w:r>
        <w:t>the relevant government department.</w:t>
      </w:r>
    </w:p>
    <w:p w:rsidR="00830632">
      <w:pPr>
        <w:pStyle w:val="BodyText"/>
        <w:spacing w:before="159" w:line="278" w:lineRule="auto"/>
        <w:ind w:left="23"/>
      </w:pPr>
      <w:r>
        <w:t>Under</w:t>
      </w:r>
      <w:r>
        <w:rPr>
          <w:spacing w:val="-3"/>
        </w:rPr>
        <w:t xml:space="preserve"> </w:t>
      </w:r>
      <w:r>
        <w:t>the</w:t>
      </w:r>
      <w:r>
        <w:rPr>
          <w:spacing w:val="-2"/>
        </w:rPr>
        <w:t xml:space="preserve"> </w:t>
      </w:r>
      <w:r>
        <w:t>Environment</w:t>
      </w:r>
      <w:r>
        <w:rPr>
          <w:spacing w:val="-15"/>
        </w:rPr>
        <w:t xml:space="preserve"> </w:t>
      </w:r>
      <w:r>
        <w:t>Act</w:t>
      </w:r>
      <w:r>
        <w:rPr>
          <w:spacing w:val="-2"/>
        </w:rPr>
        <w:t xml:space="preserve"> </w:t>
      </w:r>
      <w:r>
        <w:t>1995,</w:t>
      </w:r>
      <w:r>
        <w:rPr>
          <w:spacing w:val="-4"/>
        </w:rPr>
        <w:t xml:space="preserve"> </w:t>
      </w:r>
      <w:r>
        <w:t>local</w:t>
      </w:r>
      <w:r>
        <w:rPr>
          <w:spacing w:val="-5"/>
        </w:rPr>
        <w:t xml:space="preserve"> </w:t>
      </w:r>
      <w:r>
        <w:t>authorities</w:t>
      </w:r>
      <w:r>
        <w:rPr>
          <w:spacing w:val="-2"/>
        </w:rPr>
        <w:t xml:space="preserve"> </w:t>
      </w:r>
      <w:r>
        <w:t>have</w:t>
      </w:r>
      <w:r>
        <w:rPr>
          <w:spacing w:val="-2"/>
        </w:rPr>
        <w:t xml:space="preserve"> </w:t>
      </w:r>
      <w:r>
        <w:t>a</w:t>
      </w:r>
      <w:r>
        <w:rPr>
          <w:spacing w:val="-3"/>
        </w:rPr>
        <w:t xml:space="preserve"> </w:t>
      </w:r>
      <w:r>
        <w:t>duty</w:t>
      </w:r>
      <w:r>
        <w:rPr>
          <w:spacing w:val="-4"/>
        </w:rPr>
        <w:t xml:space="preserve"> </w:t>
      </w:r>
      <w:r>
        <w:t>to</w:t>
      </w:r>
      <w:r>
        <w:rPr>
          <w:spacing w:val="-18"/>
        </w:rPr>
        <w:t xml:space="preserve"> </w:t>
      </w:r>
      <w:r>
        <w:t>review</w:t>
      </w:r>
      <w:r>
        <w:rPr>
          <w:spacing w:val="-2"/>
        </w:rPr>
        <w:t xml:space="preserve"> </w:t>
      </w:r>
      <w:r>
        <w:t>and</w:t>
      </w:r>
      <w:r>
        <w:rPr>
          <w:spacing w:val="-2"/>
        </w:rPr>
        <w:t xml:space="preserve"> </w:t>
      </w:r>
      <w:r>
        <w:t>assess local</w:t>
      </w:r>
      <w:r>
        <w:rPr>
          <w:spacing w:val="-7"/>
        </w:rPr>
        <w:t xml:space="preserve"> </w:t>
      </w:r>
      <w:r>
        <w:t>air</w:t>
      </w:r>
      <w:r>
        <w:rPr>
          <w:spacing w:val="-5"/>
        </w:rPr>
        <w:t xml:space="preserve"> </w:t>
      </w:r>
      <w:r>
        <w:t>quality</w:t>
      </w:r>
      <w:r>
        <w:rPr>
          <w:spacing w:val="-3"/>
        </w:rPr>
        <w:t xml:space="preserve"> </w:t>
      </w:r>
      <w:r>
        <w:t>and</w:t>
      </w:r>
      <w:r>
        <w:rPr>
          <w:spacing w:val="-3"/>
        </w:rPr>
        <w:t xml:space="preserve"> </w:t>
      </w:r>
      <w:r>
        <w:t>to</w:t>
      </w:r>
      <w:r>
        <w:rPr>
          <w:spacing w:val="-18"/>
        </w:rPr>
        <w:t xml:space="preserve"> </w:t>
      </w:r>
      <w:r>
        <w:t>take</w:t>
      </w:r>
      <w:r>
        <w:rPr>
          <w:spacing w:val="-3"/>
        </w:rPr>
        <w:t xml:space="preserve"> </w:t>
      </w:r>
      <w:r>
        <w:t>action</w:t>
      </w:r>
      <w:r>
        <w:rPr>
          <w:spacing w:val="-5"/>
        </w:rPr>
        <w:t xml:space="preserve"> </w:t>
      </w:r>
      <w:r>
        <w:t>to</w:t>
      </w:r>
      <w:r>
        <w:rPr>
          <w:spacing w:val="-2"/>
        </w:rPr>
        <w:t xml:space="preserve"> </w:t>
      </w:r>
      <w:r>
        <w:t>reduce</w:t>
      </w:r>
      <w:r>
        <w:rPr>
          <w:spacing w:val="-21"/>
        </w:rPr>
        <w:t xml:space="preserve"> </w:t>
      </w:r>
      <w:r>
        <w:t>pollution</w:t>
      </w:r>
      <w:r>
        <w:rPr>
          <w:spacing w:val="-3"/>
        </w:rPr>
        <w:t xml:space="preserve"> </w:t>
      </w:r>
      <w:r>
        <w:t>where</w:t>
      </w:r>
      <w:r>
        <w:rPr>
          <w:spacing w:val="-5"/>
        </w:rPr>
        <w:t xml:space="preserve"> </w:t>
      </w:r>
      <w:r>
        <w:t>air</w:t>
      </w:r>
      <w:r>
        <w:rPr>
          <w:spacing w:val="-5"/>
        </w:rPr>
        <w:t xml:space="preserve"> </w:t>
      </w:r>
      <w:r>
        <w:t>quality</w:t>
      </w:r>
      <w:r>
        <w:rPr>
          <w:spacing w:val="-19"/>
        </w:rPr>
        <w:t xml:space="preserve"> </w:t>
      </w:r>
      <w:r>
        <w:t>objectives</w:t>
      </w:r>
      <w:r>
        <w:rPr>
          <w:spacing w:val="-5"/>
        </w:rPr>
        <w:t xml:space="preserve"> </w:t>
      </w:r>
      <w:r>
        <w:t>are exceeded.</w:t>
      </w:r>
      <w:r>
        <w:rPr>
          <w:spacing w:val="-8"/>
        </w:rPr>
        <w:t xml:space="preserve"> </w:t>
      </w:r>
      <w:r>
        <w:t>As set out in the Environmental Improvement Plan 2025, published by DEFRA, the government is committed to supporting local authority delivery and reducing the time and investment needed to act on air quality at a local level.</w:t>
      </w:r>
    </w:p>
    <w:p w:rsidR="00830632">
      <w:pPr>
        <w:pStyle w:val="BodyText"/>
        <w:spacing w:before="156" w:line="278" w:lineRule="auto"/>
        <w:ind w:left="23"/>
      </w:pPr>
      <w:r>
        <w:t xml:space="preserve">The final 2026-27 Local Government Finance Settlement will make available £78 billion in Core Spending Power for local authorities in England in 2026-27, a 6.1% increase compared to 2025-26. </w:t>
      </w:r>
      <w:r>
        <w:t>The majority of</w:t>
      </w:r>
      <w:r>
        <w:t xml:space="preserve"> funding in the Local Government Finance</w:t>
      </w:r>
      <w:r>
        <w:rPr>
          <w:spacing w:val="-5"/>
        </w:rPr>
        <w:t xml:space="preserve"> </w:t>
      </w:r>
      <w:r>
        <w:t>Settlement</w:t>
      </w:r>
      <w:r>
        <w:rPr>
          <w:spacing w:val="-5"/>
        </w:rPr>
        <w:t xml:space="preserve"> </w:t>
      </w:r>
      <w:r>
        <w:t>is</w:t>
      </w:r>
      <w:r>
        <w:rPr>
          <w:spacing w:val="-5"/>
        </w:rPr>
        <w:t xml:space="preserve"> </w:t>
      </w:r>
      <w:r>
        <w:t>unringfenced</w:t>
      </w:r>
      <w:r>
        <w:rPr>
          <w:spacing w:val="-3"/>
        </w:rPr>
        <w:t xml:space="preserve"> </w:t>
      </w:r>
      <w:r>
        <w:t>recognising</w:t>
      </w:r>
      <w:r>
        <w:rPr>
          <w:spacing w:val="-3"/>
        </w:rPr>
        <w:t xml:space="preserve"> </w:t>
      </w:r>
      <w:r>
        <w:t>that</w:t>
      </w:r>
      <w:r>
        <w:rPr>
          <w:spacing w:val="-3"/>
        </w:rPr>
        <w:t xml:space="preserve"> </w:t>
      </w:r>
      <w:r>
        <w:t>local</w:t>
      </w:r>
      <w:r>
        <w:rPr>
          <w:spacing w:val="-3"/>
        </w:rPr>
        <w:t xml:space="preserve"> </w:t>
      </w:r>
      <w:r>
        <w:t>leaders</w:t>
      </w:r>
      <w:r>
        <w:rPr>
          <w:spacing w:val="-6"/>
        </w:rPr>
        <w:t xml:space="preserve"> </w:t>
      </w:r>
      <w:r>
        <w:t>are</w:t>
      </w:r>
      <w:r>
        <w:rPr>
          <w:spacing w:val="-3"/>
        </w:rPr>
        <w:t xml:space="preserve"> </w:t>
      </w:r>
      <w:r>
        <w:t>best</w:t>
      </w:r>
      <w:r>
        <w:rPr>
          <w:spacing w:val="-3"/>
        </w:rPr>
        <w:t xml:space="preserve"> </w:t>
      </w:r>
      <w:r>
        <w:t>placed</w:t>
      </w:r>
      <w:r>
        <w:rPr>
          <w:spacing w:val="-5"/>
        </w:rPr>
        <w:t xml:space="preserve"> </w:t>
      </w:r>
      <w:r>
        <w:t>to identify local priorities.</w:t>
      </w:r>
    </w:p>
    <w:p w:rsidR="00830632">
      <w:pPr>
        <w:pStyle w:val="ListParagraph"/>
        <w:numPr>
          <w:ilvl w:val="0"/>
          <w:numId w:val="1"/>
        </w:numPr>
        <w:tabs>
          <w:tab w:val="left" w:pos="743"/>
        </w:tabs>
        <w:spacing w:before="159"/>
        <w:ind w:right="772"/>
        <w:rPr>
          <w:i/>
          <w:sz w:val="24"/>
        </w:rPr>
      </w:pPr>
      <w:r>
        <w:rPr>
          <w:i/>
          <w:sz w:val="24"/>
        </w:rPr>
        <w:t>How the Department is</w:t>
      </w:r>
      <w:r>
        <w:rPr>
          <w:i/>
          <w:spacing w:val="-2"/>
          <w:sz w:val="24"/>
        </w:rPr>
        <w:t xml:space="preserve"> </w:t>
      </w:r>
      <w:r>
        <w:rPr>
          <w:i/>
          <w:sz w:val="24"/>
        </w:rPr>
        <w:t>involved in any cross-governmental work</w:t>
      </w:r>
      <w:r>
        <w:rPr>
          <w:i/>
          <w:spacing w:val="-2"/>
          <w:sz w:val="24"/>
        </w:rPr>
        <w:t xml:space="preserve"> </w:t>
      </w:r>
      <w:r>
        <w:rPr>
          <w:i/>
          <w:sz w:val="24"/>
        </w:rPr>
        <w:t>on</w:t>
      </w:r>
      <w:r>
        <w:rPr>
          <w:i/>
          <w:spacing w:val="-1"/>
          <w:sz w:val="24"/>
        </w:rPr>
        <w:t xml:space="preserve"> </w:t>
      </w:r>
      <w:r>
        <w:rPr>
          <w:i/>
          <w:sz w:val="24"/>
        </w:rPr>
        <w:t>air quality,</w:t>
      </w:r>
      <w:r>
        <w:rPr>
          <w:i/>
          <w:spacing w:val="-5"/>
          <w:sz w:val="24"/>
        </w:rPr>
        <w:t xml:space="preserve"> </w:t>
      </w:r>
      <w:r>
        <w:rPr>
          <w:i/>
          <w:sz w:val="24"/>
        </w:rPr>
        <w:t>and</w:t>
      </w:r>
      <w:r>
        <w:rPr>
          <w:i/>
          <w:spacing w:val="-5"/>
          <w:sz w:val="24"/>
        </w:rPr>
        <w:t xml:space="preserve"> </w:t>
      </w:r>
      <w:r>
        <w:rPr>
          <w:i/>
          <w:sz w:val="24"/>
        </w:rPr>
        <w:t>whether</w:t>
      </w:r>
      <w:r>
        <w:rPr>
          <w:i/>
          <w:spacing w:val="-5"/>
          <w:sz w:val="24"/>
        </w:rPr>
        <w:t xml:space="preserve"> </w:t>
      </w:r>
      <w:r>
        <w:rPr>
          <w:i/>
          <w:sz w:val="24"/>
        </w:rPr>
        <w:t>the</w:t>
      </w:r>
      <w:r>
        <w:rPr>
          <w:i/>
          <w:spacing w:val="-5"/>
          <w:sz w:val="24"/>
        </w:rPr>
        <w:t xml:space="preserve"> </w:t>
      </w:r>
      <w:r>
        <w:rPr>
          <w:i/>
          <w:sz w:val="24"/>
        </w:rPr>
        <w:t>Department</w:t>
      </w:r>
      <w:r>
        <w:rPr>
          <w:i/>
          <w:spacing w:val="-7"/>
          <w:sz w:val="24"/>
        </w:rPr>
        <w:t xml:space="preserve"> </w:t>
      </w:r>
      <w:r>
        <w:rPr>
          <w:i/>
          <w:sz w:val="24"/>
        </w:rPr>
        <w:t>has</w:t>
      </w:r>
      <w:r>
        <w:rPr>
          <w:i/>
          <w:spacing w:val="-7"/>
          <w:sz w:val="24"/>
        </w:rPr>
        <w:t xml:space="preserve"> </w:t>
      </w:r>
      <w:r>
        <w:rPr>
          <w:i/>
          <w:sz w:val="24"/>
        </w:rPr>
        <w:t>any</w:t>
      </w:r>
      <w:r>
        <w:rPr>
          <w:i/>
          <w:spacing w:val="-7"/>
          <w:sz w:val="24"/>
        </w:rPr>
        <w:t xml:space="preserve"> </w:t>
      </w:r>
      <w:r>
        <w:rPr>
          <w:i/>
          <w:sz w:val="24"/>
        </w:rPr>
        <w:t>role</w:t>
      </w:r>
      <w:r>
        <w:rPr>
          <w:i/>
          <w:spacing w:val="-5"/>
          <w:sz w:val="24"/>
        </w:rPr>
        <w:t xml:space="preserve"> </w:t>
      </w:r>
      <w:r>
        <w:rPr>
          <w:i/>
          <w:sz w:val="24"/>
        </w:rPr>
        <w:t>in</w:t>
      </w:r>
      <w:r>
        <w:rPr>
          <w:i/>
          <w:spacing w:val="-5"/>
          <w:sz w:val="24"/>
        </w:rPr>
        <w:t xml:space="preserve"> </w:t>
      </w:r>
      <w:r>
        <w:rPr>
          <w:i/>
          <w:sz w:val="24"/>
        </w:rPr>
        <w:t>coordinating</w:t>
      </w:r>
      <w:r>
        <w:rPr>
          <w:i/>
          <w:spacing w:val="-7"/>
          <w:sz w:val="24"/>
        </w:rPr>
        <w:t xml:space="preserve"> </w:t>
      </w:r>
      <w:r>
        <w:rPr>
          <w:i/>
          <w:sz w:val="24"/>
        </w:rPr>
        <w:t>action</w:t>
      </w:r>
    </w:p>
    <w:p w:rsidR="00830632">
      <w:pPr>
        <w:pStyle w:val="BodyText"/>
        <w:rPr>
          <w:i/>
        </w:rPr>
      </w:pPr>
    </w:p>
    <w:p w:rsidR="00830632">
      <w:pPr>
        <w:pStyle w:val="BodyText"/>
        <w:spacing w:line="278" w:lineRule="auto"/>
        <w:ind w:left="23"/>
      </w:pPr>
      <w:r>
        <w:t>In developing our National Planning Policy Framework consultation proposals, we worked</w:t>
      </w:r>
      <w:r>
        <w:rPr>
          <w:spacing w:val="-3"/>
        </w:rPr>
        <w:t xml:space="preserve"> </w:t>
      </w:r>
      <w:r>
        <w:t>collaboratively</w:t>
      </w:r>
      <w:r>
        <w:rPr>
          <w:spacing w:val="-6"/>
        </w:rPr>
        <w:t xml:space="preserve"> </w:t>
      </w:r>
      <w:r>
        <w:t>across</w:t>
      </w:r>
      <w:r>
        <w:rPr>
          <w:spacing w:val="-3"/>
        </w:rPr>
        <w:t xml:space="preserve"> </w:t>
      </w:r>
      <w:r>
        <w:t>government,</w:t>
      </w:r>
      <w:r>
        <w:rPr>
          <w:spacing w:val="-3"/>
        </w:rPr>
        <w:t xml:space="preserve"> </w:t>
      </w:r>
      <w:r>
        <w:t>and</w:t>
      </w:r>
      <w:r>
        <w:rPr>
          <w:spacing w:val="-3"/>
        </w:rPr>
        <w:t xml:space="preserve"> </w:t>
      </w:r>
      <w:r>
        <w:t>we</w:t>
      </w:r>
      <w:r>
        <w:rPr>
          <w:spacing w:val="-3"/>
        </w:rPr>
        <w:t xml:space="preserve"> </w:t>
      </w:r>
      <w:r>
        <w:t>continue</w:t>
      </w:r>
      <w:r>
        <w:rPr>
          <w:spacing w:val="-3"/>
        </w:rPr>
        <w:t xml:space="preserve"> </w:t>
      </w:r>
      <w:r>
        <w:t>to</w:t>
      </w:r>
      <w:r>
        <w:rPr>
          <w:spacing w:val="-3"/>
        </w:rPr>
        <w:t xml:space="preserve"> </w:t>
      </w:r>
      <w:r>
        <w:t>do</w:t>
      </w:r>
      <w:r>
        <w:rPr>
          <w:spacing w:val="-3"/>
        </w:rPr>
        <w:t xml:space="preserve"> </w:t>
      </w:r>
      <w:r>
        <w:t>so</w:t>
      </w:r>
      <w:r>
        <w:rPr>
          <w:spacing w:val="-4"/>
        </w:rPr>
        <w:t xml:space="preserve"> </w:t>
      </w:r>
      <w:r>
        <w:t>as</w:t>
      </w:r>
      <w:r>
        <w:rPr>
          <w:spacing w:val="-3"/>
        </w:rPr>
        <w:t xml:space="preserve"> </w:t>
      </w:r>
      <w:r>
        <w:t>we</w:t>
      </w:r>
      <w:r>
        <w:rPr>
          <w:spacing w:val="-3"/>
        </w:rPr>
        <w:t xml:space="preserve"> </w:t>
      </w:r>
      <w:r>
        <w:t>finalise</w:t>
      </w:r>
      <w:r>
        <w:t xml:space="preserve"> policies ahead of publication.</w:t>
      </w:r>
    </w:p>
    <w:sectPr>
      <w:headerReference w:type="default" r:id="rId4"/>
      <w:footerReference w:type="default" r:id="rId5"/>
      <w:type w:val="continuous"/>
      <w:pgSz w:w="11910" w:h="16840"/>
      <w:pgMar w:top="1340" w:right="1417" w:bottom="560" w:left="1417" w:header="303" w:footer="37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632">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2" o:spid="_x0000_s2050" type="#_x0000_t202" style="height:14.2pt;margin-left:275.65pt;margin-top:812pt;mso-position-horizontal-relative:page;mso-position-vertical-relative:page;mso-wrap-distance-bottom:0;mso-wrap-distance-left:0;mso-wrap-distance-right:0;mso-wrap-distance-top:0;mso-wrap-style:square;position:absolute;v-text-anchor:top;visibility:visible;width:42.85pt;z-index:-251657216" filled="f" stroked="f">
          <v:textbox inset="0,0,0,0">
            <w:txbxContent>
              <w:p w:rsidR="00830632">
                <w:pPr>
                  <w:spacing w:before="16"/>
                  <w:ind w:left="20"/>
                  <w:rPr>
                    <w:rFonts w:ascii="Calibri"/>
                    <w:sz w:val="20"/>
                  </w:rPr>
                </w:pPr>
                <w:r>
                  <w:rPr>
                    <w:rFonts w:ascii="Calibri"/>
                    <w:spacing w:val="-2"/>
                    <w:w w:val="110"/>
                    <w:sz w:val="20"/>
                  </w:rPr>
                  <w:t>OFFICIAL</w:t>
                </w:r>
              </w:p>
            </w:txbxContent>
          </v:textbox>
          <w10:wrap anchorx="page" anchory="pag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632">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box 1" o:spid="_x0000_s2049" type="#_x0000_t202" style="height:53pt;margin-left:43.5pt;margin-top:-1.15pt;mso-height-percent:0;mso-height-relative:margin;mso-position-horizontal-relative:page;mso-width-percent:0;mso-width-relative:margin;mso-wrap-distance-bottom:0;mso-wrap-distance-left:0;mso-wrap-distance-right:0;mso-wrap-distance-top:0;mso-wrap-style:square;position:absolute;v-text-anchor:top;visibility:visible;width:536.5pt;z-index:-251658240" filled="f" stroked="f">
          <v:textbox inset="0,0,0,0">
            <w:txbxContent>
              <w:p w:rsidR="00830632" w:rsidP="00BB14EB">
                <w:pPr>
                  <w:spacing w:before="16"/>
                  <w:ind w:left="20"/>
                  <w:jc w:val="center"/>
                  <w:rPr>
                    <w:rFonts w:ascii="Calibri"/>
                    <w:spacing w:val="-2"/>
                    <w:w w:val="110"/>
                    <w:sz w:val="20"/>
                  </w:rPr>
                </w:pPr>
                <w:r>
                  <w:rPr>
                    <w:rFonts w:ascii="Calibri"/>
                    <w:spacing w:val="-2"/>
                    <w:w w:val="110"/>
                    <w:sz w:val="20"/>
                  </w:rPr>
                  <w:t>OFFICIAL</w:t>
                </w:r>
              </w:p>
              <w:p w:rsidR="00BB14EB" w:rsidP="00BB14EB">
                <w:pPr>
                  <w:spacing w:before="16"/>
                  <w:ind w:left="20"/>
                  <w:jc w:val="center"/>
                  <w:rPr>
                    <w:rFonts w:ascii="Calibri"/>
                    <w:spacing w:val="-2"/>
                    <w:w w:val="110"/>
                    <w:sz w:val="20"/>
                  </w:rPr>
                </w:pPr>
              </w:p>
              <w:p w:rsidR="00BB14EB" w:rsidP="00BB14EB">
                <w:pPr>
                  <w:spacing w:before="16"/>
                  <w:ind w:left="20"/>
                  <w:jc w:val="center"/>
                  <w:rPr>
                    <w:rFonts w:ascii="Calibri"/>
                    <w:sz w:val="20"/>
                  </w:rPr>
                </w:pPr>
                <w:r>
                  <w:rPr>
                    <w:rFonts w:ascii="Calibri"/>
                    <w:spacing w:val="-2"/>
                    <w:w w:val="110"/>
                    <w:sz w:val="20"/>
                  </w:rPr>
                  <w:t>Written submission form Ministry of Housing, Communities and Local Government (AIR0157)</w:t>
                </w:r>
              </w:p>
            </w:txbxContent>
          </v:textbox>
          <w10:wrap anchorx="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01C277D"/>
    <w:multiLevelType w:val="hybridMultilevel"/>
    <w:tmpl w:val="391A13AC"/>
    <w:lvl w:ilvl="0">
      <w:start w:val="1"/>
      <w:numFmt w:val="decimal"/>
      <w:lvlText w:val="%1."/>
      <w:lvlJc w:val="left"/>
      <w:pPr>
        <w:ind w:left="743" w:hanging="360"/>
        <w:jc w:val="left"/>
      </w:pPr>
      <w:rPr>
        <w:rFonts w:ascii="Arial" w:eastAsia="Arial" w:hAnsi="Arial" w:cs="Arial" w:hint="default"/>
        <w:b w:val="0"/>
        <w:bCs w:val="0"/>
        <w:i/>
        <w:iCs/>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406" w:hanging="360"/>
      </w:pPr>
      <w:rPr>
        <w:rFonts w:hint="default"/>
        <w:lang w:val="en-US" w:eastAsia="en-US" w:bidi="ar-SA"/>
      </w:rPr>
    </w:lvl>
    <w:lvl w:ilvl="3">
      <w:start w:val="0"/>
      <w:numFmt w:val="bullet"/>
      <w:lvlText w:val="•"/>
      <w:lvlJc w:val="left"/>
      <w:pPr>
        <w:ind w:left="3239" w:hanging="360"/>
      </w:pPr>
      <w:rPr>
        <w:rFonts w:hint="default"/>
        <w:lang w:val="en-US" w:eastAsia="en-US" w:bidi="ar-SA"/>
      </w:rPr>
    </w:lvl>
    <w:lvl w:ilvl="4">
      <w:start w:val="0"/>
      <w:numFmt w:val="bullet"/>
      <w:lvlText w:val="•"/>
      <w:lvlJc w:val="left"/>
      <w:pPr>
        <w:ind w:left="4072" w:hanging="360"/>
      </w:pPr>
      <w:rPr>
        <w:rFonts w:hint="default"/>
        <w:lang w:val="en-US" w:eastAsia="en-US" w:bidi="ar-SA"/>
      </w:rPr>
    </w:lvl>
    <w:lvl w:ilvl="5">
      <w:start w:val="0"/>
      <w:numFmt w:val="bullet"/>
      <w:lvlText w:val="•"/>
      <w:lvlJc w:val="left"/>
      <w:pPr>
        <w:ind w:left="4906" w:hanging="360"/>
      </w:pPr>
      <w:rPr>
        <w:rFonts w:hint="default"/>
        <w:lang w:val="en-US" w:eastAsia="en-US" w:bidi="ar-SA"/>
      </w:rPr>
    </w:lvl>
    <w:lvl w:ilvl="6">
      <w:start w:val="0"/>
      <w:numFmt w:val="bullet"/>
      <w:lvlText w:val="•"/>
      <w:lvlJc w:val="left"/>
      <w:pPr>
        <w:ind w:left="5739" w:hanging="360"/>
      </w:pPr>
      <w:rPr>
        <w:rFonts w:hint="default"/>
        <w:lang w:val="en-US" w:eastAsia="en-US" w:bidi="ar-SA"/>
      </w:rPr>
    </w:lvl>
    <w:lvl w:ilvl="7">
      <w:start w:val="0"/>
      <w:numFmt w:val="bullet"/>
      <w:lvlText w:val="•"/>
      <w:lvlJc w:val="left"/>
      <w:pPr>
        <w:ind w:left="6572" w:hanging="360"/>
      </w:pPr>
      <w:rPr>
        <w:rFonts w:hint="default"/>
        <w:lang w:val="en-US" w:eastAsia="en-US" w:bidi="ar-SA"/>
      </w:rPr>
    </w:lvl>
    <w:lvl w:ilvl="8">
      <w:start w:val="0"/>
      <w:numFmt w:val="bullet"/>
      <w:lvlText w:val="•"/>
      <w:lvlJc w:val="left"/>
      <w:pPr>
        <w:ind w:left="7405"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1"/>
      <w:ind w:left="177"/>
      <w:outlineLvl w:val="0"/>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3" w:right="10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14EB"/>
    <w:pPr>
      <w:tabs>
        <w:tab w:val="center" w:pos="4513"/>
        <w:tab w:val="right" w:pos="9026"/>
      </w:tabs>
    </w:pPr>
  </w:style>
  <w:style w:type="character" w:customStyle="1" w:styleId="HeaderChar">
    <w:name w:val="Header Char"/>
    <w:basedOn w:val="DefaultParagraphFont"/>
    <w:link w:val="Header"/>
    <w:uiPriority w:val="99"/>
    <w:rsid w:val="00BB14EB"/>
    <w:rPr>
      <w:rFonts w:ascii="Arial" w:eastAsia="Arial" w:hAnsi="Arial" w:cs="Arial"/>
    </w:rPr>
  </w:style>
  <w:style w:type="paragraph" w:styleId="Footer">
    <w:name w:val="footer"/>
    <w:basedOn w:val="Normal"/>
    <w:link w:val="FooterChar"/>
    <w:uiPriority w:val="99"/>
    <w:unhideWhenUsed/>
    <w:rsid w:val="00BB14EB"/>
    <w:pPr>
      <w:tabs>
        <w:tab w:val="center" w:pos="4513"/>
        <w:tab w:val="right" w:pos="9026"/>
      </w:tabs>
    </w:pPr>
  </w:style>
  <w:style w:type="character" w:customStyle="1" w:styleId="FooterChar">
    <w:name w:val="Footer Char"/>
    <w:basedOn w:val="DefaultParagraphFont"/>
    <w:link w:val="Footer"/>
    <w:uiPriority w:val="99"/>
    <w:rsid w:val="00BB14E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f82c930-76ad-4e10-8f68-9399c9560797}"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AIR0157</dc:title>
  <cp:revision>0</cp:revision>
</cp:coreProperties>
</file>