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20C2" w:rsidRPr="005D20C2" w:rsidP="00FF6946">
      <w:pPr>
        <w:pStyle w:val="p1"/>
        <w:rPr>
          <w:rFonts w:eastAsia="Avenir Next LT Pro" w:cs="Avenir Next LT Pro"/>
          <w:b/>
          <w:bCs/>
          <w:sz w:val="28"/>
          <w:szCs w:val="28"/>
        </w:rPr>
      </w:pPr>
      <w:r w:rsidRPr="005D20C2">
        <w:rPr>
          <w:rFonts w:eastAsia="Avenir Next LT Pro" w:cs="Avenir Next LT Pro"/>
          <w:b/>
          <w:bCs/>
          <w:sz w:val="28"/>
          <w:szCs w:val="28"/>
        </w:rPr>
        <w:t xml:space="preserve">Environment Justice Network Ireland – Written </w:t>
      </w:r>
      <w:r w:rsidR="00DE2BE5">
        <w:rPr>
          <w:rFonts w:eastAsia="Avenir Next LT Pro" w:cs="Avenir Next LT Pro"/>
          <w:b/>
          <w:bCs/>
          <w:sz w:val="28"/>
          <w:szCs w:val="28"/>
        </w:rPr>
        <w:t>evidence</w:t>
      </w:r>
      <w:r w:rsidRPr="005D20C2">
        <w:rPr>
          <w:rFonts w:eastAsia="Avenir Next LT Pro" w:cs="Avenir Next LT Pro"/>
          <w:b/>
          <w:bCs/>
          <w:sz w:val="28"/>
          <w:szCs w:val="28"/>
        </w:rPr>
        <w:t xml:space="preserve"> (ART0021)</w:t>
      </w:r>
    </w:p>
    <w:p w:rsidR="005D20C2" w:rsidP="00FF6946">
      <w:pPr>
        <w:pStyle w:val="p1"/>
        <w:rPr>
          <w:rFonts w:eastAsia="Avenir Next LT Pro" w:cs="Avenir Next LT Pro"/>
          <w:b/>
          <w:bCs/>
          <w:sz w:val="22"/>
          <w:szCs w:val="22"/>
        </w:rPr>
      </w:pPr>
    </w:p>
    <w:p w:rsidR="005978F4" w:rsidP="00FF6946">
      <w:pPr>
        <w:pStyle w:val="p1"/>
        <w:rPr>
          <w:rFonts w:eastAsia="Avenir Next LT Pro" w:cs="Avenir Next LT Pro"/>
          <w:b/>
          <w:bCs/>
          <w:sz w:val="22"/>
          <w:szCs w:val="22"/>
        </w:rPr>
      </w:pPr>
    </w:p>
    <w:p w:rsidR="003D60CA" w:rsidRPr="008C3C56" w:rsidP="00FF6946">
      <w:pPr>
        <w:pStyle w:val="p1"/>
        <w:rPr>
          <w:rFonts w:eastAsia="Avenir Next LT Pro" w:cs="Avenir Next LT Pro"/>
          <w:b/>
          <w:bCs/>
          <w:sz w:val="22"/>
          <w:szCs w:val="22"/>
        </w:rPr>
      </w:pPr>
      <w:r w:rsidRPr="008C3C56">
        <w:rPr>
          <w:rFonts w:eastAsia="Avenir Next LT Pro" w:cs="Avenir Next LT Pro"/>
          <w:b/>
          <w:bCs/>
          <w:sz w:val="22"/>
          <w:szCs w:val="22"/>
        </w:rPr>
        <w:t>Response to Northern Ireland Scrutiny Committee Inquiry on Article 2 of the Protocol/Windsor Framework</w:t>
      </w:r>
    </w:p>
    <w:p w:rsidR="003D60CA" w:rsidRPr="008C3C56" w:rsidP="00FF6946">
      <w:pPr>
        <w:rPr>
          <w:rFonts w:ascii="Verdana" w:eastAsia="Avenir Next LT Pro" w:hAnsi="Verdana" w:cs="Avenir Next LT Pro"/>
          <w:b/>
          <w:bCs/>
          <w:sz w:val="22"/>
          <w:szCs w:val="22"/>
        </w:rPr>
      </w:pPr>
    </w:p>
    <w:p w:rsidR="003D60CA" w:rsidRPr="008C3C56" w:rsidP="00FF6946">
      <w:pPr>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This response is prepared by: </w:t>
      </w:r>
      <w:r w:rsidRPr="008C3C56" w:rsidR="01814B9E">
        <w:rPr>
          <w:rFonts w:ascii="Verdana" w:eastAsia="Avenir Next LT Pro" w:hAnsi="Verdana" w:cs="Avenir Next LT Pro"/>
          <w:sz w:val="22"/>
          <w:szCs w:val="22"/>
        </w:rPr>
        <w:t xml:space="preserve">Dr Mary Dobbs, Dr Ciara Brennan, </w:t>
      </w:r>
      <w:r w:rsidRPr="008C3C56" w:rsidR="1CDF54B9">
        <w:rPr>
          <w:rFonts w:ascii="Verdana" w:eastAsia="Avenir Next LT Pro" w:hAnsi="Verdana" w:cs="Avenir Next LT Pro"/>
          <w:sz w:val="22"/>
          <w:szCs w:val="22"/>
        </w:rPr>
        <w:t>Alison Hough BL</w:t>
      </w:r>
      <w:r w:rsidRPr="008C3C56" w:rsidR="2C4145FE">
        <w:rPr>
          <w:rFonts w:ascii="Verdana" w:eastAsia="Avenir Next LT Pro" w:hAnsi="Verdana" w:cs="Avenir Next LT Pro"/>
          <w:sz w:val="22"/>
          <w:szCs w:val="22"/>
        </w:rPr>
        <w:t xml:space="preserve"> and </w:t>
      </w:r>
      <w:r w:rsidRPr="008C3C56" w:rsidR="2C329C15">
        <w:rPr>
          <w:rFonts w:ascii="Verdana" w:eastAsia="Avenir Next LT Pro" w:hAnsi="Verdana" w:cs="Avenir Next LT Pro"/>
          <w:sz w:val="22"/>
          <w:szCs w:val="22"/>
        </w:rPr>
        <w:t xml:space="preserve">Dr </w:t>
      </w:r>
      <w:r w:rsidRPr="008C3C56" w:rsidR="2C4145FE">
        <w:rPr>
          <w:rFonts w:ascii="Verdana" w:eastAsia="Avenir Next LT Pro" w:hAnsi="Verdana" w:cs="Avenir Next LT Pro"/>
          <w:sz w:val="22"/>
          <w:szCs w:val="22"/>
        </w:rPr>
        <w:t xml:space="preserve">Lisa Claire </w:t>
      </w:r>
      <w:r w:rsidRPr="008C3C56" w:rsidR="46ADFDEA">
        <w:rPr>
          <w:rFonts w:ascii="Verdana" w:eastAsia="Avenir Next LT Pro" w:hAnsi="Verdana" w:cs="Avenir Next LT Pro"/>
          <w:sz w:val="22"/>
          <w:szCs w:val="22"/>
        </w:rPr>
        <w:t>Wicks</w:t>
      </w:r>
      <w:r w:rsidRPr="008C3C56" w:rsidR="2C4145FE">
        <w:rPr>
          <w:rFonts w:ascii="Verdana" w:eastAsia="Avenir Next LT Pro" w:hAnsi="Verdana" w:cs="Avenir Next LT Pro"/>
          <w:sz w:val="22"/>
          <w:szCs w:val="22"/>
        </w:rPr>
        <w:t>.</w:t>
      </w:r>
    </w:p>
    <w:p w:rsidR="003D60CA" w:rsidRPr="008C3C56" w:rsidP="00FF6946">
      <w:pPr>
        <w:rPr>
          <w:rFonts w:ascii="Verdana" w:eastAsia="Avenir Next LT Pro" w:hAnsi="Verdana" w:cs="Avenir Next LT Pro"/>
          <w:sz w:val="22"/>
          <w:szCs w:val="22"/>
        </w:rPr>
      </w:pPr>
    </w:p>
    <w:p w:rsidR="25732174" w:rsidRPr="008C3C56" w:rsidP="00FF6946">
      <w:pPr>
        <w:rPr>
          <w:rFonts w:ascii="Verdana" w:eastAsia="Avenir Next LT Pro" w:hAnsi="Verdana" w:cs="Avenir Next LT Pro"/>
          <w:b/>
          <w:bCs/>
          <w:sz w:val="22"/>
          <w:szCs w:val="22"/>
        </w:rPr>
      </w:pPr>
      <w:r w:rsidRPr="008C3C56">
        <w:rPr>
          <w:rFonts w:ascii="Verdana" w:eastAsia="Avenir Next LT Pro" w:hAnsi="Verdana" w:cs="Avenir Next LT Pro"/>
          <w:b/>
          <w:bCs/>
          <w:sz w:val="22"/>
          <w:szCs w:val="22"/>
        </w:rPr>
        <w:t>About</w:t>
      </w:r>
    </w:p>
    <w:p w:rsidR="53281008" w:rsidRPr="008C3C56" w:rsidP="00FF6946">
      <w:pPr>
        <w:rPr>
          <w:rFonts w:ascii="Verdana" w:eastAsia="Avenir Next LT Pro" w:hAnsi="Verdana" w:cs="Avenir Next LT Pro"/>
          <w:sz w:val="22"/>
          <w:szCs w:val="22"/>
        </w:rPr>
      </w:pPr>
    </w:p>
    <w:p w:rsidR="003D60CA" w:rsidRPr="008C3C56" w:rsidP="00FF6946">
      <w:pPr>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Dr Mary Dobbs is an Associate Professor in Law in Maynooth University, Ireland, having previously been a Senior Lecturer in Queen’s University Belfast. </w:t>
      </w:r>
      <w:r w:rsidRPr="008C3C56" w:rsidR="6E82B7EC">
        <w:rPr>
          <w:rFonts w:ascii="Verdana" w:eastAsia="Avenir Next LT Pro" w:hAnsi="Verdana" w:cs="Avenir Next LT Pro"/>
          <w:sz w:val="22"/>
          <w:szCs w:val="22"/>
        </w:rPr>
        <w:t>She specialises in environmental law and governance</w:t>
      </w:r>
      <w:r w:rsidRPr="008C3C56" w:rsidR="30449617">
        <w:rPr>
          <w:rFonts w:ascii="Verdana" w:eastAsia="Avenir Next LT Pro" w:hAnsi="Verdana" w:cs="Avenir Next LT Pro"/>
          <w:sz w:val="22"/>
          <w:szCs w:val="22"/>
        </w:rPr>
        <w:t xml:space="preserve"> </w:t>
      </w:r>
      <w:r w:rsidRPr="008C3C56" w:rsidR="6E82B7EC">
        <w:rPr>
          <w:rFonts w:ascii="Verdana" w:eastAsia="Avenir Next LT Pro" w:hAnsi="Verdana" w:cs="Avenir Next LT Pro"/>
          <w:sz w:val="22"/>
          <w:szCs w:val="22"/>
        </w:rPr>
        <w:t>and has published extensively in this fie</w:t>
      </w:r>
      <w:r w:rsidRPr="008C3C56" w:rsidR="63DFF50E">
        <w:rPr>
          <w:rFonts w:ascii="Verdana" w:eastAsia="Avenir Next LT Pro" w:hAnsi="Verdana" w:cs="Avenir Next LT Pro"/>
          <w:sz w:val="22"/>
          <w:szCs w:val="22"/>
        </w:rPr>
        <w:t xml:space="preserve">ld, including in the context of Brexit. </w:t>
      </w:r>
      <w:r w:rsidRPr="008C3C56" w:rsidR="221B0C95">
        <w:rPr>
          <w:rFonts w:ascii="Verdana" w:eastAsia="Avenir Next LT Pro" w:hAnsi="Verdana" w:cs="Avenir Next LT Pro"/>
          <w:sz w:val="22"/>
          <w:szCs w:val="22"/>
        </w:rPr>
        <w:t>Mary</w:t>
      </w:r>
      <w:r w:rsidRPr="008C3C56">
        <w:rPr>
          <w:rFonts w:ascii="Verdana" w:eastAsia="Avenir Next LT Pro" w:hAnsi="Verdana" w:cs="Avenir Next LT Pro"/>
          <w:sz w:val="22"/>
          <w:szCs w:val="22"/>
        </w:rPr>
        <w:t xml:space="preserve"> is a member of the College of Experts for the Office of Environmental Protection</w:t>
      </w:r>
      <w:r w:rsidRPr="008C3C56" w:rsidR="35CF06B9">
        <w:rPr>
          <w:rFonts w:ascii="Verdana" w:eastAsia="Avenir Next LT Pro" w:hAnsi="Verdana" w:cs="Avenir Next LT Pro"/>
          <w:sz w:val="22"/>
          <w:szCs w:val="22"/>
        </w:rPr>
        <w:t>, and the Brexit and Environment network,</w:t>
      </w:r>
      <w:r w:rsidRPr="008C3C56">
        <w:rPr>
          <w:rFonts w:ascii="Verdana" w:eastAsia="Avenir Next LT Pro" w:hAnsi="Verdana" w:cs="Avenir Next LT Pro"/>
          <w:sz w:val="22"/>
          <w:szCs w:val="22"/>
        </w:rPr>
        <w:t xml:space="preserve"> and was also on the official stakeholder group providing input to the recent NI review of environmental governance</w:t>
      </w:r>
      <w:r w:rsidRPr="008C3C56" w:rsidR="70200DE9">
        <w:rPr>
          <w:rFonts w:ascii="Verdana" w:eastAsia="Avenir Next LT Pro" w:hAnsi="Verdana" w:cs="Avenir Next LT Pro"/>
          <w:sz w:val="22"/>
          <w:szCs w:val="22"/>
        </w:rPr>
        <w:t>.</w:t>
      </w:r>
    </w:p>
    <w:p w:rsidR="19813329" w:rsidRPr="008C3C56" w:rsidP="00FF6946">
      <w:pPr>
        <w:rPr>
          <w:rFonts w:ascii="Verdana" w:eastAsia="Avenir Next LT Pro" w:hAnsi="Verdana" w:cs="Avenir Next LT Pro"/>
          <w:sz w:val="22"/>
          <w:szCs w:val="22"/>
        </w:rPr>
      </w:pPr>
    </w:p>
    <w:p w:rsidR="70200DE9" w:rsidRPr="008C3C56" w:rsidP="00FF6946">
      <w:pPr>
        <w:rPr>
          <w:rFonts w:ascii="Verdana" w:hAnsi="Verdana"/>
          <w:sz w:val="22"/>
          <w:szCs w:val="22"/>
        </w:rPr>
      </w:pPr>
      <w:r w:rsidRPr="008C3C56">
        <w:rPr>
          <w:rFonts w:ascii="Verdana" w:eastAsia="Avenir Next LT Pro" w:hAnsi="Verdana" w:cs="Avenir Next LT Pro"/>
          <w:sz w:val="22"/>
          <w:szCs w:val="22"/>
        </w:rPr>
        <w:t xml:space="preserve">Dr Ciara Brennan is the Director of </w:t>
      </w:r>
      <w:r>
        <w:fldChar w:fldCharType="begin"/>
      </w:r>
      <w:r>
        <w:instrText xml:space="preserve"> HYPERLINK "https://ejni.net/" </w:instrText>
      </w:r>
      <w:r>
        <w:fldChar w:fldCharType="separate"/>
      </w:r>
      <w:r w:rsidRPr="008C3C56">
        <w:rPr>
          <w:rStyle w:val="Hyperlink"/>
          <w:rFonts w:ascii="Verdana" w:eastAsia="Avenir Next LT Pro" w:hAnsi="Verdana" w:cs="Avenir Next LT Pro"/>
          <w:sz w:val="22"/>
          <w:szCs w:val="22"/>
        </w:rPr>
        <w:t>Environmental Justice Network Ireland</w:t>
      </w:r>
      <w:r>
        <w:fldChar w:fldCharType="end"/>
      </w:r>
      <w:r w:rsidRPr="008C3C56">
        <w:rPr>
          <w:rFonts w:ascii="Verdana" w:eastAsia="Avenir Next LT Pro" w:hAnsi="Verdana" w:cs="Avenir Next LT Pro"/>
          <w:sz w:val="22"/>
          <w:szCs w:val="22"/>
        </w:rPr>
        <w:t xml:space="preserve"> and was previously a lecturer in environmental law at Newcastle University. In her capacity as Director and co-founder of EJNI, Ciara has undertaken extensive project management and co-authored multiple reports, policy notes and technical briefings which deal with wide-ranging environmental justice issues on the island of Ireland and across Europe.</w:t>
      </w:r>
    </w:p>
    <w:p w:rsidR="76AEC363" w:rsidRPr="008C3C56" w:rsidP="00FF6946">
      <w:pPr>
        <w:rPr>
          <w:rFonts w:ascii="Verdana" w:eastAsia="Avenir Next LT Pro" w:hAnsi="Verdana" w:cs="Avenir Next LT Pro"/>
          <w:sz w:val="22"/>
          <w:szCs w:val="22"/>
        </w:rPr>
      </w:pPr>
    </w:p>
    <w:p w:rsidR="1F871216" w:rsidRPr="008C3C56" w:rsidP="00FF6946">
      <w:pPr>
        <w:rPr>
          <w:rFonts w:ascii="Verdana" w:hAnsi="Verdana"/>
          <w:sz w:val="22"/>
          <w:szCs w:val="22"/>
        </w:rPr>
      </w:pPr>
      <w:r w:rsidRPr="008C3C56">
        <w:rPr>
          <w:rFonts w:ascii="Verdana" w:eastAsia="Avenir Next LT Pro" w:hAnsi="Verdana" w:cs="Avenir Next LT Pro"/>
          <w:sz w:val="22"/>
          <w:szCs w:val="22"/>
        </w:rPr>
        <w:t>Alison Hough BL is a Senior Lecturer and researcher in Technological University of the Shannon (formerly Athlone Institute of Technology). Previously she practiced at the Irish Bar</w:t>
      </w:r>
      <w:r w:rsidRPr="008C3C56" w:rsidR="006A004D">
        <w:rPr>
          <w:rFonts w:ascii="Verdana" w:eastAsia="Avenir Next LT Pro" w:hAnsi="Verdana" w:cs="Avenir Next LT Pro"/>
          <w:sz w:val="22"/>
          <w:szCs w:val="22"/>
        </w:rPr>
        <w:t xml:space="preserve"> </w:t>
      </w:r>
      <w:r w:rsidRPr="008C3C56">
        <w:rPr>
          <w:rFonts w:ascii="Verdana" w:eastAsia="Avenir Next LT Pro" w:hAnsi="Verdana" w:cs="Avenir Next LT Pro"/>
          <w:sz w:val="22"/>
          <w:szCs w:val="22"/>
        </w:rPr>
        <w:t xml:space="preserve">for eight years. Alison has a track record of high-impact research at Irish and EU level, as well as high-quality peer reviewed publications in environmental law journals on the topic of the Aarhus Convention, and on Brexit. She currently leads the Environmental Democracy Observatory for the EJNI.  Co-designed, collaborative projects with NGOs and other stakeholders, are a priority for her. Currently, she is engaged on a variety of issues including Brexit and Environment, transboundary public participation, intersectional public participation and the ways in which technology shapes and is shaped by the law. </w:t>
      </w:r>
    </w:p>
    <w:p w:rsidR="53281008" w:rsidRPr="008C3C56" w:rsidP="00FF6946">
      <w:pPr>
        <w:rPr>
          <w:rFonts w:ascii="Verdana" w:eastAsia="Avenir Next LT Pro" w:hAnsi="Verdana" w:cs="Avenir Next LT Pro"/>
          <w:sz w:val="22"/>
          <w:szCs w:val="22"/>
        </w:rPr>
      </w:pPr>
    </w:p>
    <w:p w:rsidR="027582B0" w:rsidRPr="008C3C56" w:rsidP="00FF6946">
      <w:pPr>
        <w:rPr>
          <w:rFonts w:ascii="Verdana" w:eastAsia="Avenir Next LT Pro" w:hAnsi="Verdana" w:cs="Avenir Next LT Pro"/>
          <w:sz w:val="22"/>
          <w:szCs w:val="22"/>
        </w:rPr>
      </w:pPr>
      <w:r w:rsidRPr="008C3C56">
        <w:rPr>
          <w:rFonts w:ascii="Verdana" w:eastAsia="Avenir Next LT Pro" w:hAnsi="Verdana" w:cs="Avenir Next LT Pro"/>
          <w:sz w:val="22"/>
          <w:szCs w:val="22"/>
        </w:rPr>
        <w:t>Dr Lisa Claire Wicks is a research fellow at Queen’s University Belfast School of Law and the Centre for Inclusive Trade Policy. She has written extensively on the impact of Brexit on Northern Ireland and is a recognised expert on the Protocol/Windsor F</w:t>
      </w:r>
      <w:r w:rsidRPr="008C3C56" w:rsidR="70E7926B">
        <w:rPr>
          <w:rFonts w:ascii="Verdana" w:eastAsia="Avenir Next LT Pro" w:hAnsi="Verdana" w:cs="Avenir Next LT Pro"/>
          <w:sz w:val="22"/>
          <w:szCs w:val="22"/>
        </w:rPr>
        <w:t>ramework.</w:t>
      </w:r>
    </w:p>
    <w:p w:rsidR="003D60CA" w:rsidRPr="008C3C56" w:rsidP="00FF6946">
      <w:pPr>
        <w:rPr>
          <w:rFonts w:ascii="Verdana" w:eastAsia="Avenir Next LT Pro" w:hAnsi="Verdana" w:cs="Avenir Next LT Pro"/>
          <w:sz w:val="22"/>
          <w:szCs w:val="22"/>
        </w:rPr>
      </w:pPr>
    </w:p>
    <w:p w:rsidR="003D60CA" w:rsidRPr="008C3C56" w:rsidP="00FF6946">
      <w:pPr>
        <w:rPr>
          <w:rFonts w:ascii="Verdana" w:hAnsi="Verdana"/>
          <w:sz w:val="22"/>
          <w:szCs w:val="22"/>
        </w:rPr>
      </w:pPr>
      <w:r w:rsidRPr="008C3C56">
        <w:rPr>
          <w:rFonts w:ascii="Verdana" w:eastAsia="Avenir Next LT Pro" w:hAnsi="Verdana" w:cs="Avenir Next LT Pro"/>
          <w:sz w:val="22"/>
          <w:szCs w:val="22"/>
        </w:rPr>
        <w:t>Together, the team has significant exper</w:t>
      </w:r>
      <w:r w:rsidRPr="008C3C56" w:rsidR="14E221D7">
        <w:rPr>
          <w:rFonts w:ascii="Verdana" w:eastAsia="Avenir Next LT Pro" w:hAnsi="Verdana" w:cs="Avenir Next LT Pro"/>
          <w:sz w:val="22"/>
          <w:szCs w:val="22"/>
        </w:rPr>
        <w:t xml:space="preserve">tise </w:t>
      </w:r>
      <w:r w:rsidRPr="008C3C56">
        <w:rPr>
          <w:rFonts w:ascii="Verdana" w:eastAsia="Avenir Next LT Pro" w:hAnsi="Verdana" w:cs="Avenir Next LT Pro"/>
          <w:sz w:val="22"/>
          <w:szCs w:val="22"/>
        </w:rPr>
        <w:t xml:space="preserve">with respect to Brexit, EU law, environmental law and </w:t>
      </w:r>
      <w:r w:rsidRPr="008C3C56" w:rsidR="2C7B5BE8">
        <w:rPr>
          <w:rFonts w:ascii="Verdana" w:eastAsia="Avenir Next LT Pro" w:hAnsi="Verdana" w:cs="Avenir Next LT Pro"/>
          <w:sz w:val="22"/>
          <w:szCs w:val="22"/>
        </w:rPr>
        <w:t xml:space="preserve">environmental </w:t>
      </w:r>
      <w:r w:rsidRPr="008C3C56">
        <w:rPr>
          <w:rFonts w:ascii="Verdana" w:eastAsia="Avenir Next LT Pro" w:hAnsi="Verdana" w:cs="Avenir Next LT Pro"/>
          <w:sz w:val="22"/>
          <w:szCs w:val="22"/>
        </w:rPr>
        <w:t>governance across the EU, UK and island of Ireland</w:t>
      </w:r>
      <w:r w:rsidRPr="008C3C56" w:rsidR="42D5A503">
        <w:rPr>
          <w:rFonts w:ascii="Verdana" w:eastAsia="Avenir Next LT Pro" w:hAnsi="Verdana" w:cs="Avenir Next LT Pro"/>
          <w:sz w:val="22"/>
          <w:szCs w:val="22"/>
        </w:rPr>
        <w:t>, including regarding Article 2 of the Windsor Framework.</w:t>
      </w:r>
      <w:r w:rsidRPr="008C3C56">
        <w:rPr>
          <w:rFonts w:ascii="Verdana" w:eastAsia="Avenir Next LT Pro" w:hAnsi="Verdana" w:cs="Avenir Next LT Pro"/>
          <w:sz w:val="22"/>
          <w:szCs w:val="22"/>
        </w:rPr>
        <w:t xml:space="preserve">  </w:t>
      </w:r>
    </w:p>
    <w:p w:rsidR="53281008" w:rsidRPr="008C3C56" w:rsidP="00FF6946">
      <w:pPr>
        <w:rPr>
          <w:rFonts w:ascii="Verdana" w:eastAsia="Avenir Next LT Pro" w:hAnsi="Verdana" w:cs="Avenir Next LT Pro"/>
          <w:sz w:val="22"/>
          <w:szCs w:val="22"/>
        </w:rPr>
      </w:pPr>
    </w:p>
    <w:p w:rsidR="003D60CA" w:rsidRPr="008C3C56" w:rsidP="00FF6946">
      <w:pPr>
        <w:rPr>
          <w:rFonts w:ascii="Verdana" w:eastAsia="Avenir Next LT Pro" w:hAnsi="Verdana" w:cs="Avenir Next LT Pro"/>
          <w:sz w:val="22"/>
          <w:szCs w:val="22"/>
        </w:rPr>
      </w:pPr>
      <w:r w:rsidRPr="008C3C56">
        <w:rPr>
          <w:rFonts w:ascii="Verdana" w:eastAsia="Avenir Next LT Pro" w:hAnsi="Verdana" w:cs="Avenir Next LT Pro"/>
          <w:b/>
          <w:bCs/>
          <w:sz w:val="22"/>
          <w:szCs w:val="22"/>
        </w:rPr>
        <w:t>Relevant publications</w:t>
      </w:r>
      <w:r w:rsidRPr="008C3C56">
        <w:rPr>
          <w:rFonts w:ascii="Verdana" w:eastAsia="Avenir Next LT Pro" w:hAnsi="Verdana" w:cs="Avenir Next LT Pro"/>
          <w:sz w:val="22"/>
          <w:szCs w:val="22"/>
        </w:rPr>
        <w:t xml:space="preserve"> include: </w:t>
      </w:r>
    </w:p>
    <w:p w:rsidR="003D60CA" w:rsidRPr="008C3C56" w:rsidP="00FF6946">
      <w:pPr>
        <w:pStyle w:val="ListParagraph"/>
        <w:numPr>
          <w:ilvl w:val="0"/>
          <w:numId w:val="3"/>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Mary Dobbs; Alison Hough; Orla Kelleher; Lisa Claire Whitten; Ciara Brennan, 'Non-diminution, dynamic alignment and cooperation: Exploring the potential of </w:t>
      </w:r>
      <w:r w:rsidRPr="008C3C56">
        <w:rPr>
          <w:rFonts w:ascii="Verdana" w:eastAsia="Avenir Next LT Pro" w:hAnsi="Verdana" w:cs="Avenir Next LT Pro"/>
          <w:sz w:val="22"/>
          <w:szCs w:val="22"/>
        </w:rPr>
        <w:t xml:space="preserve">the Windsor Framework to protect the environment', (2024) 75:3 Northern Ireland Legal Quarterly, 550-583, </w:t>
      </w:r>
      <w:r>
        <w:fldChar w:fldCharType="begin"/>
      </w:r>
      <w:r>
        <w:instrText xml:space="preserve"> HYPERLINK "http://doi.org/10.53386/nilq.v75i3.1126" </w:instrText>
      </w:r>
      <w:r>
        <w:fldChar w:fldCharType="separate"/>
      </w:r>
      <w:r w:rsidRPr="008C3C56">
        <w:rPr>
          <w:rStyle w:val="Hyperlink"/>
          <w:rFonts w:ascii="Verdana" w:eastAsia="Avenir Next LT Pro" w:hAnsi="Verdana" w:cs="Avenir Next LT Pro"/>
          <w:sz w:val="22"/>
          <w:szCs w:val="22"/>
        </w:rPr>
        <w:t>http://doi.org/10.53386/nilq.v75i3.1126</w:t>
      </w:r>
      <w:r>
        <w:fldChar w:fldCharType="end"/>
      </w:r>
      <w:r w:rsidRPr="008C3C56">
        <w:rPr>
          <w:rFonts w:ascii="Verdana" w:eastAsia="Avenir Next LT Pro" w:hAnsi="Verdana" w:cs="Avenir Next LT Pro"/>
          <w:sz w:val="22"/>
          <w:szCs w:val="22"/>
        </w:rPr>
        <w:t xml:space="preserve">. </w:t>
      </w:r>
    </w:p>
    <w:p w:rsidR="003D60CA" w:rsidRPr="008C3C56" w:rsidP="00FF6946">
      <w:pPr>
        <w:pStyle w:val="ListParagraph"/>
        <w:numPr>
          <w:ilvl w:val="0"/>
          <w:numId w:val="3"/>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C. Brennan; M. Dobbs; A. Hough; O. Kelleher; and L.C. Whitten, </w:t>
      </w:r>
      <w:r w:rsidRPr="008C3C56">
        <w:rPr>
          <w:rFonts w:ascii="Verdana" w:eastAsia="Avenir Next LT Pro" w:hAnsi="Verdana" w:cs="Avenir Next LT Pro"/>
          <w:i/>
          <w:iCs/>
          <w:sz w:val="22"/>
          <w:szCs w:val="22"/>
        </w:rPr>
        <w:t>The Environment, Human Rights and the Windsor Framework</w:t>
      </w:r>
      <w:r w:rsidRPr="008C3C56">
        <w:rPr>
          <w:rFonts w:ascii="Verdana" w:eastAsia="Avenir Next LT Pro" w:hAnsi="Verdana" w:cs="Avenir Next LT Pro"/>
          <w:sz w:val="22"/>
          <w:szCs w:val="22"/>
        </w:rPr>
        <w:t xml:space="preserve">, Report commissioned by the Northern Ireland Human Rights Commission, (2025), </w:t>
      </w:r>
      <w:r>
        <w:fldChar w:fldCharType="begin"/>
      </w:r>
      <w:r>
        <w:instrText xml:space="preserve"> HYPERLINK "https://nihrc.org/publication/detail/research-the-environment-human-rights-and-the-windsor-framework" </w:instrText>
      </w:r>
      <w:r>
        <w:fldChar w:fldCharType="separate"/>
      </w:r>
      <w:r w:rsidRPr="008C3C56">
        <w:rPr>
          <w:rStyle w:val="Hyperlink"/>
          <w:rFonts w:ascii="Verdana" w:eastAsia="Avenir Next LT Pro" w:hAnsi="Verdana" w:cs="Avenir Next LT Pro"/>
          <w:sz w:val="22"/>
          <w:szCs w:val="22"/>
        </w:rPr>
        <w:t>https://nihrc.org/publication/detail/research-the-environment-human-rights-and-the-windsor-framework</w:t>
      </w:r>
      <w:r>
        <w:fldChar w:fldCharType="end"/>
      </w:r>
      <w:r w:rsidRPr="008C3C56">
        <w:rPr>
          <w:rFonts w:ascii="Verdana" w:eastAsia="Avenir Next LT Pro" w:hAnsi="Verdana" w:cs="Avenir Next LT Pro"/>
          <w:sz w:val="22"/>
          <w:szCs w:val="22"/>
        </w:rPr>
        <w:t xml:space="preserve">. </w:t>
      </w:r>
    </w:p>
    <w:p w:rsidR="74CC8A9F" w:rsidRPr="008C3C56" w:rsidP="00FF6946">
      <w:pPr>
        <w:pStyle w:val="ListParagraph"/>
        <w:numPr>
          <w:ilvl w:val="0"/>
          <w:numId w:val="3"/>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L.C. Whitten, The UK-EU Re-set, the environment and the island of Ireland, EJNI Research Report, June 2026, </w:t>
      </w:r>
      <w:r>
        <w:fldChar w:fldCharType="begin"/>
      </w:r>
      <w:r>
        <w:instrText xml:space="preserve"> HYPERLINK "https://ejni.net/wp-content/uploads/2026/06/UKEUreset-08.06.26.pdf" </w:instrText>
      </w:r>
      <w:r>
        <w:fldChar w:fldCharType="separate"/>
      </w:r>
      <w:r w:rsidRPr="008C3C56">
        <w:rPr>
          <w:rStyle w:val="Hyperlink"/>
          <w:rFonts w:ascii="Verdana" w:eastAsia="Avenir Next LT Pro" w:hAnsi="Verdana" w:cs="Avenir Next LT Pro"/>
          <w:sz w:val="22"/>
          <w:szCs w:val="22"/>
        </w:rPr>
        <w:t>https://ejni.net/wp-content/uploads/2026/06/UKEUreset-08.06.26.pdf</w:t>
      </w:r>
      <w:r>
        <w:fldChar w:fldCharType="end"/>
      </w:r>
      <w:r w:rsidRPr="008C3C56">
        <w:rPr>
          <w:rFonts w:ascii="Verdana" w:eastAsia="Avenir Next LT Pro" w:hAnsi="Verdana" w:cs="Avenir Next LT Pro"/>
          <w:sz w:val="22"/>
          <w:szCs w:val="22"/>
        </w:rPr>
        <w:t xml:space="preserve">. </w:t>
      </w:r>
    </w:p>
    <w:p w:rsidR="53281008" w:rsidRPr="008C3C56" w:rsidP="00FF6946">
      <w:pPr>
        <w:pStyle w:val="ListParagraph"/>
        <w:ind w:left="0"/>
        <w:rPr>
          <w:rFonts w:ascii="Verdana" w:eastAsia="Avenir Next LT Pro" w:hAnsi="Verdana" w:cs="Avenir Next LT Pro"/>
          <w:sz w:val="22"/>
          <w:szCs w:val="22"/>
        </w:rPr>
      </w:pPr>
    </w:p>
    <w:p w:rsidR="003D60CA" w:rsidRPr="008C3C56" w:rsidP="00FF6946">
      <w:pPr>
        <w:rPr>
          <w:rFonts w:ascii="Verdana" w:eastAsia="Avenir Next LT Pro" w:hAnsi="Verdana" w:cs="Avenir Next LT Pro"/>
          <w:sz w:val="22"/>
          <w:szCs w:val="22"/>
        </w:rPr>
      </w:pPr>
    </w:p>
    <w:p w:rsidR="006A004D" w:rsidRPr="008C3C56" w:rsidP="00FF6946">
      <w:pPr>
        <w:rPr>
          <w:rFonts w:ascii="Verdana" w:eastAsia="Avenir Next LT Pro" w:hAnsi="Verdana" w:cs="Avenir Next LT Pro"/>
          <w:b/>
          <w:bCs/>
          <w:sz w:val="22"/>
          <w:szCs w:val="22"/>
        </w:rPr>
      </w:pPr>
    </w:p>
    <w:p w:rsidR="006A004D" w:rsidRPr="008C3C56" w:rsidP="00FF6946">
      <w:pPr>
        <w:rPr>
          <w:rFonts w:ascii="Verdana" w:eastAsia="Avenir Next LT Pro" w:hAnsi="Verdana" w:cs="Avenir Next LT Pro"/>
          <w:b/>
          <w:bCs/>
          <w:sz w:val="22"/>
          <w:szCs w:val="22"/>
        </w:rPr>
      </w:pPr>
    </w:p>
    <w:p w:rsidR="003D60CA" w:rsidRPr="008C3C56" w:rsidP="00FF6946">
      <w:pPr>
        <w:rPr>
          <w:rFonts w:ascii="Verdana" w:hAnsi="Verdana"/>
          <w:sz w:val="22"/>
          <w:szCs w:val="22"/>
        </w:rPr>
      </w:pPr>
      <w:r w:rsidRPr="008C3C56">
        <w:rPr>
          <w:rFonts w:ascii="Verdana" w:eastAsia="Avenir Next LT Pro" w:hAnsi="Verdana" w:cs="Avenir Next LT Pro"/>
          <w:b/>
          <w:bCs/>
          <w:sz w:val="22"/>
          <w:szCs w:val="22"/>
        </w:rPr>
        <w:t>Summary</w:t>
      </w:r>
    </w:p>
    <w:p w:rsidR="53281008" w:rsidRPr="008C3C56" w:rsidP="00FF6946">
      <w:pPr>
        <w:rPr>
          <w:rFonts w:ascii="Verdana" w:eastAsia="Avenir Next LT Pro" w:hAnsi="Verdana" w:cs="Avenir Next LT Pro"/>
          <w:b/>
          <w:bCs/>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This response to the Northern Ireland Scrutiny Committee’s call for evidence addresses some of the questions within the first par</w:t>
      </w:r>
      <w:r w:rsidRPr="008C3C56" w:rsidR="2938A108">
        <w:rPr>
          <w:rFonts w:ascii="Verdana" w:eastAsia="Avenir Next LT Pro" w:hAnsi="Verdana" w:cs="Avenir Next LT Pro"/>
          <w:sz w:val="22"/>
          <w:szCs w:val="22"/>
        </w:rPr>
        <w:t>t</w:t>
      </w:r>
      <w:r w:rsidRPr="008C3C56">
        <w:rPr>
          <w:rFonts w:ascii="Verdana" w:eastAsia="Avenir Next LT Pro" w:hAnsi="Verdana" w:cs="Avenir Next LT Pro"/>
          <w:sz w:val="22"/>
          <w:szCs w:val="22"/>
        </w:rPr>
        <w:t>, i.e. on the ‘origins and obligations of Article 2 WF’. It does so with a slight focus on environmental matters. While it does not cover all questions, we would also support the statements in the written evidence by those such as O’Donoghue and Fannin</w:t>
      </w:r>
      <w:r w:rsidRPr="008C3C56" w:rsidR="34C43FFC">
        <w:rPr>
          <w:rFonts w:ascii="Verdana" w:eastAsia="Avenir Next LT Pro" w:hAnsi="Verdana" w:cs="Avenir Next LT Pro"/>
          <w:sz w:val="22"/>
          <w:szCs w:val="22"/>
        </w:rPr>
        <w:t>g</w:t>
      </w:r>
      <w:r w:rsidRPr="008C3C56">
        <w:rPr>
          <w:rFonts w:ascii="Verdana" w:eastAsia="Avenir Next LT Pro" w:hAnsi="Verdana" w:cs="Avenir Next LT Pro"/>
          <w:sz w:val="22"/>
          <w:szCs w:val="22"/>
        </w:rPr>
        <w:t xml:space="preserve">, and Murray, which address some of the remaining points. </w:t>
      </w:r>
    </w:p>
    <w:p w:rsidR="53281008" w:rsidRPr="008C3C56" w:rsidP="00FF6946">
      <w:pPr>
        <w:pStyle w:val="ListParagraph"/>
        <w:ind w:left="0"/>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We focus on Article 2(1) WF, rather than Article 2(2) WF, but would highlight that that provision is also of great import and the Commissions need to be adequately supported. </w:t>
      </w:r>
    </w:p>
    <w:p w:rsidR="53281008" w:rsidRPr="008C3C56" w:rsidP="00FF6946">
      <w:pPr>
        <w:pStyle w:val="ListParagraph"/>
        <w:ind w:left="0"/>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In brief, Article 2 WF is a significant provision that guarantees the non-diminution of a wide range of rights, safeguards and equality of opportunity, and it should be read purposively and in line with the principle of treaty interpretation grounded in customary international law and reflected within the Vienna Convention on the Law of Treaties. In our opinion, the Supreme Court’s judgment is excessively restrictive and curtails the true scope and applicability of Article 2. Much of the issues arise with the </w:t>
      </w:r>
      <w:r w:rsidRPr="008C3C56">
        <w:rPr>
          <w:rFonts w:ascii="Verdana" w:eastAsia="Avenir Next LT Pro" w:hAnsi="Verdana" w:cs="Avenir Next LT Pro"/>
          <w:i/>
          <w:iCs/>
          <w:sz w:val="22"/>
          <w:szCs w:val="22"/>
        </w:rPr>
        <w:t>obiter</w:t>
      </w:r>
      <w:r w:rsidRPr="008C3C56">
        <w:rPr>
          <w:rFonts w:ascii="Verdana" w:eastAsia="Avenir Next LT Pro" w:hAnsi="Verdana" w:cs="Avenir Next LT Pro"/>
          <w:sz w:val="22"/>
          <w:szCs w:val="22"/>
        </w:rPr>
        <w:t xml:space="preserve"> statements and the risk of how the provision might be interpreted in future. However, it also simply does not address the issue of ‘safeguards’ and therein lies a great deal of the value of Article 2. Therefore, much is left undecided by the Supreme Court, without even considering the potential for, for instance, a preliminary reference to the EU’s CJEU. Further, irrespective of any legal force, there is also a considerable political onus attached to Article 2, which must not be cast aside. </w:t>
      </w:r>
    </w:p>
    <w:p w:rsidR="003D60CA" w:rsidRPr="008C3C56" w:rsidP="00FF6946">
      <w:pPr>
        <w:pStyle w:val="ListParagraph"/>
        <w:ind w:left="0"/>
        <w:rPr>
          <w:rFonts w:ascii="Verdana" w:eastAsia="Avenir Next LT Pro" w:hAnsi="Verdana" w:cs="Avenir Next LT Pro"/>
          <w:sz w:val="22"/>
          <w:szCs w:val="22"/>
        </w:rPr>
      </w:pPr>
    </w:p>
    <w:p w:rsidR="003D60CA" w:rsidRPr="008C3C56" w:rsidP="00FF6946">
      <w:pPr>
        <w:pStyle w:val="NormalWeb"/>
        <w:spacing w:before="0" w:beforeAutospacing="0" w:after="270" w:afterAutospacing="0"/>
        <w:rPr>
          <w:rFonts w:ascii="Verdana" w:eastAsia="Avenir Next LT Pro" w:hAnsi="Verdana" w:cs="Avenir Next LT Pro"/>
          <w:i/>
          <w:iCs/>
          <w:sz w:val="22"/>
          <w:szCs w:val="22"/>
        </w:rPr>
      </w:pPr>
      <w:r w:rsidRPr="008C3C56">
        <w:rPr>
          <w:rStyle w:val="Emphasis"/>
          <w:rFonts w:ascii="Verdana" w:eastAsia="Avenir Next LT Pro" w:hAnsi="Verdana" w:cs="Avenir Next LT Pro"/>
          <w:sz w:val="22"/>
          <w:szCs w:val="22"/>
        </w:rPr>
        <w:t>Origins and Obligations of Article 2 WF</w:t>
      </w:r>
    </w:p>
    <w:p w:rsidR="003D60CA" w:rsidRPr="008C3C56" w:rsidP="00FF6946">
      <w:pPr>
        <w:pStyle w:val="NormalWeb"/>
        <w:spacing w:before="0" w:beforeAutospacing="0" w:after="270" w:afterAutospacing="0"/>
        <w:rPr>
          <w:rFonts w:ascii="Verdana" w:eastAsia="Avenir Next LT Pro" w:hAnsi="Verdana" w:cs="Avenir Next LT Pro"/>
          <w:i/>
          <w:iCs/>
          <w:sz w:val="22"/>
          <w:szCs w:val="22"/>
        </w:rPr>
      </w:pPr>
      <w:r w:rsidRPr="008C3C56">
        <w:rPr>
          <w:rFonts w:ascii="Verdana" w:eastAsia="Avenir Next LT Pro" w:hAnsi="Verdana" w:cs="Avenir Next LT Pro"/>
          <w:i/>
          <w:iCs/>
          <w:sz w:val="22"/>
          <w:szCs w:val="22"/>
        </w:rPr>
        <w:t>1. Why did the UK and EU negotiate and include Article 2 WF in the Protocol/ Windsor Framework? How does Article 2 WF relate to the</w:t>
      </w:r>
      <w:r w:rsidRPr="008C3C56" w:rsidR="24DA3B5B">
        <w:rPr>
          <w:rFonts w:ascii="Verdana" w:eastAsia="Avenir Next LT Pro" w:hAnsi="Verdana" w:cs="Avenir Next LT Pro"/>
          <w:i/>
          <w:iCs/>
          <w:sz w:val="22"/>
          <w:szCs w:val="22"/>
        </w:rPr>
        <w:t xml:space="preserve"> </w:t>
      </w:r>
      <w:r w:rsidRPr="008C3C56">
        <w:rPr>
          <w:rFonts w:ascii="Verdana" w:eastAsia="Avenir Next LT Pro" w:hAnsi="Verdana" w:cs="Avenir Next LT Pro"/>
          <w:i/>
          <w:iCs/>
          <w:sz w:val="22"/>
          <w:szCs w:val="22"/>
        </w:rPr>
        <w:t>Belfast/ Good Friday Agreement?</w:t>
      </w: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Article 2 WF was an essential component of the Brexit negotiations to guarantee the continued rights and safeguards for those in Northern Ireland (and potentially those outside </w:t>
      </w:r>
      <w:r w:rsidRPr="008C3C56">
        <w:rPr>
          <w:rFonts w:ascii="Verdana" w:eastAsia="Avenir Next LT Pro" w:hAnsi="Verdana" w:cs="Avenir Next LT Pro"/>
          <w:sz w:val="22"/>
          <w:szCs w:val="22"/>
        </w:rPr>
        <w:t>NI, but</w:t>
      </w:r>
      <w:r w:rsidRPr="008C3C56">
        <w:rPr>
          <w:rFonts w:ascii="Verdana" w:eastAsia="Avenir Next LT Pro" w:hAnsi="Verdana" w:cs="Avenir Next LT Pro"/>
          <w:sz w:val="22"/>
          <w:szCs w:val="22"/>
        </w:rPr>
        <w:t xml:space="preserve"> affected by actions/inaction within NI). It was a recognition of the broader context – not just the history of the Troubles and the need to ensure the continued open border on the island, but also to protect the </w:t>
      </w:r>
      <w:r w:rsidRPr="008C3C56">
        <w:rPr>
          <w:rFonts w:ascii="Verdana" w:eastAsia="Avenir Next LT Pro" w:hAnsi="Verdana" w:cs="Avenir Next LT Pro"/>
          <w:sz w:val="22"/>
          <w:szCs w:val="22"/>
        </w:rPr>
        <w:t>gradual improvements that had occurred with respect to human rights and broader safeguards and opportunities.</w:t>
      </w:r>
      <w:r w:rsidRPr="008C3C56" w:rsidR="7534FF4C">
        <w:rPr>
          <w:rFonts w:ascii="Verdana" w:eastAsia="Avenir Next LT Pro" w:hAnsi="Verdana" w:cs="Avenir Next LT Pro"/>
          <w:sz w:val="22"/>
          <w:szCs w:val="22"/>
        </w:rPr>
        <w:t xml:space="preserve"> </w:t>
      </w:r>
    </w:p>
    <w:p w:rsidR="003D60CA" w:rsidRPr="008C3C56" w:rsidP="00FF6946">
      <w:pPr>
        <w:pStyle w:val="ListParagraph"/>
        <w:ind w:left="0"/>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The purpose of the WF</w:t>
      </w:r>
      <w:r w:rsidRPr="008C3C56" w:rsidR="44FAC3FC">
        <w:rPr>
          <w:rFonts w:ascii="Verdana" w:eastAsia="Avenir Next LT Pro" w:hAnsi="Verdana" w:cs="Avenir Next LT Pro"/>
          <w:sz w:val="22"/>
          <w:szCs w:val="22"/>
        </w:rPr>
        <w:t xml:space="preserve"> (originally </w:t>
      </w:r>
      <w:r w:rsidRPr="008C3C56">
        <w:rPr>
          <w:rFonts w:ascii="Verdana" w:eastAsia="Avenir Next LT Pro" w:hAnsi="Verdana" w:cs="Avenir Next LT Pro"/>
          <w:sz w:val="22"/>
          <w:szCs w:val="22"/>
        </w:rPr>
        <w:t>the Protocol on Ireland-Northern Ireland</w:t>
      </w:r>
      <w:r w:rsidRPr="008C3C56" w:rsidR="359D3A36">
        <w:rPr>
          <w:rFonts w:ascii="Verdana" w:eastAsia="Avenir Next LT Pro" w:hAnsi="Verdana" w:cs="Avenir Next LT Pro"/>
          <w:sz w:val="22"/>
          <w:szCs w:val="22"/>
        </w:rPr>
        <w:t>)</w:t>
      </w:r>
      <w:r w:rsidRPr="008C3C56">
        <w:rPr>
          <w:rFonts w:ascii="Verdana" w:eastAsia="Avenir Next LT Pro" w:hAnsi="Verdana" w:cs="Avenir Next LT Pro"/>
          <w:sz w:val="22"/>
          <w:szCs w:val="22"/>
        </w:rPr>
        <w:t xml:space="preserve"> was </w:t>
      </w:r>
      <w:r w:rsidRPr="008C3C56" w:rsidR="3A756E39">
        <w:rPr>
          <w:rFonts w:ascii="Verdana" w:eastAsia="Avenir Next LT Pro" w:hAnsi="Verdana" w:cs="Avenir Next LT Pro"/>
          <w:sz w:val="22"/>
          <w:szCs w:val="22"/>
        </w:rPr>
        <w:t>‘</w:t>
      </w:r>
      <w:r w:rsidRPr="008C3C56">
        <w:rPr>
          <w:rFonts w:ascii="Verdana" w:eastAsia="Avenir Next LT Pro" w:hAnsi="Verdana" w:cs="Avenir Next LT Pro"/>
          <w:sz w:val="22"/>
          <w:szCs w:val="22"/>
        </w:rPr>
        <w:t xml:space="preserve">to maintain the </w:t>
      </w:r>
      <w:r w:rsidRPr="008C3C56" w:rsidR="173E1267">
        <w:rPr>
          <w:rFonts w:ascii="Verdana" w:eastAsia="Avenir Next LT Pro" w:hAnsi="Verdana" w:cs="Avenir Next LT Pro"/>
          <w:sz w:val="22"/>
          <w:szCs w:val="22"/>
        </w:rPr>
        <w:t xml:space="preserve">necessary </w:t>
      </w:r>
      <w:r w:rsidRPr="008C3C56">
        <w:rPr>
          <w:rFonts w:ascii="Verdana" w:eastAsia="Avenir Next LT Pro" w:hAnsi="Verdana" w:cs="Avenir Next LT Pro"/>
          <w:sz w:val="22"/>
          <w:szCs w:val="22"/>
        </w:rPr>
        <w:t>conditions</w:t>
      </w:r>
      <w:r w:rsidRPr="008C3C56" w:rsidR="2FA95CF0">
        <w:rPr>
          <w:rFonts w:ascii="Verdana" w:eastAsia="Avenir Next LT Pro" w:hAnsi="Verdana" w:cs="Avenir Next LT Pro"/>
          <w:sz w:val="22"/>
          <w:szCs w:val="22"/>
        </w:rPr>
        <w:t>’</w:t>
      </w:r>
      <w:r w:rsidRPr="008C3C56">
        <w:rPr>
          <w:rFonts w:ascii="Verdana" w:eastAsia="Avenir Next LT Pro" w:hAnsi="Verdana" w:cs="Avenir Next LT Pro"/>
          <w:sz w:val="22"/>
          <w:szCs w:val="22"/>
        </w:rPr>
        <w:t xml:space="preserve"> for cross-border cooperation</w:t>
      </w:r>
      <w:r w:rsidRPr="008C3C56" w:rsidR="2DD47D12">
        <w:rPr>
          <w:rFonts w:ascii="Verdana" w:eastAsia="Avenir Next LT Pro" w:hAnsi="Verdana" w:cs="Avenir Next LT Pro"/>
          <w:sz w:val="22"/>
          <w:szCs w:val="22"/>
        </w:rPr>
        <w:t xml:space="preserve"> and ‘to protect the 1998 Agreement in all its dimensions’</w:t>
      </w:r>
      <w:r w:rsidRPr="008C3C56">
        <w:rPr>
          <w:rFonts w:ascii="Verdana" w:eastAsia="Avenir Next LT Pro" w:hAnsi="Verdana" w:cs="Avenir Next LT Pro"/>
          <w:sz w:val="22"/>
          <w:szCs w:val="22"/>
        </w:rPr>
        <w:t xml:space="preserve">. This is stated in Article </w:t>
      </w:r>
      <w:r w:rsidRPr="008C3C56" w:rsidR="6E68EDDA">
        <w:rPr>
          <w:rFonts w:ascii="Verdana" w:eastAsia="Avenir Next LT Pro" w:hAnsi="Verdana" w:cs="Avenir Next LT Pro"/>
          <w:sz w:val="22"/>
          <w:szCs w:val="22"/>
        </w:rPr>
        <w:t>1(3) of the WF.</w:t>
      </w:r>
      <w:r w:rsidRPr="008C3C56" w:rsidR="432FBAAF">
        <w:rPr>
          <w:rFonts w:ascii="Verdana" w:eastAsia="Avenir Next LT Pro" w:hAnsi="Verdana" w:cs="Avenir Next LT Pro"/>
          <w:sz w:val="22"/>
          <w:szCs w:val="22"/>
        </w:rPr>
        <w:t xml:space="preserve"> It was recognised both that the 1998 Belfast/Good Friday Agreement (BGFA) and functional cross border cooperation required legal parity (the </w:t>
      </w:r>
      <w:r w:rsidRPr="008C3C56" w:rsidR="76A3C09C">
        <w:rPr>
          <w:rFonts w:ascii="Verdana" w:eastAsia="Avenir Next LT Pro" w:hAnsi="Verdana" w:cs="Avenir Next LT Pro"/>
          <w:sz w:val="22"/>
          <w:szCs w:val="22"/>
        </w:rPr>
        <w:t>‘level playing field’</w:t>
      </w:r>
      <w:r w:rsidRPr="008C3C56" w:rsidR="432FBAAF">
        <w:rPr>
          <w:rFonts w:ascii="Verdana" w:eastAsia="Avenir Next LT Pro" w:hAnsi="Verdana" w:cs="Avenir Next LT Pro"/>
          <w:sz w:val="22"/>
          <w:szCs w:val="22"/>
        </w:rPr>
        <w:t>)</w:t>
      </w:r>
      <w:r w:rsidRPr="008C3C56" w:rsidR="15A10854">
        <w:rPr>
          <w:rFonts w:ascii="Verdana" w:eastAsia="Avenir Next LT Pro" w:hAnsi="Verdana" w:cs="Avenir Next LT Pro"/>
          <w:sz w:val="22"/>
          <w:szCs w:val="22"/>
        </w:rPr>
        <w:t xml:space="preserve"> in rights and regulation in NI and IE. </w:t>
      </w:r>
      <w:r w:rsidRPr="008C3C56" w:rsidR="12B0F9A8">
        <w:rPr>
          <w:rFonts w:ascii="Verdana" w:eastAsia="Avenir Next LT Pro" w:hAnsi="Verdana" w:cs="Avenir Next LT Pro"/>
          <w:sz w:val="22"/>
          <w:szCs w:val="22"/>
        </w:rPr>
        <w:t>Ensuring the continued centrality of the ECHR to this level playing field</w:t>
      </w:r>
      <w:r w:rsidRPr="008C3C56" w:rsidR="1E8BCAA3">
        <w:rPr>
          <w:rFonts w:ascii="Verdana" w:eastAsia="Avenir Next LT Pro" w:hAnsi="Verdana" w:cs="Avenir Next LT Pro"/>
          <w:sz w:val="22"/>
          <w:szCs w:val="22"/>
        </w:rPr>
        <w:t xml:space="preserve"> and the BGFA</w:t>
      </w:r>
      <w:r w:rsidRPr="008C3C56" w:rsidR="12B0F9A8">
        <w:rPr>
          <w:rFonts w:ascii="Verdana" w:eastAsia="Avenir Next LT Pro" w:hAnsi="Verdana" w:cs="Avenir Next LT Pro"/>
          <w:sz w:val="22"/>
          <w:szCs w:val="22"/>
        </w:rPr>
        <w:t xml:space="preserve"> was a key focus of the Brexit negotiations that produced the WF, as is evident from the Joint Report</w:t>
      </w:r>
      <w:r w:rsidRPr="008C3C56" w:rsidR="12310D54">
        <w:rPr>
          <w:rFonts w:ascii="Verdana" w:eastAsia="Avenir Next LT Pro" w:hAnsi="Verdana" w:cs="Avenir Next LT Pro"/>
          <w:color w:val="000000" w:themeColor="text1"/>
          <w:sz w:val="22"/>
          <w:szCs w:val="22"/>
        </w:rPr>
        <w:t xml:space="preserve"> </w:t>
      </w:r>
      <w:r>
        <w:fldChar w:fldCharType="begin"/>
      </w:r>
      <w:r>
        <w:instrText xml:space="preserve"> HYPERLINK "https://www.gov.uk/government/publications/joint-report-on-progress-during-phase-1-of-negotiations-under-article-50-teu-on-the-uks-orderly-withdrawal-from-the-eu" </w:instrText>
      </w:r>
      <w:r>
        <w:fldChar w:fldCharType="separate"/>
      </w:r>
      <w:r w:rsidRPr="008C3C56" w:rsidR="12310D54">
        <w:rPr>
          <w:rStyle w:val="Hyperlink"/>
          <w:rFonts w:ascii="Verdana" w:eastAsia="Avenir Next LT Pro" w:hAnsi="Verdana" w:cs="Avenir Next LT Pro"/>
          <w:b/>
          <w:bCs/>
          <w:sz w:val="22"/>
          <w:szCs w:val="22"/>
          <w:u w:val="none"/>
        </w:rPr>
        <w:t>Joint Report of the Negotiators</w:t>
      </w:r>
      <w:r>
        <w:fldChar w:fldCharType="end"/>
      </w:r>
      <w:r w:rsidRPr="008C3C56" w:rsidR="12310D54">
        <w:rPr>
          <w:rFonts w:ascii="Verdana" w:eastAsia="Avenir Next LT Pro" w:hAnsi="Verdana" w:cs="Avenir Next LT Pro"/>
          <w:color w:val="000000" w:themeColor="text1"/>
          <w:sz w:val="22"/>
          <w:szCs w:val="22"/>
        </w:rPr>
        <w:t xml:space="preserve"> in December 2017</w:t>
      </w:r>
      <w:r w:rsidRPr="008C3C56" w:rsidR="12B0F9A8">
        <w:rPr>
          <w:rFonts w:ascii="Verdana" w:eastAsia="Avenir Next LT Pro" w:hAnsi="Verdana" w:cs="Avenir Next LT Pro"/>
          <w:sz w:val="22"/>
          <w:szCs w:val="22"/>
        </w:rPr>
        <w:t xml:space="preserve"> (para 53) and all the way through the process</w:t>
      </w:r>
      <w:r w:rsidRPr="008C3C56" w:rsidR="5D3C56B1">
        <w:rPr>
          <w:rFonts w:ascii="Verdana" w:eastAsia="Avenir Next LT Pro" w:hAnsi="Verdana" w:cs="Avenir Next LT Pro"/>
          <w:sz w:val="22"/>
          <w:szCs w:val="22"/>
        </w:rPr>
        <w:t xml:space="preserve"> (a view supported by eminent commentators like </w:t>
      </w:r>
      <w:r>
        <w:fldChar w:fldCharType="begin"/>
      </w:r>
      <w:r>
        <w:instrText xml:space="preserve"> HYPERLINK "https://ukandeu.ac.uk/the-belfast-good-friday-agreement-and-human-rights/" </w:instrText>
      </w:r>
      <w:r>
        <w:fldChar w:fldCharType="separate"/>
      </w:r>
      <w:r w:rsidRPr="008C3C56" w:rsidR="5D3C56B1">
        <w:rPr>
          <w:rStyle w:val="Hyperlink"/>
          <w:rFonts w:ascii="Verdana" w:eastAsia="Avenir Next LT Pro" w:hAnsi="Verdana" w:cs="Avenir Next LT Pro"/>
          <w:sz w:val="22"/>
          <w:szCs w:val="22"/>
        </w:rPr>
        <w:t>Andrew McCormick</w:t>
      </w:r>
      <w:r>
        <w:fldChar w:fldCharType="end"/>
      </w:r>
      <w:r w:rsidRPr="008C3C56" w:rsidR="5D3C56B1">
        <w:rPr>
          <w:rFonts w:ascii="Verdana" w:eastAsia="Avenir Next LT Pro" w:hAnsi="Verdana" w:cs="Avenir Next LT Pro"/>
          <w:sz w:val="22"/>
          <w:szCs w:val="22"/>
        </w:rPr>
        <w:t>)</w:t>
      </w:r>
      <w:r w:rsidRPr="008C3C56" w:rsidR="12B0F9A8">
        <w:rPr>
          <w:rFonts w:ascii="Verdana" w:eastAsia="Avenir Next LT Pro" w:hAnsi="Verdana" w:cs="Avenir Next LT Pro"/>
          <w:sz w:val="22"/>
          <w:szCs w:val="22"/>
        </w:rPr>
        <w:t>.</w:t>
      </w:r>
      <w:r w:rsidRPr="008C3C56" w:rsidR="6836FADA">
        <w:rPr>
          <w:rFonts w:ascii="Verdana" w:eastAsia="Avenir Next LT Pro" w:hAnsi="Verdana" w:cs="Avenir Next LT Pro"/>
          <w:sz w:val="22"/>
          <w:szCs w:val="22"/>
        </w:rPr>
        <w:t xml:space="preserve"> </w:t>
      </w:r>
      <w:r w:rsidRPr="008C3C56" w:rsidR="7A599E4E">
        <w:rPr>
          <w:rFonts w:ascii="Verdana" w:eastAsia="Avenir Next LT Pro" w:hAnsi="Verdana" w:cs="Avenir Next LT Pro"/>
          <w:sz w:val="22"/>
          <w:szCs w:val="22"/>
        </w:rPr>
        <w:t xml:space="preserve">Ensuring parity of rights between people in NI and IE was a central concern of the BGFA also </w:t>
      </w:r>
      <w:r w:rsidRPr="008C3C56" w:rsidR="65A71E55">
        <w:rPr>
          <w:rFonts w:ascii="Verdana" w:eastAsia="Avenir Next LT Pro" w:hAnsi="Verdana" w:cs="Avenir Next LT Pro"/>
          <w:sz w:val="22"/>
          <w:szCs w:val="22"/>
        </w:rPr>
        <w:t>evident in paragraph 9 of the Rights Safeguards and Equality of Opportunities (RSEO) section of the BGFA (‘T</w:t>
      </w:r>
      <w:r w:rsidRPr="008C3C56" w:rsidR="65A71E55">
        <w:rPr>
          <w:rFonts w:ascii="Verdana" w:eastAsia="Avenir Next LT Pro" w:hAnsi="Verdana" w:cs="Avenir Next LT Pro"/>
          <w:i/>
          <w:iCs/>
          <w:sz w:val="22"/>
          <w:szCs w:val="22"/>
        </w:rPr>
        <w:t>hese proposals will draw on the European Convention on Human Rights and other international legal instruments in the field of human rights and the question of the incorporation of the ECHR will be further examined in this context. The measures brought forward would ensure at least an equivalent level of protection of human rights as will pertain in Northern Ireland</w:t>
      </w:r>
      <w:r w:rsidRPr="008C3C56" w:rsidR="65A71E55">
        <w:rPr>
          <w:rFonts w:ascii="Verdana" w:eastAsia="Avenir Next LT Pro" w:hAnsi="Verdana" w:cs="Avenir Next LT Pro"/>
          <w:sz w:val="22"/>
          <w:szCs w:val="22"/>
        </w:rPr>
        <w:t>.’)</w:t>
      </w:r>
      <w:r w:rsidRPr="008C3C56" w:rsidR="6847D7C0">
        <w:rPr>
          <w:rFonts w:ascii="Verdana" w:eastAsia="Avenir Next LT Pro" w:hAnsi="Verdana" w:cs="Avenir Next LT Pro"/>
          <w:sz w:val="22"/>
          <w:szCs w:val="22"/>
        </w:rPr>
        <w:t>. On the EU side, the EU has long espoused a ‘neighbourhood’ policy that means that when conducting trade agreements with neighbouring countries they seek to ensure parity of rights in key areas such as social,</w:t>
      </w:r>
      <w:r w:rsidRPr="008C3C56" w:rsidR="067BFD0E">
        <w:rPr>
          <w:rFonts w:ascii="Verdana" w:eastAsia="Avenir Next LT Pro" w:hAnsi="Verdana" w:cs="Avenir Next LT Pro"/>
          <w:sz w:val="22"/>
          <w:szCs w:val="22"/>
        </w:rPr>
        <w:t xml:space="preserve"> economic and environmental rights. This </w:t>
      </w:r>
      <w:r w:rsidRPr="008C3C56" w:rsidR="1FB594D8">
        <w:rPr>
          <w:rFonts w:ascii="Verdana" w:eastAsia="Avenir Next LT Pro" w:hAnsi="Verdana" w:cs="Avenir Next LT Pro"/>
          <w:sz w:val="22"/>
          <w:szCs w:val="22"/>
        </w:rPr>
        <w:t>fulfils</w:t>
      </w:r>
      <w:r w:rsidRPr="008C3C56" w:rsidR="067BFD0E">
        <w:rPr>
          <w:rFonts w:ascii="Verdana" w:eastAsia="Avenir Next LT Pro" w:hAnsi="Verdana" w:cs="Avenir Next LT Pro"/>
          <w:sz w:val="22"/>
          <w:szCs w:val="22"/>
        </w:rPr>
        <w:t xml:space="preserve"> several goals. One much vaunted one is the ‘transmission of values’ goal, whereby the EU positions itself as a </w:t>
      </w:r>
      <w:r w:rsidRPr="008C3C56" w:rsidR="56DFC0A5">
        <w:rPr>
          <w:rFonts w:ascii="Verdana" w:eastAsia="Avenir Next LT Pro" w:hAnsi="Verdana" w:cs="Avenir Next LT Pro"/>
          <w:sz w:val="22"/>
          <w:szCs w:val="22"/>
        </w:rPr>
        <w:t xml:space="preserve">global </w:t>
      </w:r>
      <w:r w:rsidRPr="008C3C56" w:rsidR="067BFD0E">
        <w:rPr>
          <w:rFonts w:ascii="Verdana" w:eastAsia="Avenir Next LT Pro" w:hAnsi="Verdana" w:cs="Avenir Next LT Pro"/>
          <w:sz w:val="22"/>
          <w:szCs w:val="22"/>
        </w:rPr>
        <w:t>leader in human</w:t>
      </w:r>
      <w:r w:rsidRPr="008C3C56" w:rsidR="7A9748F5">
        <w:rPr>
          <w:rFonts w:ascii="Verdana" w:eastAsia="Avenir Next LT Pro" w:hAnsi="Verdana" w:cs="Avenir Next LT Pro"/>
          <w:sz w:val="22"/>
          <w:szCs w:val="22"/>
        </w:rPr>
        <w:t xml:space="preserve"> rights and seeks to encourage and incentivise other countries to do the same. Other motives include preventing corporate flight to lower standard </w:t>
      </w:r>
      <w:r w:rsidRPr="008C3C56" w:rsidR="7A9748F5">
        <w:rPr>
          <w:rFonts w:ascii="Verdana" w:eastAsia="Avenir Next LT Pro" w:hAnsi="Verdana" w:cs="Avenir Next LT Pro"/>
          <w:sz w:val="22"/>
          <w:szCs w:val="22"/>
        </w:rPr>
        <w:t>jurisdictions, and</w:t>
      </w:r>
      <w:r w:rsidRPr="008C3C56" w:rsidR="7A9748F5">
        <w:rPr>
          <w:rFonts w:ascii="Verdana" w:eastAsia="Avenir Next LT Pro" w:hAnsi="Verdana" w:cs="Avenir Next LT Pro"/>
          <w:sz w:val="22"/>
          <w:szCs w:val="22"/>
        </w:rPr>
        <w:t xml:space="preserve"> preventing transboundary pollution. This leads to non- regression clauses in many trade agreements on a broad variety of </w:t>
      </w:r>
      <w:r w:rsidRPr="008C3C56" w:rsidR="10933086">
        <w:rPr>
          <w:rFonts w:ascii="Verdana" w:eastAsia="Avenir Next LT Pro" w:hAnsi="Verdana" w:cs="Avenir Next LT Pro"/>
          <w:sz w:val="22"/>
          <w:szCs w:val="22"/>
        </w:rPr>
        <w:t xml:space="preserve">issues </w:t>
      </w:r>
      <w:r w:rsidRPr="008C3C56" w:rsidR="26D826F2">
        <w:rPr>
          <w:rFonts w:ascii="Verdana" w:eastAsia="Avenir Next LT Pro" w:hAnsi="Verdana" w:cs="Avenir Next LT Pro"/>
          <w:sz w:val="22"/>
          <w:szCs w:val="22"/>
        </w:rPr>
        <w:t xml:space="preserve">e.g. </w:t>
      </w:r>
      <w:r w:rsidRPr="008C3C56" w:rsidR="7A9748F5">
        <w:rPr>
          <w:rFonts w:ascii="Verdana" w:eastAsia="Avenir Next LT Pro" w:hAnsi="Verdana" w:cs="Avenir Next LT Pro"/>
          <w:sz w:val="22"/>
          <w:szCs w:val="22"/>
        </w:rPr>
        <w:t>social, environ</w:t>
      </w:r>
      <w:r w:rsidRPr="008C3C56" w:rsidR="3354DDA6">
        <w:rPr>
          <w:rFonts w:ascii="Verdana" w:eastAsia="Avenir Next LT Pro" w:hAnsi="Verdana" w:cs="Avenir Next LT Pro"/>
          <w:sz w:val="22"/>
          <w:szCs w:val="22"/>
        </w:rPr>
        <w:t xml:space="preserve">mental, employment </w:t>
      </w:r>
      <w:r w:rsidRPr="008C3C56" w:rsidR="110583C1">
        <w:rPr>
          <w:rFonts w:ascii="Verdana" w:eastAsia="Avenir Next LT Pro" w:hAnsi="Verdana" w:cs="Avenir Next LT Pro"/>
          <w:sz w:val="22"/>
          <w:szCs w:val="22"/>
        </w:rPr>
        <w:t>and climate standards</w:t>
      </w:r>
      <w:r w:rsidRPr="008C3C56" w:rsidR="70C652CD">
        <w:rPr>
          <w:rFonts w:ascii="Verdana" w:eastAsia="Avenir Next LT Pro" w:hAnsi="Verdana" w:cs="Avenir Next LT Pro"/>
          <w:sz w:val="22"/>
          <w:szCs w:val="22"/>
        </w:rPr>
        <w:t xml:space="preserve"> (e.g. see Amaral Júnior &amp; Martins Martes, 2021)</w:t>
      </w:r>
      <w:r w:rsidRPr="008C3C56" w:rsidR="110583C1">
        <w:rPr>
          <w:rFonts w:ascii="Verdana" w:eastAsia="Avenir Next LT Pro" w:hAnsi="Verdana" w:cs="Avenir Next LT Pro"/>
          <w:sz w:val="22"/>
          <w:szCs w:val="22"/>
        </w:rPr>
        <w:t>.</w:t>
      </w:r>
    </w:p>
    <w:p w:rsidR="006A004D" w:rsidRPr="008C3C56" w:rsidP="00FF6946">
      <w:pPr>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The Belfast/Good Friday Agreement (BGFA) is fundamental to Article 2. The scope of Article 2(1)’s guarantee of no diminution is determined via reference to the RSEO section of the BGFA – not simply one paragraph or list within it, but the whole of that section. Further, via principles of Treaty interpretation, Article 2 WF needs to be read </w:t>
      </w:r>
      <w:r w:rsidRPr="008C3C56">
        <w:rPr>
          <w:rFonts w:ascii="Verdana" w:eastAsia="Avenir Next LT Pro" w:hAnsi="Verdana" w:cs="Avenir Next LT Pro"/>
          <w:sz w:val="22"/>
          <w:szCs w:val="22"/>
        </w:rPr>
        <w:t>in light of</w:t>
      </w:r>
      <w:r w:rsidRPr="008C3C56">
        <w:rPr>
          <w:rFonts w:ascii="Verdana" w:eastAsia="Avenir Next LT Pro" w:hAnsi="Verdana" w:cs="Avenir Next LT Pro"/>
          <w:sz w:val="22"/>
          <w:szCs w:val="22"/>
        </w:rPr>
        <w:t xml:space="preserve"> the rest of the WF and </w:t>
      </w:r>
      <w:r w:rsidRPr="008C3C56">
        <w:rPr>
          <w:rFonts w:ascii="Verdana" w:eastAsia="Avenir Next LT Pro" w:hAnsi="Verdana" w:cs="Avenir Next LT Pro"/>
          <w:sz w:val="22"/>
          <w:szCs w:val="22"/>
        </w:rPr>
        <w:t>in particular the</w:t>
      </w:r>
      <w:r w:rsidRPr="008C3C56">
        <w:rPr>
          <w:rFonts w:ascii="Verdana" w:eastAsia="Avenir Next LT Pro" w:hAnsi="Verdana" w:cs="Avenir Next LT Pro"/>
          <w:sz w:val="22"/>
          <w:szCs w:val="22"/>
        </w:rPr>
        <w:t xml:space="preserve"> purposes of the WF, as reflected in Article 1 WF and its own Preamble. </w:t>
      </w:r>
      <w:r w:rsidRPr="008C3C56" w:rsidR="0332060F">
        <w:rPr>
          <w:rFonts w:ascii="Verdana" w:eastAsia="Avenir Next LT Pro" w:hAnsi="Verdana" w:cs="Avenir Next LT Pro"/>
          <w:sz w:val="22"/>
          <w:szCs w:val="22"/>
        </w:rPr>
        <w:t xml:space="preserve">As noted, </w:t>
      </w:r>
      <w:r w:rsidRPr="008C3C56">
        <w:rPr>
          <w:rFonts w:ascii="Verdana" w:eastAsia="Avenir Next LT Pro" w:hAnsi="Verdana" w:cs="Avenir Next LT Pro"/>
          <w:sz w:val="22"/>
          <w:szCs w:val="22"/>
        </w:rPr>
        <w:t xml:space="preserve">Article 1 includes protecting the BGFA ‘in all its dimensions’.  Further provisions and points can be highlighted with respect to the BGFA and Article 2 WF, but in brief it is that a purposive, wide interpretation of the RSEO should be taken when determining the scope and applicability of Article 2 WF (as argued in our </w:t>
      </w:r>
      <w:r>
        <w:fldChar w:fldCharType="begin"/>
      </w:r>
      <w:r>
        <w:instrText xml:space="preserve"> HYPERLINK "https://nihrc.org/publication/detail/research-the-environment-human-rights-and-the-windsor-framework" </w:instrText>
      </w:r>
      <w:r>
        <w:fldChar w:fldCharType="separate"/>
      </w:r>
      <w:r w:rsidRPr="008C3C56">
        <w:rPr>
          <w:rStyle w:val="Hyperlink"/>
          <w:rFonts w:ascii="Verdana" w:eastAsia="Avenir Next LT Pro" w:hAnsi="Verdana" w:cs="Avenir Next LT Pro"/>
          <w:sz w:val="22"/>
          <w:szCs w:val="22"/>
        </w:rPr>
        <w:t>co-authored report for the NIHRC</w:t>
      </w:r>
      <w:r>
        <w:fldChar w:fldCharType="end"/>
      </w:r>
      <w:r w:rsidRPr="008C3C56">
        <w:rPr>
          <w:rFonts w:ascii="Verdana" w:eastAsia="Avenir Next LT Pro" w:hAnsi="Verdana" w:cs="Avenir Next LT Pro"/>
          <w:sz w:val="22"/>
          <w:szCs w:val="22"/>
        </w:rPr>
        <w:t xml:space="preserve"> and reflected in the NI’s High Court’s approach in </w:t>
      </w:r>
      <w:r w:rsidRPr="008C3C56">
        <w:rPr>
          <w:rFonts w:ascii="Verdana" w:eastAsia="Avenir Next LT Pro" w:hAnsi="Verdana" w:cs="Avenir Next LT Pro"/>
          <w:i/>
          <w:iCs/>
          <w:sz w:val="22"/>
          <w:szCs w:val="22"/>
        </w:rPr>
        <w:t>Dillon</w:t>
      </w:r>
      <w:r w:rsidRPr="008C3C56">
        <w:rPr>
          <w:rFonts w:ascii="Verdana" w:eastAsia="Avenir Next LT Pro" w:hAnsi="Verdana" w:cs="Avenir Next LT Pro"/>
          <w:sz w:val="22"/>
          <w:szCs w:val="22"/>
        </w:rPr>
        <w:t xml:space="preserve">). </w:t>
      </w:r>
    </w:p>
    <w:p w:rsidR="003D60CA" w:rsidRPr="008C3C56" w:rsidP="00FF6946">
      <w:pPr>
        <w:rPr>
          <w:rFonts w:ascii="Verdana" w:eastAsia="Avenir Next LT Pro" w:hAnsi="Verdana" w:cs="Avenir Next LT Pro"/>
          <w:sz w:val="22"/>
          <w:szCs w:val="22"/>
        </w:rPr>
      </w:pPr>
    </w:p>
    <w:p w:rsidR="003D60CA" w:rsidRPr="008C3C56" w:rsidP="00FF6946">
      <w:pPr>
        <w:pStyle w:val="NormalWeb"/>
        <w:spacing w:before="0" w:beforeAutospacing="0" w:after="270" w:afterAutospacing="0"/>
        <w:rPr>
          <w:rFonts w:ascii="Verdana" w:eastAsia="Avenir Next LT Pro" w:hAnsi="Verdana" w:cs="Avenir Next LT Pro"/>
          <w:i/>
          <w:iCs/>
          <w:sz w:val="22"/>
          <w:szCs w:val="22"/>
        </w:rPr>
      </w:pPr>
      <w:r w:rsidRPr="008C3C56">
        <w:rPr>
          <w:rFonts w:ascii="Verdana" w:eastAsia="Avenir Next LT Pro" w:hAnsi="Verdana" w:cs="Avenir Next LT Pro"/>
          <w:i/>
          <w:iCs/>
          <w:sz w:val="22"/>
          <w:szCs w:val="22"/>
        </w:rPr>
        <w:t>2. Prior to Brexit, how were the rights, safeguards, and equality of opportunity (RSEO) provisions of the Belfast/ Good Friday Agreement protected?</w:t>
      </w: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The RSEO section is quite extensive, as the Committee will be aware. It has an initial, non-exhaustive list, followed by paragraphs addressing a range of rights (or groups or sources of rights, including the ECHR) </w:t>
      </w:r>
      <w:r w:rsidRPr="008C3C56">
        <w:rPr>
          <w:rFonts w:ascii="Verdana" w:eastAsia="Avenir Next LT Pro" w:hAnsi="Verdana" w:cs="Avenir Next LT Pro"/>
          <w:sz w:val="22"/>
          <w:szCs w:val="22"/>
        </w:rPr>
        <w:t>and also</w:t>
      </w:r>
      <w:r w:rsidRPr="008C3C56">
        <w:rPr>
          <w:rFonts w:ascii="Verdana" w:eastAsia="Avenir Next LT Pro" w:hAnsi="Verdana" w:cs="Avenir Next LT Pro"/>
          <w:sz w:val="22"/>
          <w:szCs w:val="22"/>
        </w:rPr>
        <w:t xml:space="preserve"> safeguards. It is essential to highlight here that the RSEO section expressly refers to ‘safeguards’ </w:t>
      </w:r>
      <w:r w:rsidRPr="008C3C56">
        <w:rPr>
          <w:rFonts w:ascii="Verdana" w:eastAsia="Avenir Next LT Pro" w:hAnsi="Verdana" w:cs="Avenir Next LT Pro"/>
          <w:sz w:val="22"/>
          <w:szCs w:val="22"/>
        </w:rPr>
        <w:t xml:space="preserve">as something distinct from rights. Safeguards contribute to the delivery of rights (and can help inform the interpretation of rights within the RSEO, but that linkage does not need to be </w:t>
      </w:r>
      <w:r w:rsidRPr="008C3C56">
        <w:rPr>
          <w:rFonts w:ascii="Verdana" w:eastAsia="Avenir Next LT Pro" w:hAnsi="Verdana" w:cs="Avenir Next LT Pro"/>
          <w:sz w:val="22"/>
          <w:szCs w:val="22"/>
        </w:rPr>
        <w:t>established</w:t>
      </w:r>
      <w:r w:rsidRPr="008C3C56">
        <w:rPr>
          <w:rFonts w:ascii="Verdana" w:eastAsia="Avenir Next LT Pro" w:hAnsi="Verdana" w:cs="Avenir Next LT Pro"/>
          <w:sz w:val="22"/>
          <w:szCs w:val="22"/>
        </w:rPr>
        <w:t xml:space="preserve"> and it is sufficient to identify relevant safeguards.</w:t>
      </w:r>
    </w:p>
    <w:p w:rsidR="53281008" w:rsidRPr="008C3C56" w:rsidP="00FF6946">
      <w:pPr>
        <w:pStyle w:val="ListParagraph"/>
        <w:ind w:left="0"/>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With respect to environmental safeguards, the RSEO section refers to ‘protecting and enhancing the environment’ in the context of a new regional development strategy to be developed by the UK Government for Northern Ireland, including ‘developing the advantages and resources of rural </w:t>
      </w:r>
      <w:r w:rsidRPr="008C3C56">
        <w:rPr>
          <w:rFonts w:ascii="Verdana" w:eastAsia="Avenir Next LT Pro" w:hAnsi="Verdana" w:cs="Avenir Next LT Pro"/>
          <w:sz w:val="22"/>
          <w:szCs w:val="22"/>
        </w:rPr>
        <w:t>areas’</w:t>
      </w:r>
      <w:r w:rsidRPr="008C3C56">
        <w:rPr>
          <w:rFonts w:ascii="Verdana" w:eastAsia="Avenir Next LT Pro" w:hAnsi="Verdana" w:cs="Avenir Next LT Pro"/>
          <w:sz w:val="22"/>
          <w:szCs w:val="22"/>
        </w:rPr>
        <w:t>. While not part of the RSEO section, it is worth noting that the environment is a key component within the BGFA more generally, including within the Strand 2 areas of cooperation – which is a factor for interpreting the RSEO section.</w:t>
      </w:r>
    </w:p>
    <w:p w:rsidR="53281008" w:rsidRPr="008C3C56" w:rsidP="00FF6946">
      <w:pPr>
        <w:pStyle w:val="ListParagraph"/>
        <w:ind w:left="0"/>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The RSEO provisions were protected via a wide range of complementary mechanisms, including the Human Rights Act</w:t>
      </w:r>
      <w:r w:rsidRPr="008C3C56" w:rsidR="36FD1D91">
        <w:rPr>
          <w:rFonts w:ascii="Verdana" w:eastAsia="Avenir Next LT Pro" w:hAnsi="Verdana" w:cs="Avenir Next LT Pro"/>
          <w:sz w:val="22"/>
          <w:szCs w:val="22"/>
        </w:rPr>
        <w:t xml:space="preserve"> 1998</w:t>
      </w:r>
      <w:r w:rsidRPr="008C3C56">
        <w:rPr>
          <w:rFonts w:ascii="Verdana" w:eastAsia="Avenir Next LT Pro" w:hAnsi="Verdana" w:cs="Avenir Next LT Pro"/>
          <w:sz w:val="22"/>
          <w:szCs w:val="22"/>
        </w:rPr>
        <w:t xml:space="preserve">, EU secondary law both independently and in conjunction with the EU’s Charter of Fundamental Rights, the ECHR, </w:t>
      </w:r>
      <w:r w:rsidRPr="008C3C56" w:rsidR="641D74D7">
        <w:rPr>
          <w:rFonts w:ascii="Verdana" w:eastAsia="Avenir Next LT Pro" w:hAnsi="Verdana" w:cs="Avenir Next LT Pro"/>
          <w:sz w:val="22"/>
          <w:szCs w:val="22"/>
        </w:rPr>
        <w:t xml:space="preserve">UK and NI Constitutional law which recognises and protects a range of fundamental rights, </w:t>
      </w:r>
      <w:r w:rsidRPr="008C3C56">
        <w:rPr>
          <w:rFonts w:ascii="Verdana" w:eastAsia="Avenir Next LT Pro" w:hAnsi="Verdana" w:cs="Avenir Next LT Pro"/>
          <w:sz w:val="22"/>
          <w:szCs w:val="22"/>
        </w:rPr>
        <w:t xml:space="preserve">domestic measures etc. </w:t>
      </w:r>
    </w:p>
    <w:p w:rsidR="53281008" w:rsidRPr="008C3C56" w:rsidP="00FF6946">
      <w:pPr>
        <w:pStyle w:val="ListParagraph"/>
        <w:ind w:left="0"/>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In environmental matters, this includes: ‘greened rights’ such as the right to life or privacy that are utilised in environmental contexts (e.g. pollution can endanger the right to life); Aarhus rights (procedural rights regarding access to information, participation in decision-making and justice in environmental matters, derived from the Aarhus Convention) within EU legislation; and EU environmental laws broadly (e.g. those impacting directly on clean air, clean drinking water and food production, but also those impacting more indirectly through impacting on the ecosystem). </w:t>
      </w:r>
    </w:p>
    <w:p w:rsidR="53281008" w:rsidRPr="008C3C56" w:rsidP="00FF6946">
      <w:pPr>
        <w:pStyle w:val="ListParagraph"/>
        <w:ind w:left="0"/>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Furthermore, </w:t>
      </w:r>
      <w:r w:rsidRPr="008C3C56">
        <w:rPr>
          <w:rFonts w:ascii="Verdana" w:eastAsia="Avenir Next LT Pro" w:hAnsi="Verdana" w:cs="Avenir Next LT Pro"/>
          <w:b/>
          <w:bCs/>
          <w:sz w:val="22"/>
          <w:szCs w:val="22"/>
          <w:u w:val="single"/>
        </w:rPr>
        <w:t xml:space="preserve">all </w:t>
      </w:r>
      <w:r w:rsidRPr="008C3C56">
        <w:rPr>
          <w:rFonts w:ascii="Verdana" w:eastAsia="Avenir Next LT Pro" w:hAnsi="Verdana" w:cs="Avenir Next LT Pro"/>
          <w:sz w:val="22"/>
          <w:szCs w:val="22"/>
        </w:rPr>
        <w:t>EU and domestic environmental and related laws that help protect or enhance the environment, including through developing the resources or advantages of rural areas, or support these environmental measures, thereby help protect safeguards within the RSEO section. This includes laws on waste, water, nature, air, noise, environmental impact assessments etc. Non-binding measures also helped deliver and protect the RSEO, e.g. through funding schemes or soft law measures informing legislation.</w:t>
      </w:r>
    </w:p>
    <w:p w:rsidR="53281008" w:rsidRPr="008C3C56" w:rsidP="00FF6946">
      <w:pPr>
        <w:pStyle w:val="ListParagraph"/>
        <w:ind w:left="0"/>
        <w:rPr>
          <w:rFonts w:ascii="Verdana" w:eastAsia="Avenir Next LT Pro" w:hAnsi="Verdana" w:cs="Avenir Next LT Pro"/>
          <w:sz w:val="22"/>
          <w:szCs w:val="22"/>
        </w:rPr>
      </w:pPr>
    </w:p>
    <w:p w:rsidR="00740316"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In the context of environmental safeguards and rights, EU environmental law and governance measures were fundamental in delivering environmental protections in NI pre-Brexit.</w:t>
      </w:r>
    </w:p>
    <w:p w:rsidR="53281008" w:rsidRPr="008C3C56" w:rsidP="00FF6946">
      <w:pPr>
        <w:pStyle w:val="ListParagraph"/>
        <w:ind w:left="0"/>
        <w:rPr>
          <w:rFonts w:ascii="Verdana" w:eastAsia="Avenir Next LT Pro" w:hAnsi="Verdana" w:cs="Avenir Next LT Pro"/>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Some of </w:t>
      </w:r>
      <w:r w:rsidRPr="008C3C56">
        <w:rPr>
          <w:rFonts w:ascii="Verdana" w:eastAsia="Avenir Next LT Pro" w:hAnsi="Verdana" w:cs="Avenir Next LT Pro"/>
          <w:sz w:val="22"/>
          <w:szCs w:val="22"/>
        </w:rPr>
        <w:t>these measures/protection</w:t>
      </w:r>
      <w:r w:rsidRPr="008C3C56">
        <w:rPr>
          <w:rFonts w:ascii="Verdana" w:eastAsia="Avenir Next LT Pro" w:hAnsi="Verdana" w:cs="Avenir Next LT Pro"/>
          <w:sz w:val="22"/>
          <w:szCs w:val="22"/>
        </w:rPr>
        <w:t xml:space="preserve"> overlap, but a removal or decrease in protection in any of these can impact negatively on the enjoyment of RSEOs in NI. </w:t>
      </w:r>
    </w:p>
    <w:p w:rsidR="003D60CA" w:rsidRPr="008C3C56" w:rsidP="00FF6946">
      <w:pPr>
        <w:pStyle w:val="NormalWeb"/>
        <w:spacing w:before="0" w:beforeAutospacing="0" w:after="270" w:afterAutospacing="0"/>
        <w:rPr>
          <w:rFonts w:ascii="Verdana" w:eastAsia="Avenir Next LT Pro" w:hAnsi="Verdana" w:cs="Avenir Next LT Pro"/>
          <w:color w:val="4D4D4D"/>
          <w:sz w:val="22"/>
          <w:szCs w:val="22"/>
        </w:rPr>
      </w:pPr>
    </w:p>
    <w:p w:rsidR="003D60CA" w:rsidRPr="008C3C56" w:rsidP="00FF6946">
      <w:pPr>
        <w:pStyle w:val="ListParagraph"/>
        <w:ind w:left="0"/>
        <w:rPr>
          <w:rFonts w:ascii="Verdana" w:eastAsia="Avenir Next LT Pro" w:hAnsi="Verdana" w:cs="Avenir Next LT Pro"/>
          <w:sz w:val="22"/>
          <w:szCs w:val="22"/>
        </w:rPr>
      </w:pPr>
      <w:r w:rsidRPr="008C3C56">
        <w:rPr>
          <w:rFonts w:ascii="Verdana" w:eastAsia="Avenir Next LT Pro" w:hAnsi="Verdana" w:cs="Avenir Next LT Pro"/>
          <w:i/>
          <w:iCs/>
          <w:sz w:val="22"/>
          <w:szCs w:val="22"/>
        </w:rPr>
        <w:t>3. What is your view as to the inclusion of Article 2 WF in the Protocol/ Windsor Framework?</w:t>
      </w:r>
    </w:p>
    <w:p w:rsidR="53281008" w:rsidRPr="008C3C56" w:rsidP="00FF6946">
      <w:pPr>
        <w:pStyle w:val="ListParagraph"/>
        <w:spacing w:line="259" w:lineRule="auto"/>
        <w:ind w:left="0" w:hanging="360"/>
        <w:rPr>
          <w:rFonts w:ascii="Verdana" w:eastAsia="Avenir Next LT Pro" w:hAnsi="Verdana" w:cs="Avenir Next LT Pro"/>
          <w:sz w:val="22"/>
          <w:szCs w:val="22"/>
        </w:rPr>
      </w:pPr>
    </w:p>
    <w:p w:rsidR="003D60CA" w:rsidRPr="008C3C56" w:rsidP="00FF6946">
      <w:pPr>
        <w:pStyle w:val="ListParagraph"/>
        <w:numPr>
          <w:ilvl w:val="0"/>
          <w:numId w:val="5"/>
        </w:numPr>
        <w:spacing w:line="259" w:lineRule="auto"/>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It is very beneficial to have it included. There is considerable risk of backtracking of human rights and safeguards more generally, including in the environmental context.  Article 2 is essential in helping guard against this backtracking. </w:t>
      </w:r>
      <w:r w:rsidRPr="008C3C56" w:rsidR="718E30BD">
        <w:rPr>
          <w:rFonts w:ascii="Verdana" w:eastAsia="Avenir Next LT Pro" w:hAnsi="Verdana" w:cs="Avenir Next LT Pro"/>
          <w:sz w:val="22"/>
          <w:szCs w:val="22"/>
        </w:rPr>
        <w:t xml:space="preserve">This </w:t>
      </w:r>
      <w:r w:rsidRPr="008C3C56" w:rsidR="718E30BD">
        <w:rPr>
          <w:rFonts w:ascii="Verdana" w:eastAsia="Avenir Next LT Pro" w:hAnsi="Verdana" w:cs="Avenir Next LT Pro"/>
          <w:sz w:val="22"/>
          <w:szCs w:val="22"/>
        </w:rPr>
        <w:t xml:space="preserve">was evident through the series of cases litigating Article 2 relevant issues through the NI Courts e.g. </w:t>
      </w:r>
      <w:r>
        <w:fldChar w:fldCharType="begin"/>
      </w:r>
      <w:r>
        <w:instrText xml:space="preserve"> HYPERLINK "https://www.judiciaryni.uk/files/judiciaryni/decisions/%5B2023%5D%20NICA%2035Final%20-%20Approved.pdf" </w:instrText>
      </w:r>
      <w:r>
        <w:fldChar w:fldCharType="separate"/>
      </w:r>
      <w:r w:rsidRPr="008C3C56" w:rsidR="718E30BD">
        <w:rPr>
          <w:rStyle w:val="Hyperlink"/>
          <w:rFonts w:ascii="Verdana" w:hAnsi="Verdana"/>
          <w:sz w:val="22"/>
          <w:szCs w:val="22"/>
        </w:rPr>
        <w:t>SPUC</w:t>
      </w:r>
      <w:r w:rsidRPr="008C3C56" w:rsidR="5474CF47">
        <w:rPr>
          <w:rStyle w:val="Hyperlink"/>
          <w:rFonts w:ascii="Verdana" w:hAnsi="Verdana"/>
          <w:sz w:val="22"/>
          <w:szCs w:val="22"/>
        </w:rPr>
        <w:t xml:space="preserve"> (2023 NICA 35)</w:t>
      </w:r>
      <w:r>
        <w:fldChar w:fldCharType="end"/>
      </w:r>
      <w:r w:rsidRPr="008C3C56" w:rsidR="718E30BD">
        <w:rPr>
          <w:rFonts w:ascii="Verdana" w:eastAsia="Avenir Next LT Pro" w:hAnsi="Verdana" w:cs="Avenir Next LT Pro"/>
          <w:sz w:val="22"/>
          <w:szCs w:val="22"/>
        </w:rPr>
        <w:t xml:space="preserve">, the NICA </w:t>
      </w:r>
      <w:r w:rsidRPr="008C3C56" w:rsidR="1FBF3C85">
        <w:rPr>
          <w:rFonts w:ascii="Verdana" w:eastAsia="Avenir Next LT Pro" w:hAnsi="Verdana" w:cs="Avenir Next LT Pro"/>
          <w:sz w:val="22"/>
          <w:szCs w:val="22"/>
        </w:rPr>
        <w:t xml:space="preserve">judgment </w:t>
      </w:r>
      <w:r w:rsidRPr="008C3C56" w:rsidR="718E30BD">
        <w:rPr>
          <w:rFonts w:ascii="Verdana" w:eastAsia="Avenir Next LT Pro" w:hAnsi="Verdana" w:cs="Avenir Next LT Pro"/>
          <w:sz w:val="22"/>
          <w:szCs w:val="22"/>
        </w:rPr>
        <w:t>in</w:t>
      </w:r>
      <w:r w:rsidRPr="008C3C56" w:rsidR="4700708E">
        <w:rPr>
          <w:rFonts w:ascii="Verdana" w:eastAsia="Avenir Next LT Pro" w:hAnsi="Verdana" w:cs="Avenir Next LT Pro"/>
          <w:sz w:val="22"/>
          <w:szCs w:val="22"/>
        </w:rPr>
        <w:t xml:space="preserve"> </w:t>
      </w:r>
      <w:r>
        <w:fldChar w:fldCharType="begin"/>
      </w:r>
      <w:r>
        <w:instrText xml:space="preserve"> HYPERLINK "https://www.judiciaryni.uk/judicial-decisions/2024-nica-59" </w:instrText>
      </w:r>
      <w:r>
        <w:fldChar w:fldCharType="separate"/>
      </w:r>
      <w:r w:rsidRPr="008C3C56" w:rsidR="718E30BD">
        <w:rPr>
          <w:rStyle w:val="Hyperlink"/>
          <w:rFonts w:ascii="Verdana" w:hAnsi="Verdana"/>
          <w:sz w:val="22"/>
          <w:szCs w:val="22"/>
        </w:rPr>
        <w:t>Dillon</w:t>
      </w:r>
      <w:r w:rsidRPr="008C3C56" w:rsidR="57D2CAAA">
        <w:rPr>
          <w:rStyle w:val="Hyperlink"/>
          <w:rFonts w:ascii="Verdana" w:hAnsi="Verdana"/>
          <w:sz w:val="22"/>
          <w:szCs w:val="22"/>
        </w:rPr>
        <w:t>.</w:t>
      </w:r>
      <w:r>
        <w:fldChar w:fldCharType="end"/>
      </w:r>
      <w:r w:rsidRPr="008C3C56" w:rsidR="1E209E16">
        <w:rPr>
          <w:rFonts w:ascii="Verdana" w:eastAsia="Avenir Next LT Pro" w:hAnsi="Verdana" w:cs="Avenir Next LT Pro"/>
          <w:sz w:val="22"/>
          <w:szCs w:val="22"/>
        </w:rPr>
        <w:t>However</w:t>
      </w:r>
      <w:r w:rsidRPr="008C3C56" w:rsidR="1E209E16">
        <w:rPr>
          <w:rFonts w:ascii="Verdana" w:eastAsia="Avenir Next LT Pro" w:hAnsi="Verdana" w:cs="Avenir Next LT Pro"/>
          <w:sz w:val="22"/>
          <w:szCs w:val="22"/>
        </w:rPr>
        <w:t xml:space="preserve">, </w:t>
      </w:r>
      <w:r w:rsidRPr="008C3C56">
        <w:rPr>
          <w:rFonts w:ascii="Verdana" w:eastAsia="Avenir Next LT Pro" w:hAnsi="Verdana" w:cs="Avenir Next LT Pro"/>
          <w:sz w:val="22"/>
          <w:szCs w:val="22"/>
        </w:rPr>
        <w:t xml:space="preserve">of the </w:t>
      </w:r>
      <w:r>
        <w:fldChar w:fldCharType="begin"/>
      </w:r>
      <w:r>
        <w:instrText xml:space="preserve"> HYPERLINK "https://supremecourt.uk/cases/judgments/uksc-2025-0013" </w:instrText>
      </w:r>
      <w:r>
        <w:fldChar w:fldCharType="separate"/>
      </w:r>
      <w:r w:rsidRPr="008C3C56">
        <w:rPr>
          <w:rStyle w:val="Hyperlink"/>
          <w:rFonts w:ascii="Verdana" w:hAnsi="Verdana"/>
          <w:i/>
          <w:iCs/>
          <w:sz w:val="22"/>
          <w:szCs w:val="22"/>
        </w:rPr>
        <w:t xml:space="preserve">Dillon </w:t>
      </w:r>
      <w:r w:rsidRPr="008C3C56">
        <w:rPr>
          <w:rStyle w:val="Hyperlink"/>
          <w:rFonts w:ascii="Verdana" w:hAnsi="Verdana"/>
          <w:sz w:val="22"/>
          <w:szCs w:val="22"/>
        </w:rPr>
        <w:t>judgment</w:t>
      </w:r>
      <w:r w:rsidRPr="008C3C56" w:rsidR="5D509188">
        <w:rPr>
          <w:rStyle w:val="Hyperlink"/>
          <w:rFonts w:ascii="Verdana" w:hAnsi="Verdana"/>
          <w:sz w:val="22"/>
          <w:szCs w:val="22"/>
        </w:rPr>
        <w:t xml:space="preserve"> of the UK Supreme Court</w:t>
      </w:r>
      <w:r>
        <w:fldChar w:fldCharType="end"/>
      </w:r>
      <w:r w:rsidRPr="008C3C56" w:rsidR="5D509188">
        <w:rPr>
          <w:rFonts w:ascii="Verdana" w:eastAsia="Avenir Next LT Pro" w:hAnsi="Verdana" w:cs="Avenir Next LT Pro"/>
          <w:sz w:val="22"/>
          <w:szCs w:val="22"/>
        </w:rPr>
        <w:t xml:space="preserve"> handed down on the 7</w:t>
      </w:r>
      <w:r w:rsidRPr="008C3C56" w:rsidR="5D509188">
        <w:rPr>
          <w:rFonts w:ascii="Verdana" w:eastAsia="Avenir Next LT Pro" w:hAnsi="Verdana" w:cs="Avenir Next LT Pro"/>
          <w:sz w:val="22"/>
          <w:szCs w:val="22"/>
          <w:vertAlign w:val="superscript"/>
        </w:rPr>
        <w:t>th</w:t>
      </w:r>
      <w:r w:rsidRPr="008C3C56" w:rsidR="5D509188">
        <w:rPr>
          <w:rFonts w:ascii="Verdana" w:eastAsia="Avenir Next LT Pro" w:hAnsi="Verdana" w:cs="Avenir Next LT Pro"/>
          <w:sz w:val="22"/>
          <w:szCs w:val="22"/>
        </w:rPr>
        <w:t xml:space="preserve"> May</w:t>
      </w:r>
      <w:r w:rsidRPr="008C3C56" w:rsidR="76A03519">
        <w:rPr>
          <w:rFonts w:ascii="Verdana" w:eastAsia="Avenir Next LT Pro" w:hAnsi="Verdana" w:cs="Avenir Next LT Pro"/>
          <w:sz w:val="22"/>
          <w:szCs w:val="22"/>
        </w:rPr>
        <w:t xml:space="preserve"> 2026 represents a detour from this developing line of case law, and one which undermines the protection of ECHR rights</w:t>
      </w:r>
      <w:r w:rsidRPr="008C3C56" w:rsidR="468A648F">
        <w:rPr>
          <w:rFonts w:ascii="Verdana" w:eastAsia="Avenir Next LT Pro" w:hAnsi="Verdana" w:cs="Avenir Next LT Pro"/>
          <w:sz w:val="22"/>
          <w:szCs w:val="22"/>
        </w:rPr>
        <w:t>, Article 2 WF</w:t>
      </w:r>
      <w:r w:rsidRPr="008C3C56" w:rsidR="76A03519">
        <w:rPr>
          <w:rFonts w:ascii="Verdana" w:eastAsia="Avenir Next LT Pro" w:hAnsi="Verdana" w:cs="Avenir Next LT Pro"/>
          <w:sz w:val="22"/>
          <w:szCs w:val="22"/>
        </w:rPr>
        <w:t xml:space="preserve"> and the rights guaranteed by the BGFA to date.</w:t>
      </w:r>
      <w:r w:rsidRPr="008C3C56" w:rsidR="42C5EC82">
        <w:rPr>
          <w:rFonts w:ascii="Verdana" w:eastAsia="Avenir Next LT Pro" w:hAnsi="Verdana" w:cs="Avenir Next LT Pro"/>
          <w:sz w:val="22"/>
          <w:szCs w:val="22"/>
        </w:rPr>
        <w:t xml:space="preserve"> Perhaps</w:t>
      </w:r>
      <w:r w:rsidRPr="008C3C56">
        <w:rPr>
          <w:rFonts w:ascii="Verdana" w:eastAsia="Avenir Next LT Pro" w:hAnsi="Verdana" w:cs="Avenir Next LT Pro"/>
          <w:sz w:val="22"/>
          <w:szCs w:val="22"/>
        </w:rPr>
        <w:t xml:space="preserve"> greater clarity and specificity might be advantageous in actions before the courts.</w:t>
      </w:r>
    </w:p>
    <w:p w:rsidR="003D60CA" w:rsidRPr="008C3C56" w:rsidP="00FF6946">
      <w:pPr>
        <w:pStyle w:val="NormalWeb"/>
        <w:spacing w:before="0" w:beforeAutospacing="0" w:after="270" w:afterAutospacing="0"/>
        <w:rPr>
          <w:rFonts w:ascii="Verdana" w:eastAsia="Avenir Next LT Pro" w:hAnsi="Verdana" w:cs="Avenir Next LT Pro"/>
          <w:color w:val="4D4D4D"/>
          <w:sz w:val="22"/>
          <w:szCs w:val="22"/>
        </w:rPr>
      </w:pPr>
    </w:p>
    <w:p w:rsidR="003D60CA" w:rsidRPr="008C3C56" w:rsidP="00FF6946">
      <w:pPr>
        <w:pStyle w:val="NormalWeb"/>
        <w:spacing w:before="0" w:beforeAutospacing="0" w:after="270" w:afterAutospacing="0"/>
        <w:rPr>
          <w:rFonts w:ascii="Verdana" w:hAnsi="Verdana"/>
          <w:sz w:val="22"/>
          <w:szCs w:val="22"/>
        </w:rPr>
      </w:pPr>
      <w:r w:rsidRPr="008C3C56">
        <w:rPr>
          <w:rFonts w:ascii="Verdana" w:eastAsia="Avenir Next LT Pro" w:hAnsi="Verdana" w:cs="Avenir Next LT Pro"/>
          <w:i/>
          <w:iCs/>
          <w:sz w:val="22"/>
          <w:szCs w:val="22"/>
        </w:rPr>
        <w:t>4. What obligation is imposed on the UK Government by Article 2 WF? What is the significance of this obligation for Northern Ireland, and for the UK Government?</w:t>
      </w:r>
    </w:p>
    <w:p w:rsidR="53281008" w:rsidRPr="008C3C56" w:rsidP="00FF6946">
      <w:pPr>
        <w:pStyle w:val="NormalWeb"/>
        <w:spacing w:before="0" w:beforeAutospacing="0" w:after="270" w:afterAutospacing="0"/>
        <w:rPr>
          <w:rFonts w:ascii="Verdana" w:eastAsia="Avenir Next LT Pro" w:hAnsi="Verdana" w:cs="Avenir Next LT Pro"/>
          <w:i/>
          <w:iCs/>
          <w:color w:val="4D4D4D"/>
          <w:sz w:val="22"/>
          <w:szCs w:val="22"/>
        </w:rPr>
      </w:pP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Besides the specific obligation regarding the six named EU directives, Article 2(1) imposes an obligation on the UK Government to guarantee that there will be ‘no diminution’ </w:t>
      </w:r>
      <w:r w:rsidRPr="008C3C56">
        <w:rPr>
          <w:rFonts w:ascii="Verdana" w:eastAsia="Avenir Next LT Pro" w:hAnsi="Verdana" w:cs="Avenir Next LT Pro"/>
          <w:sz w:val="22"/>
          <w:szCs w:val="22"/>
        </w:rPr>
        <w:t>as a result of</w:t>
      </w:r>
      <w:r w:rsidRPr="008C3C56">
        <w:rPr>
          <w:rFonts w:ascii="Verdana" w:eastAsia="Avenir Next LT Pro" w:hAnsi="Verdana" w:cs="Avenir Next LT Pro"/>
          <w:sz w:val="22"/>
          <w:szCs w:val="22"/>
        </w:rPr>
        <w:t xml:space="preserve"> Brexit. This means that there can be no decrease in the standard of protection across any of the RSEO identifiable within the RSEO section of the BGFA, relative to the standards of protection that existed at the end of the Brexit implementation period. This includes positive obligations to act if there would otherwise be a reduction and if that reduction would not have been permissible while part of the EU.</w:t>
      </w:r>
    </w:p>
    <w:p w:rsidR="003D60CA" w:rsidRPr="006F2B44" w:rsidP="00FF6946">
      <w:pPr>
        <w:pStyle w:val="NormalWeb"/>
        <w:spacing w:before="0" w:beforeAutospacing="0" w:after="270" w:afterAutospacing="0"/>
        <w:rPr>
          <w:rFonts w:ascii="Verdana" w:eastAsia="Avenir Next LT Pro" w:hAnsi="Verdana" w:cs="Avenir Next LT Pro"/>
          <w:sz w:val="22"/>
          <w:szCs w:val="22"/>
        </w:rPr>
      </w:pPr>
    </w:p>
    <w:p w:rsidR="003D60CA" w:rsidRPr="006F2B44" w:rsidP="00FF6946">
      <w:pPr>
        <w:pStyle w:val="NormalWeb"/>
        <w:spacing w:before="0" w:beforeAutospacing="0" w:after="270" w:afterAutospacing="0"/>
        <w:rPr>
          <w:rStyle w:val="Emphasis"/>
          <w:rFonts w:ascii="Verdana" w:eastAsia="Avenir Next LT Pro" w:hAnsi="Verdana" w:cs="Avenir Next LT Pro"/>
          <w:sz w:val="22"/>
          <w:szCs w:val="22"/>
        </w:rPr>
      </w:pPr>
      <w:r w:rsidRPr="006F2B44">
        <w:rPr>
          <w:rStyle w:val="Emphasis"/>
          <w:rFonts w:ascii="Verdana" w:eastAsia="Avenir Next LT Pro" w:hAnsi="Verdana" w:cs="Avenir Next LT Pro"/>
          <w:sz w:val="22"/>
          <w:szCs w:val="22"/>
        </w:rPr>
        <w:t> Protection of Rights</w:t>
      </w:r>
    </w:p>
    <w:p w:rsidR="003D60CA" w:rsidRPr="008C3C56" w:rsidP="00FF6946">
      <w:pPr>
        <w:pStyle w:val="ListParagraph"/>
        <w:numPr>
          <w:ilvl w:val="0"/>
          <w:numId w:val="5"/>
        </w:numPr>
        <w:ind w:left="0"/>
        <w:rPr>
          <w:rFonts w:ascii="Verdana" w:eastAsia="Avenir Next LT Pro" w:hAnsi="Verdana" w:cs="Avenir Next LT Pro"/>
          <w:sz w:val="22"/>
          <w:szCs w:val="22"/>
        </w:rPr>
      </w:pPr>
      <w:r w:rsidRPr="008C3C56">
        <w:rPr>
          <w:rFonts w:ascii="Verdana" w:eastAsia="Avenir Next LT Pro" w:hAnsi="Verdana" w:cs="Avenir Next LT Pro"/>
          <w:sz w:val="22"/>
          <w:szCs w:val="22"/>
        </w:rPr>
        <w:t xml:space="preserve">For the questions under this heading and subsequently, we would refer to the evidence provided by </w:t>
      </w:r>
      <w:r>
        <w:fldChar w:fldCharType="begin"/>
      </w:r>
      <w:r>
        <w:instrText xml:space="preserve"> HYPERLINK "https://committees.parliament.uk/writtenevidence/167651/pdf/" </w:instrText>
      </w:r>
      <w:r>
        <w:fldChar w:fldCharType="separate"/>
      </w:r>
      <w:r w:rsidRPr="008C3C56">
        <w:rPr>
          <w:rStyle w:val="Hyperlink"/>
          <w:rFonts w:ascii="Verdana" w:eastAsia="Avenir Next LT Pro" w:hAnsi="Verdana" w:cs="Avenir Next LT Pro"/>
          <w:sz w:val="22"/>
          <w:szCs w:val="22"/>
        </w:rPr>
        <w:t>O’Donoghue and Fanning</w:t>
      </w:r>
      <w:r>
        <w:fldChar w:fldCharType="end"/>
      </w:r>
      <w:r w:rsidRPr="008C3C56">
        <w:rPr>
          <w:rFonts w:ascii="Verdana" w:eastAsia="Avenir Next LT Pro" w:hAnsi="Verdana" w:cs="Avenir Next LT Pro"/>
          <w:sz w:val="22"/>
          <w:szCs w:val="22"/>
        </w:rPr>
        <w:t xml:space="preserve">, as well as </w:t>
      </w:r>
      <w:r>
        <w:fldChar w:fldCharType="begin"/>
      </w:r>
      <w:r>
        <w:instrText xml:space="preserve"> HYPERLINK "https://committees.parliament.uk/writtenevidence/167556/pdf/" </w:instrText>
      </w:r>
      <w:r>
        <w:fldChar w:fldCharType="separate"/>
      </w:r>
      <w:r w:rsidRPr="008C3C56">
        <w:rPr>
          <w:rStyle w:val="Hyperlink"/>
          <w:rFonts w:ascii="Verdana" w:eastAsia="Avenir Next LT Pro" w:hAnsi="Verdana" w:cs="Avenir Next LT Pro"/>
          <w:sz w:val="22"/>
          <w:szCs w:val="22"/>
        </w:rPr>
        <w:t>Murray</w:t>
      </w:r>
      <w:r>
        <w:fldChar w:fldCharType="end"/>
      </w:r>
      <w:r w:rsidRPr="008C3C56">
        <w:rPr>
          <w:rFonts w:ascii="Verdana" w:eastAsia="Avenir Next LT Pro" w:hAnsi="Verdana" w:cs="Avenir Next LT Pro"/>
          <w:sz w:val="22"/>
          <w:szCs w:val="22"/>
        </w:rPr>
        <w:t xml:space="preserve"> (who also addresses some related queries). We support entirely the points regarding the need to rely on international principles of treaty interpretation, the significance of ‘no diminution’, the obligation to adequately fund and support the Commissions (and the additional burdens on these Commissions leading to a need for additional funding), the need to interpret ‘everyone in the community’ broadly and not through a sectarian lens, etc. On the last point and its relevance also to the scope of the RSEO section, it is worth noting Prof. McCrudden’s research on the sources influencing the development of the RSEO section of the BGFA and how multiple civil society group helped shape its content. </w:t>
      </w:r>
    </w:p>
    <w:p w:rsidR="003D60CA" w:rsidRPr="008C3C56" w:rsidP="00FF6946">
      <w:pPr>
        <w:pStyle w:val="NormalWeb"/>
        <w:spacing w:before="0" w:beforeAutospacing="0" w:after="270" w:afterAutospacing="0"/>
        <w:rPr>
          <w:rFonts w:ascii="Verdana" w:eastAsia="Avenir Next LT Pro" w:hAnsi="Verdana" w:cs="Avenir Next LT Pro"/>
          <w:color w:val="4D4D4D"/>
          <w:sz w:val="22"/>
          <w:szCs w:val="22"/>
        </w:rPr>
      </w:pPr>
    </w:p>
    <w:p w:rsidR="003D60CA" w:rsidRPr="00FF6946" w:rsidP="00FF6946">
      <w:pPr>
        <w:spacing w:after="270"/>
        <w:rPr>
          <w:rFonts w:ascii="Verdana" w:eastAsia="Avenir Next LT Pro" w:hAnsi="Verdana" w:cs="Avenir Next LT Pro"/>
          <w:b/>
          <w:bCs/>
          <w:sz w:val="22"/>
          <w:szCs w:val="22"/>
          <w:lang w:eastAsia="en-GB"/>
        </w:rPr>
      </w:pPr>
      <w:r w:rsidRPr="00FF6946">
        <w:rPr>
          <w:rFonts w:ascii="Verdana" w:eastAsia="Avenir Next LT Pro" w:hAnsi="Verdana" w:cs="Avenir Next LT Pro"/>
          <w:b/>
          <w:bCs/>
          <w:sz w:val="22"/>
          <w:szCs w:val="22"/>
          <w:lang w:eastAsia="en-GB"/>
        </w:rPr>
        <w:t>9 July 2026</w:t>
      </w:r>
    </w:p>
    <w:p w:rsidR="78AAB2E4" w:rsidRPr="008C3C56" w:rsidP="00FF6946">
      <w:pPr>
        <w:spacing w:after="270"/>
        <w:rPr>
          <w:rFonts w:ascii="Verdana" w:hAnsi="Verdana"/>
          <w:sz w:val="22"/>
          <w:szCs w:val="22"/>
        </w:rPr>
      </w:pPr>
    </w:p>
    <w:sectPr w:rsidSect="00FF69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venir Next LT Pro">
    <w:charset w:val="00"/>
    <w:family w:val="swiss"/>
    <w:pitch w:val="variable"/>
    <w:sig w:usb0="800000EF" w:usb1="5000204A"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265865"/>
    <w:multiLevelType w:val="hybridMultilevel"/>
    <w:tmpl w:val="21866E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2852E19"/>
    <w:multiLevelType w:val="hybridMultilevel"/>
    <w:tmpl w:val="7E32C5AE"/>
    <w:lvl w:ilvl="0">
      <w:start w:val="1"/>
      <w:numFmt w:val="decimal"/>
      <w:lvlText w:val="%1."/>
      <w:lvlJc w:val="left"/>
      <w:pPr>
        <w:ind w:left="1069"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EB7034B"/>
    <w:multiLevelType w:val="hybridMultilevel"/>
    <w:tmpl w:val="005C3F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5B25216"/>
    <w:multiLevelType w:val="hybridMultilevel"/>
    <w:tmpl w:val="F40E4E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E8F6396"/>
    <w:multiLevelType w:val="hybridMultilevel"/>
    <w:tmpl w:val="678A92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60CA"/>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3D60CA"/>
    <w:rPr>
      <w:i/>
      <w:iCs/>
    </w:rPr>
  </w:style>
  <w:style w:type="character" w:customStyle="1" w:styleId="apple-converted-space">
    <w:name w:val="apple-converted-space"/>
    <w:basedOn w:val="DefaultParagraphFont"/>
    <w:rsid w:val="003D60CA"/>
  </w:style>
  <w:style w:type="paragraph" w:customStyle="1" w:styleId="p1">
    <w:name w:val="p1"/>
    <w:basedOn w:val="Normal"/>
    <w:rsid w:val="003D60CA"/>
    <w:rPr>
      <w:rFonts w:ascii="Verdana" w:eastAsia="Times New Roman" w:hAnsi="Verdana" w:cs="Times New Roman"/>
      <w:color w:val="000000"/>
      <w:sz w:val="17"/>
      <w:szCs w:val="17"/>
      <w:lang w:eastAsia="en-GB"/>
    </w:rPr>
  </w:style>
  <w:style w:type="paragraph" w:styleId="ListParagraph">
    <w:name w:val="List Paragraph"/>
    <w:basedOn w:val="Normal"/>
    <w:uiPriority w:val="34"/>
    <w:qFormat/>
    <w:rsid w:val="003D60CA"/>
    <w:pPr>
      <w:ind w:left="720"/>
      <w:contextualSpacing/>
    </w:pPr>
  </w:style>
  <w:style w:type="character" w:styleId="Hyperlink">
    <w:name w:val="Hyperlink"/>
    <w:basedOn w:val="DefaultParagraphFont"/>
    <w:uiPriority w:val="99"/>
    <w:unhideWhenUsed/>
    <w:rsid w:val="003D60CA"/>
    <w:rPr>
      <w:color w:val="0563C1" w:themeColor="hyperlink"/>
      <w:u w:val="single"/>
    </w:rPr>
  </w:style>
  <w:style w:type="character" w:customStyle="1" w:styleId="UnresolvedMention">
    <w:name w:val="Unresolved Mention"/>
    <w:basedOn w:val="DefaultParagraphFont"/>
    <w:uiPriority w:val="99"/>
    <w:semiHidden/>
    <w:unhideWhenUsed/>
    <w:rsid w:val="003D60CA"/>
    <w:rPr>
      <w:color w:val="605E5C"/>
      <w:shd w:val="clear" w:color="auto" w:fill="E1DFDD"/>
    </w:rPr>
  </w:style>
  <w:style w:type="paragraph" w:styleId="Revision">
    <w:name w:val="Revision"/>
    <w:hidden/>
    <w:uiPriority w:val="99"/>
    <w:semiHidden/>
    <w:rsid w:val="00A675ED"/>
  </w:style>
  <w:style w:type="paragraph" w:styleId="Header">
    <w:name w:val="header"/>
    <w:basedOn w:val="Normal"/>
    <w:link w:val="HeaderChar"/>
    <w:uiPriority w:val="99"/>
    <w:unhideWhenUsed/>
    <w:rsid w:val="00125659"/>
    <w:pPr>
      <w:tabs>
        <w:tab w:val="center" w:pos="4513"/>
        <w:tab w:val="right" w:pos="9026"/>
      </w:tabs>
    </w:pPr>
  </w:style>
  <w:style w:type="character" w:customStyle="1" w:styleId="HeaderChar">
    <w:name w:val="Header Char"/>
    <w:basedOn w:val="DefaultParagraphFont"/>
    <w:link w:val="Header"/>
    <w:uiPriority w:val="99"/>
    <w:rsid w:val="00125659"/>
  </w:style>
  <w:style w:type="paragraph" w:styleId="Footer">
    <w:name w:val="footer"/>
    <w:basedOn w:val="Normal"/>
    <w:link w:val="FooterChar"/>
    <w:uiPriority w:val="99"/>
    <w:unhideWhenUsed/>
    <w:rsid w:val="00125659"/>
    <w:pPr>
      <w:tabs>
        <w:tab w:val="center" w:pos="4513"/>
        <w:tab w:val="right" w:pos="9026"/>
      </w:tabs>
    </w:pPr>
  </w:style>
  <w:style w:type="character" w:customStyle="1" w:styleId="FooterChar">
    <w:name w:val="Footer Char"/>
    <w:basedOn w:val="DefaultParagraphFont"/>
    <w:link w:val="Footer"/>
    <w:uiPriority w:val="99"/>
    <w:rsid w:val="00125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F006E6547ABF458376B30530C8A3FE" ma:contentTypeVersion="19" ma:contentTypeDescription="Create a new document." ma:contentTypeScope="" ma:versionID="27c75d862ab14944ab6aa7036cb537b9">
  <xsd:schema xmlns:xsd="http://www.w3.org/2001/XMLSchema" xmlns:xs="http://www.w3.org/2001/XMLSchema" xmlns:p="http://schemas.microsoft.com/office/2006/metadata/properties" xmlns:ns2="689aca67-86e9-4d07-9b93-5c26db36b58c" xmlns:ns3="0e9163f1-c50e-4549-8991-6ff450b7c710" targetNamespace="http://schemas.microsoft.com/office/2006/metadata/properties" ma:root="true" ma:fieldsID="23971da8022f1c8d91ce68c2fc6a1068" ns2:_="" ns3:_="">
    <xsd:import namespace="689aca67-86e9-4d07-9b93-5c26db36b58c"/>
    <xsd:import namespace="0e9163f1-c50e-4549-8991-6ff450b7c7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Location"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aca67-86e9-4d07-9b93-5c26db36b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a48766-989e-42ce-b3d3-56266341f640"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Notes" ma:index="23" nillable="true" ma:displayName="Notes" ma:format="Dropdown" ma:internalName="Notes">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9163f1-c50e-4549-8991-6ff450b7c71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1ac08ac-e7ca-4fc4-af1e-0c6cc9da50ee}" ma:internalName="TaxCatchAll" ma:showField="CatchAllData" ma:web="0e9163f1-c50e-4549-8991-6ff450b7c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9aca67-86e9-4d07-9b93-5c26db36b58c">
      <Terms xmlns="http://schemas.microsoft.com/office/infopath/2007/PartnerControls"/>
    </lcf76f155ced4ddcb4097134ff3c332f>
    <TaxCatchAll xmlns="0e9163f1-c50e-4549-8991-6ff450b7c710" xsi:nil="true"/>
    <Notes xmlns="689aca67-86e9-4d07-9b93-5c26db36b58c" xsi:nil="true"/>
  </documentManagement>
</p:properties>
</file>

<file path=customXml/itemProps1.xml><?xml version="1.0" encoding="utf-8"?>
<ds:datastoreItem xmlns:ds="http://schemas.openxmlformats.org/officeDocument/2006/customXml" ds:itemID="{0416E8E1-1803-4EE8-ABBB-D006E5A841FD}">
  <ds:schemaRefs>
    <ds:schemaRef ds:uri="http://schemas.microsoft.com/sharepoint/v3/contenttype/forms"/>
  </ds:schemaRefs>
</ds:datastoreItem>
</file>

<file path=customXml/itemProps2.xml><?xml version="1.0" encoding="utf-8"?>
<ds:datastoreItem xmlns:ds="http://schemas.openxmlformats.org/officeDocument/2006/customXml" ds:itemID="{4D8AEA12-F66E-417D-9B3A-0E925CAA0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aca67-86e9-4d07-9b93-5c26db36b58c"/>
    <ds:schemaRef ds:uri="0e9163f1-c50e-4549-8991-6ff450b7c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A4D15-4888-4F80-B5A9-0CB9A0AACE8D}">
  <ds:schemaRefs>
    <ds:schemaRef ds:uri="http://schemas.microsoft.com/office/2006/metadata/properties"/>
    <ds:schemaRef ds:uri="http://schemas.microsoft.com/office/infopath/2007/PartnerControls"/>
    <ds:schemaRef ds:uri="689aca67-86e9-4d07-9b93-5c26db36b58c"/>
    <ds:schemaRef ds:uri="0e9163f1-c50e-4549-8991-6ff450b7c710"/>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ART0021</dc:title>
  <cp:revision>0</cp:revision>
</cp:coreProperties>
</file>