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5275" w:rsidRPr="00EA0974">
      <w:pPr>
        <w:rPr>
          <w:rFonts w:ascii="Verdana" w:hAnsi="Verdana"/>
          <w:b/>
          <w:bCs/>
          <w:sz w:val="28"/>
          <w:szCs w:val="28"/>
        </w:rPr>
      </w:pPr>
      <w:r w:rsidRPr="00EA0974">
        <w:rPr>
          <w:rFonts w:ascii="Verdana" w:hAnsi="Verdana"/>
          <w:b/>
          <w:bCs/>
          <w:sz w:val="28"/>
          <w:szCs w:val="28"/>
        </w:rPr>
        <w:t xml:space="preserve">Sinn Féin – Written </w:t>
      </w:r>
      <w:r w:rsidR="00330750">
        <w:rPr>
          <w:rFonts w:ascii="Verdana" w:hAnsi="Verdana"/>
          <w:b/>
          <w:bCs/>
          <w:sz w:val="28"/>
          <w:szCs w:val="28"/>
        </w:rPr>
        <w:t xml:space="preserve">evidence </w:t>
      </w:r>
      <w:r w:rsidRPr="00EA0974">
        <w:rPr>
          <w:rFonts w:ascii="Verdana" w:hAnsi="Verdana"/>
          <w:b/>
          <w:bCs/>
          <w:sz w:val="28"/>
          <w:szCs w:val="28"/>
        </w:rPr>
        <w:t>(ART0020)</w:t>
      </w:r>
    </w:p>
    <w:p w:rsidR="00EA0974" w:rsidRPr="00EA0974">
      <w:pPr>
        <w:rPr>
          <w:rFonts w:ascii="Verdana" w:hAnsi="Verdana"/>
        </w:rPr>
      </w:pPr>
    </w:p>
    <w:p w:rsidR="00EA0974" w:rsidRPr="00EA0974" w:rsidP="00EA0974">
      <w:pPr>
        <w:shd w:val="clear" w:color="auto" w:fill="FFFFFF" w:themeFill="background1"/>
        <w:spacing w:line="276" w:lineRule="auto"/>
        <w:jc w:val="center"/>
        <w:rPr>
          <w:rFonts w:ascii="Verdana" w:hAnsi="Verdana"/>
          <w:b/>
          <w:bCs/>
        </w:rPr>
      </w:pPr>
      <w:r w:rsidRPr="00EA0974">
        <w:rPr>
          <w:rFonts w:ascii="Verdana" w:hAnsi="Verdana"/>
          <w:b/>
          <w:bCs/>
        </w:rPr>
        <w:t>SINN FÉIN SUBMISSION</w:t>
      </w:r>
    </w:p>
    <w:p w:rsidR="00EA0974" w:rsidRPr="00EA0974" w:rsidP="00EA0974">
      <w:pPr>
        <w:shd w:val="clear" w:color="auto" w:fill="FFFFFF" w:themeFill="background1"/>
        <w:spacing w:line="276" w:lineRule="auto"/>
        <w:jc w:val="center"/>
        <w:rPr>
          <w:rFonts w:ascii="Verdana" w:hAnsi="Verdana"/>
          <w:b/>
          <w:bCs/>
        </w:rPr>
      </w:pPr>
      <w:r w:rsidRPr="00EA0974">
        <w:rPr>
          <w:rFonts w:ascii="Verdana" w:hAnsi="Verdana"/>
          <w:b/>
          <w:bCs/>
        </w:rPr>
        <w:t>to the</w:t>
      </w:r>
    </w:p>
    <w:p w:rsidR="00EA0974" w:rsidRPr="00EA0974" w:rsidP="00EA0974">
      <w:pPr>
        <w:shd w:val="clear" w:color="auto" w:fill="FFFFFF" w:themeFill="background1"/>
        <w:spacing w:line="276" w:lineRule="auto"/>
        <w:jc w:val="center"/>
        <w:rPr>
          <w:rFonts w:ascii="Verdana" w:hAnsi="Verdana"/>
          <w:b/>
          <w:bCs/>
        </w:rPr>
      </w:pPr>
      <w:r w:rsidRPr="00EA0974">
        <w:rPr>
          <w:rFonts w:ascii="Verdana" w:hAnsi="Verdana"/>
          <w:b/>
          <w:bCs/>
        </w:rPr>
        <w:t xml:space="preserve">Scrutiny Committee inquiry on Article 2 of the Windsor Framework: </w:t>
      </w:r>
    </w:p>
    <w:p w:rsidR="00EA0974" w:rsidRPr="00EA0974" w:rsidP="00EA0974">
      <w:pPr>
        <w:shd w:val="clear" w:color="auto" w:fill="FFFFFF" w:themeFill="background1"/>
        <w:spacing w:line="276" w:lineRule="auto"/>
        <w:jc w:val="center"/>
        <w:rPr>
          <w:rFonts w:ascii="Verdana" w:hAnsi="Verdana"/>
          <w:b/>
          <w:bCs/>
        </w:rPr>
      </w:pPr>
      <w:r w:rsidRPr="00EA0974">
        <w:rPr>
          <w:rFonts w:ascii="Verdana" w:hAnsi="Verdana"/>
          <w:b/>
          <w:bCs/>
        </w:rPr>
        <w:t xml:space="preserve">Public Call for Written Evidence </w:t>
      </w:r>
    </w:p>
    <w:p w:rsidR="00EA0974" w:rsidP="00EA0974">
      <w:pPr>
        <w:shd w:val="clear" w:color="auto" w:fill="FFFFFF" w:themeFill="background1"/>
        <w:spacing w:line="276" w:lineRule="auto"/>
        <w:jc w:val="both"/>
        <w:rPr>
          <w:rFonts w:ascii="Verdana" w:hAnsi="Verdana"/>
        </w:rPr>
      </w:pPr>
    </w:p>
    <w:p w:rsidR="00EA0974" w:rsidRPr="00EA0974" w:rsidP="00EA0974">
      <w:pPr>
        <w:shd w:val="clear" w:color="auto" w:fill="FFFFFF" w:themeFill="background1"/>
        <w:spacing w:line="276" w:lineRule="auto"/>
        <w:rPr>
          <w:rFonts w:ascii="Verdana" w:hAnsi="Verdana"/>
        </w:rPr>
      </w:pPr>
      <w:r w:rsidRPr="00EA0974">
        <w:rPr>
          <w:rFonts w:ascii="Verdana" w:hAnsi="Verdana"/>
        </w:rPr>
        <w:t>The British Government’s exit from the European Union posed a serious threat to political stability in Ireland.</w:t>
      </w:r>
    </w:p>
    <w:p w:rsidR="00EA0974" w:rsidRPr="00EA0974" w:rsidP="00EA0974">
      <w:pPr>
        <w:shd w:val="clear" w:color="auto" w:fill="FFFFFF" w:themeFill="background1"/>
        <w:spacing w:line="276" w:lineRule="auto"/>
        <w:rPr>
          <w:rFonts w:ascii="Verdana" w:hAnsi="Verdana"/>
        </w:rPr>
      </w:pPr>
      <w:r w:rsidRPr="00EA0974">
        <w:rPr>
          <w:rFonts w:ascii="Verdana" w:hAnsi="Verdana"/>
        </w:rPr>
        <w:t xml:space="preserve">The Brexit referendum campaign was poorly planned and failed to consider the impact it would have on this island. As a result, a mechanism such as Article 2 of the Windsor Framework was essential </w:t>
      </w:r>
      <w:r w:rsidRPr="00EA0974">
        <w:rPr>
          <w:rFonts w:ascii="Verdana" w:hAnsi="Verdana"/>
        </w:rPr>
        <w:t>in order to</w:t>
      </w:r>
      <w:r w:rsidRPr="00EA0974">
        <w:rPr>
          <w:rFonts w:ascii="Verdana" w:hAnsi="Verdana"/>
        </w:rPr>
        <w:t xml:space="preserve"> help mitigate the worst impacts of Brexit.</w:t>
      </w:r>
    </w:p>
    <w:p w:rsidR="00EA0974" w:rsidRPr="00EA0974" w:rsidP="00EA0974">
      <w:pPr>
        <w:shd w:val="clear" w:color="auto" w:fill="FFFFFF" w:themeFill="background1"/>
        <w:spacing w:line="276" w:lineRule="auto"/>
        <w:rPr>
          <w:rFonts w:ascii="Verdana" w:hAnsi="Verdana"/>
        </w:rPr>
      </w:pPr>
    </w:p>
    <w:p w:rsidR="00EA0974" w:rsidRPr="00EA0974" w:rsidP="00EA0974">
      <w:pPr>
        <w:shd w:val="clear" w:color="auto" w:fill="D1D1D1" w:themeFill="background2" w:themeFillShade="E6"/>
        <w:spacing w:line="276" w:lineRule="auto"/>
        <w:rPr>
          <w:rFonts w:ascii="Verdana" w:hAnsi="Verdana"/>
          <w:b/>
          <w:bCs/>
        </w:rPr>
      </w:pPr>
      <w:r w:rsidRPr="00EA0974">
        <w:rPr>
          <w:rFonts w:ascii="Verdana" w:hAnsi="Verdana"/>
          <w:b/>
          <w:bCs/>
        </w:rPr>
        <w:t>Origins of Article 2</w:t>
      </w:r>
    </w:p>
    <w:p w:rsidR="00EA0974" w:rsidRPr="00EA0974" w:rsidP="00EA0974">
      <w:pPr>
        <w:spacing w:line="276" w:lineRule="auto"/>
        <w:rPr>
          <w:rFonts w:ascii="Verdana" w:hAnsi="Verdana"/>
        </w:rPr>
      </w:pPr>
      <w:r w:rsidRPr="00EA0974">
        <w:rPr>
          <w:rFonts w:ascii="Verdana" w:hAnsi="Verdana"/>
        </w:rPr>
        <w:t xml:space="preserve">Throughout the Brexit referendum campaign, the potential implications for </w:t>
      </w:r>
      <w:r w:rsidRPr="00EA0974">
        <w:rPr>
          <w:rFonts w:ascii="Verdana" w:hAnsi="Verdana"/>
        </w:rPr>
        <w:t>ourpeace</w:t>
      </w:r>
      <w:r w:rsidRPr="00EA0974">
        <w:rPr>
          <w:rFonts w:ascii="Verdana" w:hAnsi="Verdana"/>
        </w:rPr>
        <w:t xml:space="preserve"> process, including a re-imposition of border infrastructure and the impact of such a scenario on relations across the island were repeatedly highlighted by people here. </w:t>
      </w:r>
    </w:p>
    <w:p w:rsidR="00EA0974" w:rsidRPr="00EA0974" w:rsidP="00EA0974">
      <w:pPr>
        <w:spacing w:line="276" w:lineRule="auto"/>
        <w:rPr>
          <w:rFonts w:ascii="Verdana" w:hAnsi="Verdana"/>
        </w:rPr>
      </w:pPr>
      <w:r w:rsidRPr="00EA0974">
        <w:rPr>
          <w:rFonts w:ascii="Verdana" w:hAnsi="Verdana"/>
        </w:rPr>
        <w:t>The threat of a hard border being imposed on the island of Ireland was roundly rejected by people across the island including people in the north, who voted by a majority (56% Remain, 44% Leave) against Brexit.</w:t>
      </w:r>
    </w:p>
    <w:p w:rsidR="00EA0974" w:rsidRPr="00EA0974" w:rsidP="00EA0974">
      <w:pPr>
        <w:spacing w:line="276" w:lineRule="auto"/>
        <w:rPr>
          <w:rFonts w:ascii="Verdana" w:hAnsi="Verdana"/>
        </w:rPr>
      </w:pPr>
      <w:r w:rsidRPr="00EA0974">
        <w:rPr>
          <w:rFonts w:ascii="Verdana" w:hAnsi="Verdana"/>
        </w:rPr>
        <w:t>In addition, the European Convention on Human Rights was central to the Good Friday Agreement and the basis of our Equality Legislation in the north of Ireland. While inclusion in the ECHR is broader than EU membership many Brexiteers have advocated for leaving it.  Such a move would undermine our political and peace processes.</w:t>
      </w:r>
    </w:p>
    <w:p w:rsidR="00EA0974" w:rsidRPr="00EA0974" w:rsidP="00EA0974">
      <w:pPr>
        <w:spacing w:line="276" w:lineRule="auto"/>
        <w:rPr>
          <w:rFonts w:ascii="Verdana" w:hAnsi="Verdana"/>
        </w:rPr>
      </w:pPr>
      <w:r w:rsidRPr="00EA0974">
        <w:rPr>
          <w:rFonts w:ascii="Verdana" w:hAnsi="Verdana"/>
        </w:rPr>
        <w:t>The obligation to ensure that Article 2 is applied in its fullest rests, in the first instance, with the British Government. However, as a co-guarantor of the Good Friday Agreement, the Dublin Government also has an important role to play in holding their counterpart to account.</w:t>
      </w:r>
    </w:p>
    <w:p w:rsidR="00EA0974" w:rsidRPr="00EA0974" w:rsidP="00EA0974">
      <w:pPr>
        <w:spacing w:line="276" w:lineRule="auto"/>
        <w:rPr>
          <w:rFonts w:ascii="Verdana" w:hAnsi="Verdana"/>
        </w:rPr>
      </w:pPr>
    </w:p>
    <w:p w:rsidR="00EA0974" w:rsidRPr="00EA0974" w:rsidP="00EA0974">
      <w:pPr>
        <w:shd w:val="clear" w:color="auto" w:fill="D1D1D1" w:themeFill="background2" w:themeFillShade="E6"/>
        <w:spacing w:line="276" w:lineRule="auto"/>
        <w:rPr>
          <w:rFonts w:ascii="Verdana" w:hAnsi="Verdana"/>
          <w:b/>
          <w:bCs/>
        </w:rPr>
      </w:pPr>
      <w:r w:rsidRPr="00EA0974">
        <w:rPr>
          <w:rFonts w:ascii="Verdana" w:hAnsi="Verdana"/>
          <w:b/>
          <w:bCs/>
        </w:rPr>
        <w:t>Protection of Rights</w:t>
      </w:r>
    </w:p>
    <w:p w:rsidR="00EA0974" w:rsidRPr="00EA0974" w:rsidP="00EA0974">
      <w:pPr>
        <w:spacing w:line="276" w:lineRule="auto"/>
        <w:rPr>
          <w:rFonts w:ascii="Verdana" w:hAnsi="Verdana"/>
        </w:rPr>
      </w:pPr>
      <w:r w:rsidRPr="00EA0974">
        <w:rPr>
          <w:rFonts w:ascii="Verdana" w:hAnsi="Verdana"/>
        </w:rPr>
        <w:t>In light of</w:t>
      </w:r>
      <w:r w:rsidRPr="00EA0974">
        <w:rPr>
          <w:rFonts w:ascii="Verdana" w:hAnsi="Verdana"/>
        </w:rPr>
        <w:t xml:space="preserve"> our specific circumstances here in the north of Ireland there was clearly a need for strong measures to protect the Rights and Equality provisions already afforded to society in the aftermath of </w:t>
      </w:r>
      <w:r w:rsidRPr="00EA0974">
        <w:rPr>
          <w:rFonts w:ascii="Verdana" w:hAnsi="Verdana"/>
        </w:rPr>
        <w:t>Brexit..</w:t>
      </w:r>
      <w:r w:rsidRPr="00EA0974">
        <w:rPr>
          <w:rFonts w:ascii="Verdana" w:hAnsi="Verdana"/>
        </w:rPr>
        <w:t xml:space="preserve"> </w:t>
      </w:r>
    </w:p>
    <w:p w:rsidR="00EA0974" w:rsidRPr="00EA0974" w:rsidP="00EA0974">
      <w:pPr>
        <w:spacing w:line="276" w:lineRule="auto"/>
        <w:rPr>
          <w:rFonts w:ascii="Verdana" w:hAnsi="Verdana"/>
        </w:rPr>
      </w:pPr>
      <w:r w:rsidRPr="00EA0974">
        <w:rPr>
          <w:rFonts w:ascii="Verdana" w:hAnsi="Verdana"/>
        </w:rPr>
        <w:t>This included dynamic alignment in relation to 6 named equality directives in Annex 1 but also, the non-diminution principle in relation to other EU laws underpinning the rights within the Rights, Safeguards and Equality of Opportunity section of the Good Friday Agreement.</w:t>
      </w:r>
    </w:p>
    <w:p w:rsidR="00EA0974" w:rsidRPr="00EA0974" w:rsidP="00EA0974">
      <w:pPr>
        <w:spacing w:line="276" w:lineRule="auto"/>
        <w:rPr>
          <w:rFonts w:ascii="Verdana" w:hAnsi="Verdana"/>
        </w:rPr>
      </w:pPr>
      <w:r w:rsidRPr="00EA0974">
        <w:rPr>
          <w:rFonts w:ascii="Verdana" w:hAnsi="Verdana"/>
        </w:rPr>
        <w:t>The non-diminution principle is both essential and of the highest importance as bulwark to outside factors. The Conservative Party’s October 2025 adoption of a policy to leave the European Convention on Human Rights underscores the importance of the non-diminution principle – the increasingly volatile nature of English politics post-Brexit has created a worrying atmosphere for many in the Human Right’s Sector. A clear understanding of provisions and protections is essential.</w:t>
      </w:r>
    </w:p>
    <w:p w:rsidR="00EA0974" w:rsidRPr="00EA0974" w:rsidP="00EA0974">
      <w:pPr>
        <w:spacing w:line="276" w:lineRule="auto"/>
        <w:rPr>
          <w:rFonts w:ascii="Verdana" w:hAnsi="Verdana"/>
        </w:rPr>
      </w:pPr>
      <w:r w:rsidRPr="00EA0974">
        <w:rPr>
          <w:rFonts w:ascii="Verdana" w:hAnsi="Verdana"/>
        </w:rPr>
        <w:t xml:space="preserve">These worries have increased following the Dillon Judgement which many felt ran contrary to the supposed protections contained within the post-Brexit arrangements that were intended safeguard their rights. </w:t>
      </w:r>
    </w:p>
    <w:p w:rsidR="00EA0974" w:rsidRPr="00EA0974" w:rsidP="00EA0974">
      <w:pPr>
        <w:spacing w:line="276" w:lineRule="auto"/>
        <w:rPr>
          <w:rFonts w:ascii="Verdana" w:hAnsi="Verdana"/>
        </w:rPr>
      </w:pPr>
      <w:r w:rsidRPr="00EA0974">
        <w:rPr>
          <w:rFonts w:ascii="Verdana" w:hAnsi="Verdana"/>
        </w:rPr>
        <w:t>Victims’ families were disappointed that the Supreme Court overturned the earlier Court of Appeal ruling, which had upheld important protections relating to legacy and the rights of victims. It remains to be seen whether this will be challenged at the European Court of Justice.</w:t>
      </w:r>
    </w:p>
    <w:p w:rsidR="00EA0974" w:rsidRPr="00EA0974" w:rsidP="00EA0974">
      <w:pPr>
        <w:spacing w:line="276" w:lineRule="auto"/>
        <w:rPr>
          <w:rFonts w:ascii="Verdana" w:hAnsi="Verdana"/>
        </w:rPr>
      </w:pPr>
      <w:r w:rsidRPr="00EA0974">
        <w:rPr>
          <w:rFonts w:ascii="Verdana" w:hAnsi="Verdana"/>
        </w:rPr>
        <w:t>Sinn Féin will continue to stand for the protection of Article 2 and against attempts to undermine or dilute it. This is why we continue to call for the British Government to scrap the Internal Market Act, which overrides the principles of devolution and undermines the Good Friday Agreement where rights come into conflict with the Internal Market. These are concerns which the Human Rights Commission (NIHRC) and Equality Commission (ECNI) continue to raise and which the British Government have failed to fully consider.</w:t>
      </w:r>
    </w:p>
    <w:p w:rsidR="00EA0974" w:rsidRPr="00EA0974" w:rsidP="00EA0974">
      <w:pPr>
        <w:spacing w:line="276" w:lineRule="auto"/>
        <w:rPr>
          <w:rFonts w:ascii="Verdana" w:hAnsi="Verdana"/>
        </w:rPr>
      </w:pPr>
      <w:r w:rsidRPr="00EA0974">
        <w:rPr>
          <w:rFonts w:ascii="Verdana" w:hAnsi="Verdana"/>
        </w:rPr>
        <w:t>The work undertaken by both the NIHRC and ECNI in monitoring and reporting upon the implementation of Article 2 holds an added importance – particularly in order give assurance to the public in the face of an increasingly complex legal landscape. It is essential that British Government supports their work in ensuring that these additional duties can be fully met.</w:t>
      </w:r>
    </w:p>
    <w:p w:rsidR="00EA0974" w:rsidRPr="00EA0974" w:rsidP="00EA0974">
      <w:pPr>
        <w:spacing w:line="276" w:lineRule="auto"/>
        <w:rPr>
          <w:rFonts w:ascii="Verdana" w:hAnsi="Verdana"/>
        </w:rPr>
      </w:pPr>
      <w:r w:rsidRPr="00EA0974">
        <w:rPr>
          <w:rFonts w:ascii="Verdana" w:hAnsi="Verdana"/>
        </w:rPr>
        <w:t xml:space="preserve">Furthermore, given the recent </w:t>
      </w:r>
      <w:r w:rsidRPr="00EA0974">
        <w:rPr>
          <w:rFonts w:ascii="Verdana" w:hAnsi="Verdana"/>
        </w:rPr>
        <w:t>past experience</w:t>
      </w:r>
      <w:r w:rsidRPr="00EA0974">
        <w:rPr>
          <w:rFonts w:ascii="Verdana" w:hAnsi="Verdana"/>
        </w:rPr>
        <w:t xml:space="preserve">, it would be beneficial if the British Supreme Court was cognisant of the ramifications of cases in Britain and their potential impact (or negation of the impact of those judgements) regarding the north of Ireland. </w:t>
      </w:r>
    </w:p>
    <w:p w:rsidR="00EA0974" w:rsidRPr="00EA0974" w:rsidP="00EA0974">
      <w:pPr>
        <w:spacing w:line="276" w:lineRule="auto"/>
        <w:rPr>
          <w:rFonts w:ascii="Verdana" w:hAnsi="Verdana"/>
        </w:rPr>
      </w:pPr>
      <w:r w:rsidRPr="00EA0974">
        <w:rPr>
          <w:rFonts w:ascii="Verdana" w:hAnsi="Verdana"/>
        </w:rPr>
        <w:t>Proactive consideration of Article 2 would be greatly beneficial to the Rights’ sector in the north of Ireland and save public and third sector funds in subsequent legal challenges required to seek legal clarity.</w:t>
      </w:r>
    </w:p>
    <w:p w:rsidR="00EA0974" w:rsidRPr="00EA0974" w:rsidP="00EA0974">
      <w:pPr>
        <w:spacing w:line="276" w:lineRule="auto"/>
        <w:rPr>
          <w:rFonts w:ascii="Verdana" w:hAnsi="Verdana"/>
        </w:rPr>
      </w:pPr>
      <w:r w:rsidRPr="00EA0974">
        <w:rPr>
          <w:rFonts w:ascii="Verdana" w:hAnsi="Verdana"/>
        </w:rPr>
        <w:t xml:space="preserve">Lastly, in the formulation of future legislation, the British Government must give its full consideration to the full implementation of Article 2. This should include engaging proactively with the Stormont Executive, with the Dedicated Mechanism (namely NIHRC and ECNI), and with the Dublin Government and </w:t>
      </w:r>
      <w:r w:rsidRPr="00EA0974">
        <w:rPr>
          <w:rFonts w:ascii="Verdana" w:hAnsi="Verdana"/>
        </w:rPr>
        <w:t>European Union to ensure that the rights and protections promised in 1998, and supposedly reaffirmed through Article 2, continue to be understood, accessible and enjoyed.</w:t>
      </w:r>
    </w:p>
    <w:p w:rsidR="00EA0974" w:rsidRPr="00EA0974" w:rsidP="00EA0974">
      <w:pPr>
        <w:spacing w:line="276" w:lineRule="auto"/>
        <w:rPr>
          <w:rFonts w:ascii="Verdana" w:hAnsi="Verdana"/>
        </w:rPr>
      </w:pPr>
    </w:p>
    <w:p w:rsidR="00EA0974" w:rsidRPr="00EA0974" w:rsidP="00EA0974">
      <w:pPr>
        <w:shd w:val="clear" w:color="auto" w:fill="D1D1D1" w:themeFill="background2" w:themeFillShade="E6"/>
        <w:spacing w:line="276" w:lineRule="auto"/>
        <w:rPr>
          <w:rFonts w:ascii="Verdana" w:hAnsi="Verdana"/>
          <w:b/>
          <w:bCs/>
        </w:rPr>
      </w:pPr>
      <w:r w:rsidRPr="00EA0974">
        <w:rPr>
          <w:rFonts w:ascii="Verdana" w:hAnsi="Verdana"/>
          <w:b/>
          <w:bCs/>
        </w:rPr>
        <w:t>Conclusion</w:t>
      </w:r>
    </w:p>
    <w:p w:rsidR="00EA0974" w:rsidRPr="00EA0974" w:rsidP="00EA0974">
      <w:pPr>
        <w:spacing w:line="276" w:lineRule="auto"/>
        <w:rPr>
          <w:rFonts w:ascii="Verdana" w:hAnsi="Verdana"/>
        </w:rPr>
      </w:pPr>
      <w:r w:rsidRPr="00EA0974">
        <w:rPr>
          <w:rFonts w:ascii="Verdana" w:hAnsi="Verdana"/>
        </w:rPr>
        <w:t>The importance of Article 2 cannot be overstated – both as a safeguard for the Rights, Safeguards and Equality of Opportunity provisions of the Good Friday Agreement and as the fulfilment of promises made to ensure political stability and peace on the island of Ireland.</w:t>
      </w:r>
    </w:p>
    <w:p w:rsidR="00EA0974" w:rsidRPr="00EA0974" w:rsidP="00EA0974">
      <w:pPr>
        <w:spacing w:line="276" w:lineRule="auto"/>
        <w:rPr>
          <w:rFonts w:ascii="Verdana" w:hAnsi="Verdana"/>
        </w:rPr>
      </w:pPr>
      <w:r w:rsidRPr="00EA0974">
        <w:rPr>
          <w:rFonts w:ascii="Verdana" w:hAnsi="Verdana"/>
        </w:rPr>
        <w:t>There is a strong case for providing clarity and increased guidance on the Rights and Protections covered by Article 2, and the list of EU Protections associated, to best equip the public to exercise and enjoy their rights.</w:t>
      </w:r>
    </w:p>
    <w:p w:rsidR="00EA0974" w:rsidRPr="00EA0974" w:rsidP="00EA0974">
      <w:pPr>
        <w:spacing w:line="276" w:lineRule="auto"/>
        <w:rPr>
          <w:rFonts w:ascii="Verdana" w:hAnsi="Verdana"/>
        </w:rPr>
      </w:pPr>
      <w:r w:rsidRPr="00EA0974">
        <w:rPr>
          <w:rFonts w:ascii="Verdana" w:hAnsi="Verdana"/>
        </w:rPr>
        <w:t>The complexity of the Windsor Framework structures, with input from over 30 bodies and institutions, creates barriers and difficulties for those seeking clarity – particularly when understanding their rights and protections. In this context, it is essential that the British Government supports the work of the Dedicated Mechanism, in the form of NIHRC and ECNI, by ensuring that their monitoring function can be fully met.</w:t>
      </w:r>
    </w:p>
    <w:p w:rsidR="00EA0974" w:rsidRPr="00EA0974" w:rsidP="00EA0974">
      <w:pPr>
        <w:spacing w:line="276" w:lineRule="auto"/>
        <w:rPr>
          <w:rFonts w:ascii="Verdana" w:hAnsi="Verdana"/>
        </w:rPr>
      </w:pPr>
      <w:r w:rsidRPr="00EA0974">
        <w:rPr>
          <w:rFonts w:ascii="Verdana" w:hAnsi="Verdana"/>
        </w:rPr>
        <w:t>Again, the British Government and Parliament must ensure that future legislation is compatible with Article 2 and engage proactively and constructively with counterparts to ensure that is the case.</w:t>
      </w:r>
    </w:p>
    <w:p w:rsidR="00EA0974" w:rsidRPr="00EA0974" w:rsidP="00EA0974">
      <w:pPr>
        <w:spacing w:line="276" w:lineRule="auto"/>
        <w:rPr>
          <w:rFonts w:ascii="Verdana" w:hAnsi="Verdana"/>
        </w:rPr>
      </w:pPr>
      <w:r w:rsidRPr="00EA0974">
        <w:rPr>
          <w:rFonts w:ascii="Verdana" w:hAnsi="Verdana"/>
        </w:rPr>
        <w:t xml:space="preserve">Sinn Féin will continue to stand for the protection of Article 2, fight against any attempts to undermine or dilute it, and support calls for clarity and enhanced guidance around the full range of rights and protections covered in it so that individuals are </w:t>
      </w:r>
      <w:r w:rsidRPr="00EA0974">
        <w:rPr>
          <w:rFonts w:ascii="Verdana" w:hAnsi="Verdana"/>
        </w:rPr>
        <w:t>best-placed</w:t>
      </w:r>
      <w:r w:rsidRPr="00EA0974">
        <w:rPr>
          <w:rFonts w:ascii="Verdana" w:hAnsi="Verdana"/>
        </w:rPr>
        <w:t xml:space="preserve"> to understand and exercise their rights.</w:t>
      </w:r>
    </w:p>
    <w:p w:rsidR="00EA0974" w:rsidP="00EA0974">
      <w:pPr>
        <w:rPr>
          <w:rFonts w:ascii="Verdana" w:hAnsi="Verdana"/>
          <w:b/>
          <w:bCs/>
        </w:rPr>
      </w:pPr>
    </w:p>
    <w:p w:rsidR="00EA0974" w:rsidP="00EA0974">
      <w:pPr>
        <w:rPr>
          <w:rFonts w:ascii="Verdana" w:hAnsi="Verdana"/>
          <w:b/>
          <w:bCs/>
        </w:rPr>
      </w:pPr>
    </w:p>
    <w:p w:rsidR="00EA0974" w:rsidRPr="00EA0974" w:rsidP="00EA0974">
      <w:pPr>
        <w:rPr>
          <w:rFonts w:ascii="Verdana" w:hAnsi="Verdana"/>
          <w:b/>
          <w:bCs/>
        </w:rPr>
      </w:pPr>
      <w:r>
        <w:rPr>
          <w:rFonts w:ascii="Verdana" w:hAnsi="Verdana"/>
          <w:b/>
          <w:bCs/>
        </w:rPr>
        <w:t>9 July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0974"/>
  </w:style>
  <w:style w:type="paragraph" w:styleId="Heading1">
    <w:name w:val="heading 1"/>
    <w:basedOn w:val="Normal"/>
    <w:next w:val="Normal"/>
    <w:link w:val="Heading1Char"/>
    <w:uiPriority w:val="9"/>
    <w:qFormat/>
    <w:rsid w:val="00EA0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974"/>
    <w:rPr>
      <w:rFonts w:eastAsiaTheme="majorEastAsia" w:cstheme="majorBidi"/>
      <w:color w:val="272727" w:themeColor="text1" w:themeTint="D8"/>
    </w:rPr>
  </w:style>
  <w:style w:type="paragraph" w:styleId="Title">
    <w:name w:val="Title"/>
    <w:basedOn w:val="Normal"/>
    <w:next w:val="Normal"/>
    <w:link w:val="TitleChar"/>
    <w:uiPriority w:val="10"/>
    <w:qFormat/>
    <w:rsid w:val="00EA0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974"/>
    <w:pPr>
      <w:spacing w:before="160"/>
      <w:jc w:val="center"/>
    </w:pPr>
    <w:rPr>
      <w:i/>
      <w:iCs/>
      <w:color w:val="404040" w:themeColor="text1" w:themeTint="BF"/>
    </w:rPr>
  </w:style>
  <w:style w:type="character" w:customStyle="1" w:styleId="QuoteChar">
    <w:name w:val="Quote Char"/>
    <w:basedOn w:val="DefaultParagraphFont"/>
    <w:link w:val="Quote"/>
    <w:uiPriority w:val="29"/>
    <w:rsid w:val="00EA0974"/>
    <w:rPr>
      <w:i/>
      <w:iCs/>
      <w:color w:val="404040" w:themeColor="text1" w:themeTint="BF"/>
    </w:rPr>
  </w:style>
  <w:style w:type="paragraph" w:styleId="ListParagraph">
    <w:name w:val="List Paragraph"/>
    <w:basedOn w:val="Normal"/>
    <w:uiPriority w:val="34"/>
    <w:qFormat/>
    <w:rsid w:val="00EA0974"/>
    <w:pPr>
      <w:ind w:left="720"/>
      <w:contextualSpacing/>
    </w:pPr>
  </w:style>
  <w:style w:type="character" w:styleId="IntenseEmphasis">
    <w:name w:val="Intense Emphasis"/>
    <w:basedOn w:val="DefaultParagraphFont"/>
    <w:uiPriority w:val="21"/>
    <w:qFormat/>
    <w:rsid w:val="00EA0974"/>
    <w:rPr>
      <w:i/>
      <w:iCs/>
      <w:color w:val="0F4761" w:themeColor="accent1" w:themeShade="BF"/>
    </w:rPr>
  </w:style>
  <w:style w:type="paragraph" w:styleId="IntenseQuote">
    <w:name w:val="Intense Quote"/>
    <w:basedOn w:val="Normal"/>
    <w:next w:val="Normal"/>
    <w:link w:val="IntenseQuoteChar"/>
    <w:uiPriority w:val="30"/>
    <w:qFormat/>
    <w:rsid w:val="00EA0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974"/>
    <w:rPr>
      <w:i/>
      <w:iCs/>
      <w:color w:val="0F4761" w:themeColor="accent1" w:themeShade="BF"/>
    </w:rPr>
  </w:style>
  <w:style w:type="character" w:styleId="IntenseReference">
    <w:name w:val="Intense Reference"/>
    <w:basedOn w:val="DefaultParagraphFont"/>
    <w:uiPriority w:val="32"/>
    <w:qFormat/>
    <w:rsid w:val="00EA09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ART0020</dc:title>
  <cp:revision>0</cp:revision>
</cp:coreProperties>
</file>