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42BF">
      <w:pPr>
        <w:pStyle w:val="BodyText"/>
        <w:spacing w:before="2"/>
        <w:rPr>
          <w:rFonts w:ascii="Verdana"/>
          <w:b/>
          <w:sz w:val="14"/>
        </w:rPr>
      </w:pPr>
    </w:p>
    <w:p w:rsidR="0043215B">
      <w:pPr>
        <w:pStyle w:val="BodyText"/>
        <w:spacing w:before="188"/>
      </w:pPr>
    </w:p>
    <w:p w:rsidR="001442BF">
      <w:pPr>
        <w:pStyle w:val="BodyText"/>
      </w:pPr>
    </w:p>
    <w:p w:rsidR="0043215B" w:rsidP="0043215B">
      <w:pPr>
        <w:spacing w:before="24" w:line="259" w:lineRule="auto"/>
        <w:ind w:left="23"/>
        <w:jc w:val="center"/>
        <w:rPr>
          <w:b/>
          <w:bCs/>
          <w:sz w:val="24"/>
          <w:szCs w:val="24"/>
        </w:rPr>
      </w:pPr>
      <w:r>
        <w:rPr>
          <w:b/>
          <w:bCs/>
          <w:sz w:val="24"/>
          <w:szCs w:val="24"/>
        </w:rPr>
        <w:t>Supplementary w</w:t>
      </w:r>
      <w:r w:rsidRPr="001B3D39">
        <w:rPr>
          <w:b/>
          <w:bCs/>
          <w:sz w:val="24"/>
          <w:szCs w:val="24"/>
        </w:rPr>
        <w:t>ritten evidence submitted by The National Crime Agency (NCA),</w:t>
      </w:r>
      <w:r w:rsidRPr="001B3D39">
        <w:rPr>
          <w:b/>
          <w:bCs/>
          <w:sz w:val="24"/>
          <w:szCs w:val="24"/>
        </w:rPr>
        <w:br/>
        <w:t>relating to Policing and Security in Northern Ireland inquiry</w:t>
      </w:r>
      <w:r w:rsidRPr="001B3D39">
        <w:rPr>
          <w:b/>
          <w:bCs/>
          <w:sz w:val="24"/>
          <w:szCs w:val="24"/>
        </w:rPr>
        <w:br/>
        <w:t>[PSNI00</w:t>
      </w:r>
      <w:r>
        <w:rPr>
          <w:b/>
          <w:bCs/>
          <w:sz w:val="24"/>
          <w:szCs w:val="24"/>
        </w:rPr>
        <w:t>31</w:t>
      </w:r>
      <w:r w:rsidRPr="001B3D39">
        <w:rPr>
          <w:b/>
          <w:bCs/>
          <w:sz w:val="24"/>
          <w:szCs w:val="24"/>
        </w:rPr>
        <w:t>]</w:t>
      </w:r>
    </w:p>
    <w:p w:rsidR="001442BF">
      <w:pPr>
        <w:pStyle w:val="BodyText"/>
        <w:spacing w:before="124"/>
      </w:pPr>
    </w:p>
    <w:p w:rsidR="001442BF">
      <w:pPr>
        <w:pStyle w:val="BodyText"/>
        <w:spacing w:before="53"/>
      </w:pPr>
    </w:p>
    <w:p w:rsidR="001442BF">
      <w:pPr>
        <w:pStyle w:val="BodyText"/>
        <w:spacing w:before="55"/>
      </w:pPr>
    </w:p>
    <w:p w:rsidR="001442BF">
      <w:pPr>
        <w:pStyle w:val="BodyText"/>
        <w:ind w:left="141"/>
      </w:pPr>
      <w:r>
        <w:t>I</w:t>
      </w:r>
      <w:r>
        <w:rPr>
          <w:spacing w:val="-2"/>
        </w:rPr>
        <w:t xml:space="preserve"> </w:t>
      </w:r>
      <w:r>
        <w:t>write</w:t>
      </w:r>
      <w:r>
        <w:rPr>
          <w:spacing w:val="-2"/>
        </w:rPr>
        <w:t xml:space="preserve"> </w:t>
      </w:r>
      <w:r>
        <w:t>further</w:t>
      </w:r>
      <w:r>
        <w:rPr>
          <w:spacing w:val="-2"/>
        </w:rPr>
        <w:t xml:space="preserve"> </w:t>
      </w:r>
      <w:r>
        <w:t>to</w:t>
      </w:r>
      <w:r>
        <w:rPr>
          <w:spacing w:val="-1"/>
        </w:rPr>
        <w:t xml:space="preserve"> </w:t>
      </w:r>
      <w:r>
        <w:t>my</w:t>
      </w:r>
      <w:r>
        <w:rPr>
          <w:spacing w:val="-1"/>
        </w:rPr>
        <w:t xml:space="preserve"> </w:t>
      </w:r>
      <w:r>
        <w:t>oral</w:t>
      </w:r>
      <w:r>
        <w:rPr>
          <w:spacing w:val="-3"/>
        </w:rPr>
        <w:t xml:space="preserve"> </w:t>
      </w:r>
      <w:r>
        <w:t>evidence</w:t>
      </w:r>
      <w:r>
        <w:rPr>
          <w:spacing w:val="-3"/>
        </w:rPr>
        <w:t xml:space="preserve"> </w:t>
      </w:r>
      <w:r>
        <w:t>session</w:t>
      </w:r>
      <w:r>
        <w:rPr>
          <w:spacing w:val="-5"/>
        </w:rPr>
        <w:t xml:space="preserve"> </w:t>
      </w:r>
      <w:r>
        <w:t>on</w:t>
      </w:r>
      <w:r>
        <w:rPr>
          <w:spacing w:val="-2"/>
        </w:rPr>
        <w:t xml:space="preserve"> </w:t>
      </w:r>
      <w:r>
        <w:t>11</w:t>
      </w:r>
      <w:r>
        <w:rPr>
          <w:vertAlign w:val="superscript"/>
        </w:rPr>
        <w:t>th</w:t>
      </w:r>
      <w:r>
        <w:rPr>
          <w:spacing w:val="-3"/>
        </w:rPr>
        <w:t xml:space="preserve"> </w:t>
      </w:r>
      <w:r>
        <w:t>March</w:t>
      </w:r>
      <w:r>
        <w:rPr>
          <w:spacing w:val="-4"/>
        </w:rPr>
        <w:t xml:space="preserve"> </w:t>
      </w:r>
      <w:r>
        <w:rPr>
          <w:spacing w:val="-2"/>
        </w:rPr>
        <w:t>2026.</w:t>
      </w:r>
    </w:p>
    <w:p w:rsidR="001442BF">
      <w:pPr>
        <w:pStyle w:val="BodyText"/>
        <w:spacing w:before="54"/>
      </w:pPr>
    </w:p>
    <w:p w:rsidR="001442BF">
      <w:pPr>
        <w:pStyle w:val="BodyText"/>
        <w:spacing w:line="266" w:lineRule="auto"/>
        <w:ind w:left="141" w:right="137"/>
        <w:jc w:val="both"/>
      </w:pPr>
      <w:r>
        <w:t xml:space="preserve">During the session the committee asked whether it was possible for the signatories of the General </w:t>
      </w:r>
      <w:r>
        <w:rPr>
          <w:w w:val="105"/>
        </w:rPr>
        <w:t>Authorisation to amend or withdraw from that agreement. I committed to providing a written response to that question.</w:t>
      </w:r>
    </w:p>
    <w:p w:rsidR="001442BF">
      <w:pPr>
        <w:pStyle w:val="BodyText"/>
        <w:spacing w:before="25"/>
      </w:pPr>
    </w:p>
    <w:p w:rsidR="001442BF">
      <w:pPr>
        <w:pStyle w:val="BodyText"/>
        <w:spacing w:line="266" w:lineRule="auto"/>
        <w:ind w:left="141" w:right="137"/>
        <w:jc w:val="both"/>
      </w:pPr>
      <w:r>
        <w:t>The</w:t>
      </w:r>
      <w:r>
        <w:rPr>
          <w:spacing w:val="-2"/>
        </w:rPr>
        <w:t xml:space="preserve"> </w:t>
      </w:r>
      <w:r>
        <w:t>General</w:t>
      </w:r>
      <w:r>
        <w:rPr>
          <w:spacing w:val="-1"/>
        </w:rPr>
        <w:t xml:space="preserve"> </w:t>
      </w:r>
      <w:r>
        <w:t>Authorisation</w:t>
      </w:r>
      <w:r>
        <w:rPr>
          <w:spacing w:val="-3"/>
        </w:rPr>
        <w:t xml:space="preserve"> </w:t>
      </w:r>
      <w:r>
        <w:t>between</w:t>
      </w:r>
      <w:r>
        <w:rPr>
          <w:spacing w:val="-3"/>
        </w:rPr>
        <w:t xml:space="preserve"> </w:t>
      </w:r>
      <w:r>
        <w:t>the</w:t>
      </w:r>
      <w:r>
        <w:rPr>
          <w:spacing w:val="-2"/>
        </w:rPr>
        <w:t xml:space="preserve"> </w:t>
      </w:r>
      <w:r>
        <w:t>Department</w:t>
      </w:r>
      <w:r>
        <w:rPr>
          <w:spacing w:val="-2"/>
        </w:rPr>
        <w:t xml:space="preserve"> </w:t>
      </w:r>
      <w:r>
        <w:t>of</w:t>
      </w:r>
      <w:r>
        <w:rPr>
          <w:spacing w:val="-2"/>
        </w:rPr>
        <w:t xml:space="preserve"> </w:t>
      </w:r>
      <w:r>
        <w:t>Justice</w:t>
      </w:r>
      <w:r>
        <w:rPr>
          <w:spacing w:val="-2"/>
        </w:rPr>
        <w:t xml:space="preserve"> </w:t>
      </w:r>
      <w:r>
        <w:t>for</w:t>
      </w:r>
      <w:r>
        <w:rPr>
          <w:spacing w:val="-1"/>
        </w:rPr>
        <w:t xml:space="preserve"> </w:t>
      </w:r>
      <w:r>
        <w:t>Northern</w:t>
      </w:r>
      <w:r>
        <w:rPr>
          <w:spacing w:val="-3"/>
        </w:rPr>
        <w:t xml:space="preserve"> </w:t>
      </w:r>
      <w:r>
        <w:t>Ireland</w:t>
      </w:r>
      <w:r>
        <w:rPr>
          <w:spacing w:val="-1"/>
        </w:rPr>
        <w:t xml:space="preserve"> </w:t>
      </w:r>
      <w:r>
        <w:t>and</w:t>
      </w:r>
      <w:r>
        <w:rPr>
          <w:spacing w:val="-1"/>
        </w:rPr>
        <w:t xml:space="preserve"> </w:t>
      </w:r>
      <w:r>
        <w:t>the</w:t>
      </w:r>
      <w:r>
        <w:rPr>
          <w:spacing w:val="-2"/>
        </w:rPr>
        <w:t xml:space="preserve"> </w:t>
      </w:r>
      <w:r>
        <w:t>Director General</w:t>
      </w:r>
      <w:r>
        <w:rPr>
          <w:spacing w:val="-7"/>
        </w:rPr>
        <w:t xml:space="preserve"> </w:t>
      </w:r>
      <w:r>
        <w:t>of</w:t>
      </w:r>
      <w:r>
        <w:rPr>
          <w:spacing w:val="-8"/>
        </w:rPr>
        <w:t xml:space="preserve"> </w:t>
      </w:r>
      <w:r>
        <w:t>the</w:t>
      </w:r>
      <w:r>
        <w:rPr>
          <w:spacing w:val="-8"/>
        </w:rPr>
        <w:t xml:space="preserve"> </w:t>
      </w:r>
      <w:r>
        <w:t>National</w:t>
      </w:r>
      <w:r>
        <w:rPr>
          <w:spacing w:val="-9"/>
        </w:rPr>
        <w:t xml:space="preserve"> </w:t>
      </w:r>
      <w:r>
        <w:t>Crime</w:t>
      </w:r>
      <w:r>
        <w:rPr>
          <w:spacing w:val="-8"/>
        </w:rPr>
        <w:t xml:space="preserve"> </w:t>
      </w:r>
      <w:r>
        <w:t>Agency</w:t>
      </w:r>
      <w:r>
        <w:rPr>
          <w:spacing w:val="-8"/>
        </w:rPr>
        <w:t xml:space="preserve"> </w:t>
      </w:r>
      <w:r>
        <w:t>sets</w:t>
      </w:r>
      <w:r>
        <w:rPr>
          <w:spacing w:val="-7"/>
        </w:rPr>
        <w:t xml:space="preserve"> </w:t>
      </w:r>
      <w:r>
        <w:t>out</w:t>
      </w:r>
      <w:r>
        <w:rPr>
          <w:spacing w:val="-10"/>
        </w:rPr>
        <w:t xml:space="preserve"> </w:t>
      </w:r>
      <w:r>
        <w:t>the</w:t>
      </w:r>
      <w:r>
        <w:rPr>
          <w:spacing w:val="-8"/>
        </w:rPr>
        <w:t xml:space="preserve"> </w:t>
      </w:r>
      <w:r>
        <w:t>requirements</w:t>
      </w:r>
      <w:r>
        <w:rPr>
          <w:spacing w:val="-9"/>
        </w:rPr>
        <w:t xml:space="preserve"> </w:t>
      </w:r>
      <w:r>
        <w:t>and</w:t>
      </w:r>
      <w:r>
        <w:rPr>
          <w:spacing w:val="-9"/>
        </w:rPr>
        <w:t xml:space="preserve"> </w:t>
      </w:r>
      <w:r>
        <w:t>conditions</w:t>
      </w:r>
      <w:r>
        <w:rPr>
          <w:spacing w:val="-7"/>
        </w:rPr>
        <w:t xml:space="preserve"> </w:t>
      </w:r>
      <w:r>
        <w:t>for</w:t>
      </w:r>
      <w:r>
        <w:rPr>
          <w:spacing w:val="-8"/>
        </w:rPr>
        <w:t xml:space="preserve"> </w:t>
      </w:r>
      <w:r>
        <w:t>designated</w:t>
      </w:r>
      <w:r>
        <w:rPr>
          <w:spacing w:val="-7"/>
        </w:rPr>
        <w:t xml:space="preserve"> </w:t>
      </w:r>
      <w:r>
        <w:t xml:space="preserve">NCA </w:t>
      </w:r>
      <w:r>
        <w:rPr>
          <w:w w:val="105"/>
        </w:rPr>
        <w:t>officers</w:t>
      </w:r>
      <w:r>
        <w:rPr>
          <w:spacing w:val="-8"/>
          <w:w w:val="105"/>
        </w:rPr>
        <w:t xml:space="preserve"> </w:t>
      </w:r>
      <w:r>
        <w:rPr>
          <w:w w:val="105"/>
        </w:rPr>
        <w:t>to</w:t>
      </w:r>
      <w:r>
        <w:rPr>
          <w:spacing w:val="-9"/>
          <w:w w:val="105"/>
        </w:rPr>
        <w:t xml:space="preserve"> </w:t>
      </w:r>
      <w:r>
        <w:rPr>
          <w:w w:val="105"/>
        </w:rPr>
        <w:t>exercise</w:t>
      </w:r>
      <w:r>
        <w:rPr>
          <w:spacing w:val="-11"/>
          <w:w w:val="105"/>
        </w:rPr>
        <w:t xml:space="preserve"> </w:t>
      </w:r>
      <w:r>
        <w:rPr>
          <w:w w:val="105"/>
        </w:rPr>
        <w:t>the</w:t>
      </w:r>
      <w:r>
        <w:rPr>
          <w:spacing w:val="-10"/>
          <w:w w:val="105"/>
        </w:rPr>
        <w:t xml:space="preserve"> </w:t>
      </w:r>
      <w:r>
        <w:rPr>
          <w:w w:val="105"/>
        </w:rPr>
        <w:t>powers</w:t>
      </w:r>
      <w:r>
        <w:rPr>
          <w:spacing w:val="-8"/>
          <w:w w:val="105"/>
        </w:rPr>
        <w:t xml:space="preserve"> </w:t>
      </w:r>
      <w:r>
        <w:rPr>
          <w:w w:val="105"/>
        </w:rPr>
        <w:t>and</w:t>
      </w:r>
      <w:r>
        <w:rPr>
          <w:spacing w:val="-10"/>
          <w:w w:val="105"/>
        </w:rPr>
        <w:t xml:space="preserve"> </w:t>
      </w:r>
      <w:r>
        <w:rPr>
          <w:w w:val="105"/>
        </w:rPr>
        <w:t>privileges</w:t>
      </w:r>
      <w:r>
        <w:rPr>
          <w:spacing w:val="-8"/>
          <w:w w:val="105"/>
        </w:rPr>
        <w:t xml:space="preserve"> </w:t>
      </w:r>
      <w:r>
        <w:rPr>
          <w:w w:val="105"/>
        </w:rPr>
        <w:t>of</w:t>
      </w:r>
      <w:r>
        <w:rPr>
          <w:spacing w:val="-13"/>
          <w:w w:val="105"/>
        </w:rPr>
        <w:t xml:space="preserve"> </w:t>
      </w:r>
      <w:r>
        <w:rPr>
          <w:w w:val="105"/>
        </w:rPr>
        <w:t>a</w:t>
      </w:r>
      <w:r>
        <w:rPr>
          <w:spacing w:val="-9"/>
          <w:w w:val="105"/>
        </w:rPr>
        <w:t xml:space="preserve"> </w:t>
      </w:r>
      <w:r>
        <w:rPr>
          <w:w w:val="105"/>
        </w:rPr>
        <w:t>Northern</w:t>
      </w:r>
      <w:r>
        <w:rPr>
          <w:spacing w:val="-10"/>
          <w:w w:val="105"/>
        </w:rPr>
        <w:t xml:space="preserve"> </w:t>
      </w:r>
      <w:r>
        <w:rPr>
          <w:w w:val="105"/>
        </w:rPr>
        <w:t>Ireland</w:t>
      </w:r>
      <w:r>
        <w:rPr>
          <w:spacing w:val="-9"/>
          <w:w w:val="105"/>
        </w:rPr>
        <w:t xml:space="preserve"> </w:t>
      </w:r>
      <w:r>
        <w:rPr>
          <w:w w:val="105"/>
        </w:rPr>
        <w:t>Constable.</w:t>
      </w:r>
    </w:p>
    <w:p w:rsidR="001442BF">
      <w:pPr>
        <w:pStyle w:val="BodyText"/>
        <w:spacing w:before="23"/>
      </w:pPr>
    </w:p>
    <w:p w:rsidR="001442BF">
      <w:pPr>
        <w:pStyle w:val="BodyText"/>
        <w:spacing w:before="1" w:line="266" w:lineRule="auto"/>
        <w:ind w:left="141" w:right="137"/>
        <w:jc w:val="both"/>
      </w:pPr>
      <w:r>
        <w:t>In relation to the matter of whether a party can amend or withdraw from the General Authorisation, the relevant section states that parties to the agreement may review the agreement at any time. Parties to that agreement are the Minister of Justice for Northern Ireland and the Director General of</w:t>
      </w:r>
      <w:r>
        <w:rPr>
          <w:spacing w:val="-2"/>
        </w:rPr>
        <w:t xml:space="preserve"> </w:t>
      </w:r>
      <w:r>
        <w:t>the</w:t>
      </w:r>
      <w:r>
        <w:rPr>
          <w:spacing w:val="-2"/>
        </w:rPr>
        <w:t xml:space="preserve"> </w:t>
      </w:r>
      <w:r>
        <w:t>NCA. Additionally,</w:t>
      </w:r>
      <w:r>
        <w:rPr>
          <w:spacing w:val="-1"/>
        </w:rPr>
        <w:t xml:space="preserve"> </w:t>
      </w:r>
      <w:r>
        <w:t>the</w:t>
      </w:r>
      <w:r>
        <w:rPr>
          <w:spacing w:val="-2"/>
        </w:rPr>
        <w:t xml:space="preserve"> </w:t>
      </w:r>
      <w:r>
        <w:t>Chief</w:t>
      </w:r>
      <w:r>
        <w:rPr>
          <w:spacing w:val="-1"/>
        </w:rPr>
        <w:t xml:space="preserve"> </w:t>
      </w:r>
      <w:r>
        <w:t>Constable</w:t>
      </w:r>
      <w:r>
        <w:rPr>
          <w:spacing w:val="-1"/>
        </w:rPr>
        <w:t xml:space="preserve"> </w:t>
      </w:r>
      <w:r>
        <w:t>of</w:t>
      </w:r>
      <w:r>
        <w:rPr>
          <w:spacing w:val="-1"/>
        </w:rPr>
        <w:t xml:space="preserve"> </w:t>
      </w:r>
      <w:r>
        <w:t>PSNI has</w:t>
      </w:r>
      <w:r>
        <w:rPr>
          <w:spacing w:val="-1"/>
        </w:rPr>
        <w:t xml:space="preserve"> </w:t>
      </w:r>
      <w:r>
        <w:t>a</w:t>
      </w:r>
      <w:r>
        <w:rPr>
          <w:spacing w:val="-1"/>
        </w:rPr>
        <w:t xml:space="preserve"> </w:t>
      </w:r>
      <w:r>
        <w:t>right</w:t>
      </w:r>
      <w:r>
        <w:rPr>
          <w:spacing w:val="-1"/>
        </w:rPr>
        <w:t xml:space="preserve"> </w:t>
      </w:r>
      <w:r>
        <w:t>under</w:t>
      </w:r>
      <w:r>
        <w:rPr>
          <w:spacing w:val="-2"/>
        </w:rPr>
        <w:t xml:space="preserve"> </w:t>
      </w:r>
      <w:r>
        <w:t>the</w:t>
      </w:r>
      <w:r>
        <w:rPr>
          <w:spacing w:val="-2"/>
        </w:rPr>
        <w:t xml:space="preserve"> </w:t>
      </w:r>
      <w:r>
        <w:t>agreement</w:t>
      </w:r>
      <w:r>
        <w:rPr>
          <w:spacing w:val="-1"/>
        </w:rPr>
        <w:t xml:space="preserve"> </w:t>
      </w:r>
      <w:r>
        <w:t>to</w:t>
      </w:r>
      <w:r>
        <w:rPr>
          <w:spacing w:val="-1"/>
        </w:rPr>
        <w:t xml:space="preserve"> </w:t>
      </w:r>
      <w:r>
        <w:t>request</w:t>
      </w:r>
      <w:r>
        <w:rPr>
          <w:spacing w:val="-2"/>
        </w:rPr>
        <w:t xml:space="preserve"> </w:t>
      </w:r>
      <w:r>
        <w:t>a review of the General Authorisation.</w:t>
      </w:r>
    </w:p>
    <w:p w:rsidR="001442BF">
      <w:pPr>
        <w:pStyle w:val="BodyText"/>
        <w:spacing w:before="22"/>
      </w:pPr>
    </w:p>
    <w:p w:rsidR="001442BF">
      <w:pPr>
        <w:pStyle w:val="BodyText"/>
        <w:spacing w:before="1" w:line="266" w:lineRule="auto"/>
        <w:ind w:left="141" w:right="136"/>
        <w:jc w:val="both"/>
      </w:pPr>
      <w:r>
        <w:t xml:space="preserve">There is no automatic or express right of withdrawal from the agreement after a specified process. </w:t>
      </w:r>
      <w:r>
        <w:rPr>
          <w:w w:val="105"/>
        </w:rPr>
        <w:t>However, parties to the agreement and the Chief Constable of PSNI could request a review opportunity</w:t>
      </w:r>
      <w:r>
        <w:rPr>
          <w:spacing w:val="-8"/>
          <w:w w:val="105"/>
        </w:rPr>
        <w:t xml:space="preserve"> </w:t>
      </w:r>
      <w:r>
        <w:rPr>
          <w:w w:val="105"/>
        </w:rPr>
        <w:t>with</w:t>
      </w:r>
      <w:r>
        <w:rPr>
          <w:spacing w:val="-7"/>
          <w:w w:val="105"/>
        </w:rPr>
        <w:t xml:space="preserve"> </w:t>
      </w:r>
      <w:r>
        <w:rPr>
          <w:w w:val="105"/>
        </w:rPr>
        <w:t>the</w:t>
      </w:r>
      <w:r>
        <w:rPr>
          <w:spacing w:val="-7"/>
          <w:w w:val="105"/>
        </w:rPr>
        <w:t xml:space="preserve"> </w:t>
      </w:r>
      <w:r>
        <w:rPr>
          <w:w w:val="105"/>
        </w:rPr>
        <w:t>intention</w:t>
      </w:r>
      <w:r>
        <w:rPr>
          <w:spacing w:val="-8"/>
          <w:w w:val="105"/>
        </w:rPr>
        <w:t xml:space="preserve"> </w:t>
      </w:r>
      <w:r>
        <w:rPr>
          <w:w w:val="105"/>
        </w:rPr>
        <w:t>of</w:t>
      </w:r>
      <w:r>
        <w:rPr>
          <w:spacing w:val="-6"/>
          <w:w w:val="105"/>
        </w:rPr>
        <w:t xml:space="preserve"> </w:t>
      </w:r>
      <w:r>
        <w:rPr>
          <w:w w:val="105"/>
        </w:rPr>
        <w:t>amending</w:t>
      </w:r>
      <w:r>
        <w:rPr>
          <w:spacing w:val="-6"/>
          <w:w w:val="105"/>
        </w:rPr>
        <w:t xml:space="preserve"> </w:t>
      </w:r>
      <w:r>
        <w:rPr>
          <w:w w:val="105"/>
        </w:rPr>
        <w:t>or</w:t>
      </w:r>
      <w:r>
        <w:rPr>
          <w:spacing w:val="-7"/>
          <w:w w:val="105"/>
        </w:rPr>
        <w:t xml:space="preserve"> </w:t>
      </w:r>
      <w:r>
        <w:rPr>
          <w:w w:val="105"/>
        </w:rPr>
        <w:t>terminating</w:t>
      </w:r>
      <w:r>
        <w:rPr>
          <w:spacing w:val="-6"/>
          <w:w w:val="105"/>
        </w:rPr>
        <w:t xml:space="preserve"> </w:t>
      </w:r>
      <w:r>
        <w:rPr>
          <w:w w:val="105"/>
        </w:rPr>
        <w:t>the</w:t>
      </w:r>
      <w:r>
        <w:rPr>
          <w:spacing w:val="-9"/>
          <w:w w:val="105"/>
        </w:rPr>
        <w:t xml:space="preserve"> </w:t>
      </w:r>
      <w:r>
        <w:rPr>
          <w:w w:val="105"/>
        </w:rPr>
        <w:t>agreement.</w:t>
      </w:r>
    </w:p>
    <w:p w:rsidR="001442BF">
      <w:pPr>
        <w:pStyle w:val="BodyText"/>
        <w:spacing w:before="25"/>
      </w:pPr>
    </w:p>
    <w:p w:rsidR="001442BF">
      <w:pPr>
        <w:pStyle w:val="BodyText"/>
        <w:spacing w:before="1" w:line="266" w:lineRule="auto"/>
        <w:ind w:left="141" w:right="137"/>
        <w:jc w:val="both"/>
      </w:pPr>
      <w:r>
        <w:rPr>
          <w:w w:val="105"/>
        </w:rPr>
        <w:t>Further, the General Authorisation once agreed remains in force for a period of five years. If a further agreement is not made, the agreement will end until such time as a new General Authorisation is agreed.</w:t>
      </w:r>
    </w:p>
    <w:p w:rsidR="001442BF">
      <w:pPr>
        <w:pStyle w:val="BodyText"/>
        <w:spacing w:before="25"/>
      </w:pPr>
    </w:p>
    <w:p w:rsidR="0043215B">
      <w:pPr>
        <w:pStyle w:val="BodyText"/>
        <w:spacing w:before="25"/>
      </w:pPr>
    </w:p>
    <w:p w:rsidR="0043215B" w:rsidRPr="0043215B">
      <w:pPr>
        <w:pStyle w:val="BodyText"/>
        <w:spacing w:before="25"/>
        <w:rPr>
          <w:i/>
          <w:iCs/>
          <w:sz w:val="24"/>
          <w:szCs w:val="24"/>
        </w:rPr>
      </w:pPr>
      <w:r w:rsidRPr="0043215B">
        <w:rPr>
          <w:i/>
          <w:iCs/>
          <w:sz w:val="24"/>
          <w:szCs w:val="24"/>
        </w:rPr>
        <w:t>June 2026</w:t>
      </w:r>
    </w:p>
    <w:sectPr>
      <w:footerReference w:type="default" r:id="rId4"/>
      <w:type w:val="continuous"/>
      <w:pgSz w:w="11910" w:h="16850"/>
      <w:pgMar w:top="280" w:right="992" w:bottom="1680" w:left="992" w:header="0" w:footer="14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2BF">
    <w:pPr>
      <w:pStyle w:val="BodyText"/>
      <w:spacing w:line="14" w:lineRule="auto"/>
      <w:rPr>
        <w:sz w:val="20"/>
      </w:rPr>
    </w:pPr>
    <w:r>
      <w:rPr>
        <w:noProof/>
        <w:sz w:val="20"/>
      </w:rPr>
      <w:drawing>
        <wp:anchor distT="0" distB="0" distL="0" distR="0" simplePos="0" relativeHeight="251658240" behindDoc="1" locked="0" layoutInCell="1" allowOverlap="1">
          <wp:simplePos x="0" y="0"/>
          <wp:positionH relativeFrom="page">
            <wp:posOffset>717550</wp:posOffset>
          </wp:positionH>
          <wp:positionV relativeFrom="page">
            <wp:posOffset>9626574</wp:posOffset>
          </wp:positionV>
          <wp:extent cx="615950" cy="61595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1" cstate="print"/>
                  <a:stretch>
                    <a:fillRect/>
                  </a:stretch>
                </pic:blipFill>
                <pic:spPr>
                  <a:xfrm>
                    <a:off x="0" y="0"/>
                    <a:ext cx="615950" cy="615950"/>
                  </a:xfrm>
                  <a:prstGeom prst="rect">
                    <a:avLst/>
                  </a:prstGeom>
                </pic:spPr>
              </pic:pic>
            </a:graphicData>
          </a:graphic>
        </wp:anchor>
      </w:drawing>
    </w:r>
    <w:r>
      <w:rPr>
        <w:noProof/>
        <w:sz w:val="20"/>
      </w:rPr>
      <w:pict>
        <v:shapetype id="_x0000_t202" coordsize="21600,21600" o:spt="202" path="m,l,21600r21600,l21600,xe">
          <v:stroke joinstyle="miter"/>
          <v:path gradientshapeok="t" o:connecttype="rect"/>
        </v:shapetype>
        <v:shape id="Textbox 2" o:spid="_x0000_s2049" type="#_x0000_t202" style="height:15.45pt;margin-left:276.25pt;margin-top:809.3pt;mso-position-horizontal-relative:page;mso-position-vertical-relative:page;mso-wrap-distance-bottom:0;mso-wrap-distance-left:0;mso-wrap-distance-right:0;mso-wrap-distance-top:0;mso-wrap-style:square;position:absolute;v-text-anchor:top;visibility:visible;width:61.25pt;z-index:-251657216" filled="f" stroked="f">
          <v:textbox inset="0,0,0,0">
            <w:txbxContent>
              <w:p w:rsidR="001442BF">
                <w:pPr>
                  <w:spacing w:before="21"/>
                  <w:ind w:left="20"/>
                  <w:rPr>
                    <w:rFonts w:ascii="Verdana"/>
                    <w:b/>
                  </w:rPr>
                </w:pPr>
                <w:r>
                  <w:rPr>
                    <w:rFonts w:ascii="Verdana"/>
                    <w:b/>
                    <w:spacing w:val="-2"/>
                  </w:rPr>
                  <w:t>OFFICIAL</w:t>
                </w:r>
              </w:p>
            </w:txbxContent>
          </v:textbox>
          <w10:wrap anchorx="page" anchory="page"/>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
      <w:outlineLvl w:val="0"/>
    </w:pPr>
    <w:rPr>
      <w:rFonts w:ascii="Verdana" w:eastAsia="Verdana" w:hAnsi="Verdana" w:cs="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PSNI0031</dc:title>
  <cp:revision>0</cp:revision>
</cp:coreProperties>
</file>