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86B67">
      <w:pPr>
        <w:spacing w:after="120"/>
        <w:jc w:val="center"/>
        <w:rPr>
          <w:b/>
          <w:bCs/>
          <w:sz w:val="26"/>
          <w:szCs w:val="26"/>
        </w:rPr>
      </w:pPr>
    </w:p>
    <w:p w:rsidR="005B40E8">
      <w:pPr>
        <w:spacing w:after="120"/>
        <w:jc w:val="center"/>
      </w:pPr>
      <w:r>
        <w:rPr>
          <w:b/>
          <w:bCs/>
          <w:sz w:val="26"/>
          <w:szCs w:val="26"/>
        </w:rPr>
        <w:t xml:space="preserve">Written evidence submitted by </w:t>
      </w:r>
      <w:r w:rsidRPr="00286B67" w:rsidR="00286B67">
        <w:rPr>
          <w:b/>
          <w:bCs/>
          <w:sz w:val="26"/>
          <w:szCs w:val="26"/>
        </w:rPr>
        <w:t>Professor KAI LIU </w:t>
      </w:r>
      <w:r w:rsidR="00286B67">
        <w:rPr>
          <w:b/>
          <w:bCs/>
          <w:sz w:val="26"/>
          <w:szCs w:val="26"/>
        </w:rPr>
        <w:t>(ECA0019)</w:t>
      </w:r>
    </w:p>
    <w:p w:rsidR="005B40E8">
      <w:pPr>
        <w:spacing w:after="300"/>
        <w:jc w:val="center"/>
      </w:pPr>
      <w:r>
        <w:rPr>
          <w:i/>
          <w:iCs/>
        </w:rPr>
        <w:t>Education Committee inquiry: ‘Every Child Achieving and Thriving’ White Paper</w:t>
      </w:r>
    </w:p>
    <w:p w:rsidR="005B40E8">
      <w:pPr>
        <w:pStyle w:val="Heading1"/>
        <w:spacing w:before="300" w:after="160"/>
      </w:pPr>
      <w:r>
        <w:t>Summary</w:t>
      </w:r>
    </w:p>
    <w:p w:rsidR="005B40E8">
      <w:pPr>
        <w:spacing w:after="200" w:line="300" w:lineRule="auto"/>
      </w:pPr>
      <w:r>
        <w:t xml:space="preserve">1. Admission rules are not administratively neutral: they determine which children get access to the most effective schools. My co-authored research, published in the </w:t>
      </w:r>
      <w:r>
        <w:rPr>
          <w:i/>
          <w:iCs/>
        </w:rPr>
        <w:t>American Economic Journal: Applied Economics</w:t>
      </w:r>
      <w:r>
        <w:t>, studied what happened when Bergen, Norway’s second-largest city, replaced residence-based (catchment) admission to academic upper secondary schools with admission based purely on pupils’ prior grades. We found a striking asymmetry. High-attaining pupils were “pulled in” to the best schools, but this did not translate into any measurable gain in their outcomes: they were no more likely to complete upper secondary school, or to enter and complete university, than similar pupils before the reform. Lower-atta</w:t>
      </w:r>
      <w:r>
        <w:t xml:space="preserve">ining pupils, by contrast, were “crowded out” of the good schools near their homes and did measurably worse on </w:t>
      </w:r>
      <w:r>
        <w:t>all of these outcomes. In other words, the reform redistributed access to good schools towards the pupils who benefit from them least, and away from the pupils who benefit from them most.</w:t>
      </w:r>
    </w:p>
    <w:p w:rsidR="005B40E8">
      <w:pPr>
        <w:spacing w:after="200" w:line="300" w:lineRule="auto"/>
      </w:pPr>
      <w:r>
        <w:t>2. Two lessons follow. First, low-attaining pupils are highly sensitive to their school environment:</w:t>
      </w:r>
      <w:r>
        <w:t xml:space="preserve"> given the chance to attend a good school, they achieve better results; deprived of it, they fall away. High-attaining pupils, by comparison, do well wherever they are placed. Second, “meritocratic” admission by prior grades is therefore not a neutral efficiency measure — in Bergen it increased inequality and segregation while overall attainment, if anything, fell slightly. This evidence is relevant to the White Paper’s proposals on the School Admissions Code, on reducing disadvantage gaps, and on accountab</w:t>
      </w:r>
      <w:r>
        <w:t>ility measures for low attainers. My central message is that admissions and accountability reforms should be evaluated for their distributional effects, because a system-wide average can conceal serious harm to the lowest attainers while showing no offsetting gain elsewhere.</w:t>
      </w:r>
    </w:p>
    <w:p w:rsidR="005B40E8">
      <w:pPr>
        <w:pStyle w:val="Heading1"/>
        <w:spacing w:before="300" w:after="160"/>
      </w:pPr>
      <w:r>
        <w:t>About me and why I am submitting evidence</w:t>
      </w:r>
    </w:p>
    <w:p w:rsidR="005B40E8">
      <w:pPr>
        <w:spacing w:after="200" w:line="300" w:lineRule="auto"/>
      </w:pPr>
      <w:r>
        <w:t xml:space="preserve">3. I am Kai Liu, Professor of Economics at the University of Cambridge. My research field is the economics of education and labour markets, with a focus on how school systems and admission rules shape pupils’ long-run outcomes. This submission draws on my peer-reviewed research: Antonio Dalla-Zuanna, Kai Liu and Kjell G. Salvanes, “Pulled In and Crowded Out: Heterogeneous Outcomes of Merit-Based School Choice”, </w:t>
      </w:r>
      <w:r>
        <w:rPr>
          <w:i/>
          <w:iCs/>
        </w:rPr>
        <w:t>American Economic Journal: Applied Economics</w:t>
      </w:r>
      <w:r>
        <w:t>, vol. 17, no. 4 (October 2025). This submission has not been published elsewhere and is not intended for publication elsewhere; it quotes from and refers to the published article.</w:t>
      </w:r>
    </w:p>
    <w:p w:rsidR="005B40E8">
      <w:pPr>
        <w:spacing w:after="200" w:line="300" w:lineRule="auto"/>
      </w:pPr>
      <w:r>
        <w:t xml:space="preserve">4. Norway offers an unusually clean setting to study admission rules: a policy change with a clear before-and-after, and rich administrative data that follow every pupil from school into adulthood. The lessons travel well to England because the underlying mechanism — that when school places are </w:t>
      </w:r>
      <w:r>
        <w:t>scarce, the rule used to ration them redistributes access to school quality across children — applies to any admissions system, including the one the Government now proposes to reform.</w:t>
      </w:r>
    </w:p>
    <w:p w:rsidR="005B40E8">
      <w:pPr>
        <w:pStyle w:val="Heading1"/>
        <w:spacing w:before="300" w:after="160"/>
      </w:pPr>
      <w:r>
        <w:t>The research: what happens when school places are allocated by grades</w:t>
      </w:r>
    </w:p>
    <w:p w:rsidR="005B40E8">
      <w:pPr>
        <w:spacing w:after="200" w:line="300" w:lineRule="auto"/>
      </w:pPr>
      <w:r>
        <w:t xml:space="preserve">5. </w:t>
      </w:r>
      <w:r>
        <w:rPr>
          <w:b/>
          <w:bCs/>
        </w:rPr>
        <w:t xml:space="preserve">The policy change studied. </w:t>
      </w:r>
      <w:r>
        <w:t>Until 2005, pupils in Bergen were assigned to the academic upper secondary school closest to their home. From the 2005–06 school year, pupils instead ranked up to six schools and, where a school was oversubscribed, places were allocated strictly by pupils’ grade point average (GPA) from lower secondary school — the pupil with the highest grades got their first choice, then the next, and so on. School capacity was fixed, and five schools with strong reputations and higher measured effectiveness became oversu</w:t>
      </w:r>
      <w:r>
        <w:t>bscribed (we call these the “competitive” schools). In plain terms: instead of your address deciding your school, your grades did.</w:t>
      </w:r>
    </w:p>
    <w:p w:rsidR="005B40E8">
      <w:pPr>
        <w:spacing w:after="200" w:line="300" w:lineRule="auto"/>
      </w:pPr>
      <w:r>
        <w:t xml:space="preserve">6. </w:t>
      </w:r>
      <w:r>
        <w:rPr>
          <w:b/>
          <w:bCs/>
        </w:rPr>
        <w:t xml:space="preserve">Why this is informative. </w:t>
      </w:r>
      <w:r>
        <w:t>Because the reform changed only the allocation rule — schools in Norway are centrally financed, class sizes are regulated, and we verify that teacher characteristics and school resources did not change — comparing cohorts just before and just after the change isolates the effect of the admission rule itself.</w:t>
      </w:r>
    </w:p>
    <w:p w:rsidR="005B40E8">
      <w:pPr>
        <w:spacing w:after="200" w:line="300" w:lineRule="auto"/>
      </w:pPr>
      <w:r>
        <w:t xml:space="preserve">7. </w:t>
      </w:r>
      <w:r>
        <w:rPr>
          <w:b/>
          <w:bCs/>
        </w:rPr>
        <w:t xml:space="preserve">The outcomes we measured. </w:t>
      </w:r>
      <w:r>
        <w:t>Using administrative data covering every pupil and following them into their late twenties, we measured three main outcomes: completion of upper secondary school (within four years of starting), enrolment in university (within six years of starting upper secondary school), and completion of a university degree (by age 28). We also examined school absence and enrolment in elite universities and STEM fields. This matters:</w:t>
      </w:r>
      <w:r>
        <w:t xml:space="preserve"> admission reforms are often judged only by which school pupils enter, whereas we can judge this one by what it did to pupils’ educational lives.</w:t>
      </w:r>
    </w:p>
    <w:p w:rsidR="005B40E8">
      <w:pPr>
        <w:spacing w:after="200" w:line="300" w:lineRule="auto"/>
      </w:pPr>
      <w:r>
        <w:t xml:space="preserve">8. </w:t>
      </w:r>
      <w:r>
        <w:rPr>
          <w:b/>
          <w:bCs/>
        </w:rPr>
        <w:t xml:space="preserve">Finding 1: high-attaining pupils were “pulled in” — but gained nothing measurable. </w:t>
      </w:r>
      <w:r>
        <w:t xml:space="preserve">Pupils with strong prior grades, including able pupils whose local school was weak, gained access to the competitive schools: the share of top-quintile pupils attending them rose from 44 per cent to 59 per cent. Yet this improved access did not improve their outcomes. For pulled-in pupils, the estimated effects of attending a competitive school on upper secondary completion, university enrolment and university completion are all small and statistically indistinguishable from zero — and the same is true for </w:t>
      </w:r>
      <w:r>
        <w:t>outcomes where “ceiling effects” cannot explain the result, such as entry to elite universities and STEM fields. Even pupils pulled into the two most selective schools of all gained nothing measurable. Strong pupils, it turns out, do well in good schools and in ordinary ones.</w:t>
      </w:r>
    </w:p>
    <w:p w:rsidR="005B40E8">
      <w:pPr>
        <w:spacing w:after="200" w:line="300" w:lineRule="auto"/>
      </w:pPr>
      <w:r>
        <w:t xml:space="preserve">9. </w:t>
      </w:r>
      <w:r>
        <w:rPr>
          <w:b/>
          <w:bCs/>
        </w:rPr>
        <w:t xml:space="preserve">Finding 2: lower-attaining pupils were “crowded out” — and did measurably worse. </w:t>
      </w:r>
      <w:r>
        <w:t>With school capacity fixed, when places at good schools are allocated by grades, lower-attaining pupils who previously attended a good school near their home lose their place to higher-attaining applicants. Among bottom-quintile pupils, attendance at a competitive school fell from 35 per cent to 9 per cent after the reform. Their outcomes deteriorated as a result: the reform reduced upper secondary completion among low-GPA pupils by about 7.5 percentage points (from a pre-reform baseline of 73 per cent) and</w:t>
      </w:r>
      <w:r>
        <w:t xml:space="preserve"> university enrolment by about 8 percentage points. These losses indicate that, before the reform, access to a good school was making a substantial difference for these pupils.</w:t>
      </w:r>
    </w:p>
    <w:p w:rsidR="005B40E8">
      <w:pPr>
        <w:spacing w:after="200" w:line="300" w:lineRule="auto"/>
      </w:pPr>
      <w:r>
        <w:t xml:space="preserve">10. </w:t>
      </w:r>
      <w:r>
        <w:rPr>
          <w:b/>
          <w:bCs/>
        </w:rPr>
        <w:t xml:space="preserve">Finding 3: low attainers are the pupils most sensitive to school environment. </w:t>
      </w:r>
      <w:r>
        <w:t>Taken together, Findings 1 and 2 reveal an asymmetry with direct policy relevance. School quality — effective teaching, orderly environments, supportive peers — matters most at the bottom of the attainment distribution and least at the top. A “meritocratic” allocation rule therefore gets the matching exactly backwards: it hands the scarce places in good schools to the pupils who least need them, and</w:t>
      </w:r>
      <w:r>
        <w:t xml:space="preserve"> withdraws them from the pupils whose futures depend on them.</w:t>
      </w:r>
    </w:p>
    <w:p w:rsidR="005B40E8">
      <w:pPr>
        <w:spacing w:after="200" w:line="300" w:lineRule="auto"/>
      </w:pPr>
      <w:r>
        <w:t xml:space="preserve">11. </w:t>
      </w:r>
      <w:r>
        <w:rPr>
          <w:b/>
          <w:bCs/>
        </w:rPr>
        <w:t xml:space="preserve">Finding 4: the aggregate effect was not positive, and segregation increased. </w:t>
      </w:r>
      <w:r>
        <w:t>The reform’s aggregate effect on educational attainment was, if anything, small and negative: university enrolment fell by around 2 percentage points overall. Nor did merit-based choice open the best schools to poorer families, as its advocates had hoped. Pupils pulled in were more likely to come from high-socioeconomic-status families than pupils crowded out (50 per cent versus 33 per cent with two university-educated parents), so the competitive schools became more, not less, segregated by family backgrou</w:t>
      </w:r>
      <w:r>
        <w:t>nd. Access also became more unequal by gender, with girls heavily over-represented among the pulled-in (82 per cent). This raises a broader question for policy: whether “merit”, measured by grades at a young age — itself strongly correlated with family background — is an appropriate basis for allocating a public good on which disadvantaged children depend most.</w:t>
      </w:r>
    </w:p>
    <w:p w:rsidR="005B40E8">
      <w:pPr>
        <w:pStyle w:val="Heading1"/>
        <w:spacing w:before="300" w:after="160"/>
      </w:pPr>
      <w:r>
        <w:t>Relevance to the White Paper: school admissions</w:t>
      </w:r>
    </w:p>
    <w:p w:rsidR="005B40E8">
      <w:pPr>
        <w:spacing w:after="200" w:line="300" w:lineRule="auto"/>
      </w:pPr>
      <w:r>
        <w:t>12. The Government proposes to reform the School Admissions Code and asks how fairness and transparency in admissions can be secured. My research suggests three lessons.</w:t>
      </w:r>
    </w:p>
    <w:p w:rsidR="005B40E8">
      <w:pPr>
        <w:spacing w:after="200" w:line="300" w:lineRule="auto"/>
      </w:pPr>
      <w:r>
        <w:t xml:space="preserve">13. </w:t>
      </w:r>
      <w:r>
        <w:rPr>
          <w:b/>
          <w:bCs/>
        </w:rPr>
        <w:t xml:space="preserve">First, evaluate admission arrangements by their distributional consequences — including for the pupils they displace. </w:t>
      </w:r>
      <w:r>
        <w:t xml:space="preserve">Any admission arrangement that channels higher attainers into the best schools also, when places are limited, channels lower attainers out of them. Evaluations of admissions and school choice policies typically focus on the pupils who gain access; the pupils who are displaced are rarely measured at all, even though — as our evidence shows — they may bear the largest costs, while the gains to those admitted may be modest. English circumstances may of course differ from Norwegian ones, but the general lesson </w:t>
      </w:r>
      <w:r>
        <w:t>holds: a reformed School Admissions Code, and any evaluation of it, should be assessed by its effects on the full distribution of pupils — including those who lose their place at a preferred or nearby school — not only by the outcomes of those admitted or by the wording of the criteria. As we note in the published article, these results also speak directly to the policy debate on selective school systems, such as the grammar school system in the United Kingdom.</w:t>
      </w:r>
    </w:p>
    <w:p w:rsidR="005B40E8">
      <w:pPr>
        <w:spacing w:after="200" w:line="300" w:lineRule="auto"/>
      </w:pPr>
      <w:r>
        <w:t xml:space="preserve">14. </w:t>
      </w:r>
      <w:r>
        <w:rPr>
          <w:b/>
          <w:bCs/>
        </w:rPr>
        <w:t xml:space="preserve">Second, where “banding” is used, it should be genuinely balanced and monitored. </w:t>
      </w:r>
      <w:r>
        <w:t>Banding is a technique some English schools use when they are oversubscribed: applicants sit a test and are grouped into ability bands (for example, five bands from lowest to highest prior attainment), and the school then admits a fixed share of pupils from each band. Its purpose is the opposite of merit-based allocation — rather than filling the school from the top of the grade distribution, it is meant to secure an intake that mirrors the full range of ability in the area. Used properly, banding is theref</w:t>
      </w:r>
      <w:r>
        <w:t xml:space="preserve">ore </w:t>
      </w:r>
      <w:r>
        <w:t>a safeguard against exactly the crowding-out dynamic we document. But it only works if the bands genuinely reflect the local attainment distribution and if compliance is monitored; if the bands are drawn from a skewed applicant pool, or the test deters some families from applying, a nominally banded school can still end up with a selective intake. The Committee may wish to press the Government on who will check that banding arrangements are representative in practice.</w:t>
      </w:r>
    </w:p>
    <w:p w:rsidR="005B40E8">
      <w:pPr>
        <w:spacing w:after="200" w:line="300" w:lineRule="auto"/>
      </w:pPr>
      <w:r>
        <w:t xml:space="preserve">15. </w:t>
      </w:r>
      <w:r>
        <w:rPr>
          <w:b/>
          <w:bCs/>
        </w:rPr>
        <w:t xml:space="preserve">Third, in-year admissions and fair access protocols deserve particular attention. </w:t>
      </w:r>
      <w:r>
        <w:t>Pupils who move in-year, or who are displaced from their preferred school, resemble the “crowded-out” pupils in our study: they are disproportionately disadvantaged and disproportionately harmed by being placed in weaker or distant schools. Strengthening fair access protocols, and giving local authorities effective coordination powers, is well supported by the logic of our findings.</w:t>
      </w:r>
    </w:p>
    <w:p w:rsidR="005B40E8">
      <w:pPr>
        <w:pStyle w:val="Heading1"/>
        <w:spacing w:before="300" w:after="160"/>
      </w:pPr>
      <w:r>
        <w:t>Relevance to the White Paper: disadvantage gaps and accountability</w:t>
      </w:r>
    </w:p>
    <w:p w:rsidR="005B40E8">
      <w:pPr>
        <w:spacing w:after="200" w:line="300" w:lineRule="auto"/>
      </w:pPr>
      <w:r>
        <w:t xml:space="preserve">16. </w:t>
      </w:r>
      <w:r>
        <w:rPr>
          <w:b/>
          <w:bCs/>
        </w:rPr>
        <w:t xml:space="preserve">Accountability design shapes admission incentives. </w:t>
      </w:r>
      <w:r>
        <w:t>The White Paper proposes new accountability measures, including measures for low and high attainers. Schools respond to accountability incentives partly through whom they admit and whom they retain. If new measures reward schools for the attainment profile of their intake rather than the progress they generate, schools will face incentives to attract high attainers and deter low attainers — reproducing, through the back door, the crowding-out dynamic we document. Progress-based measures, and the proposed sp</w:t>
      </w:r>
      <w:r>
        <w:t>ecific measures for low attainers, are therefore valuable precisely because they reward schools for serving the pupils whose outcomes are most sensitive to school environment.</w:t>
      </w:r>
    </w:p>
    <w:p w:rsidR="005B40E8">
      <w:pPr>
        <w:spacing w:after="200" w:line="300" w:lineRule="auto"/>
      </w:pPr>
      <w:r>
        <w:t xml:space="preserve">17. </w:t>
      </w:r>
      <w:r>
        <w:rPr>
          <w:b/>
          <w:bCs/>
        </w:rPr>
        <w:t xml:space="preserve">Disadvantage funding. </w:t>
      </w:r>
      <w:r>
        <w:t>Our findings also bear on the proposed stepped funding model. Because the harms of school allocation fall on low-attaining, disadvantaged pupils, funding that follows those pupils — and is sufficient to make them attractive for schools to admit and retain — is a direct counterweight to crowding-out incentives. The Committee should ask whether the proposed household-income-based model preserves a strong financial incentive for effective schools to admit and keep the most disadvantaged pupils.</w:t>
      </w:r>
    </w:p>
    <w:p w:rsidR="005B40E8">
      <w:pPr>
        <w:pStyle w:val="Heading1"/>
        <w:spacing w:before="300" w:after="160"/>
      </w:pPr>
      <w:r>
        <w:t>Recommendations</w:t>
      </w:r>
    </w:p>
    <w:p w:rsidR="005B40E8">
      <w:pPr>
        <w:spacing w:after="200" w:line="300" w:lineRule="auto"/>
      </w:pPr>
      <w:r>
        <w:t>18. The Department for Education should commit to evaluating admissions and accountability reforms separately for low, middle and high prior attainers and for disadvantaged pupils, and explicitly measuring outcomes for pupils displaced from preferred or nearby schools — rather than by system averages alone. Our research shows that averages can conceal significant harm to the most vulnerable pupils.</w:t>
      </w:r>
    </w:p>
    <w:p w:rsidR="005B40E8">
      <w:pPr>
        <w:pStyle w:val="Heading1"/>
        <w:spacing w:before="300" w:after="160"/>
      </w:pPr>
      <w:r>
        <w:t>Questions the Committee may wish to put to the Government</w:t>
      </w:r>
    </w:p>
    <w:p w:rsidR="005B40E8">
      <w:pPr>
        <w:spacing w:after="200" w:line="300" w:lineRule="auto"/>
      </w:pPr>
      <w:r>
        <w:t>22. How will the Department monitor whether reformed admission arrangements change the composition of school intakes, and what will it do if arrangements are found to concentrate low attainers in particular schools?</w:t>
      </w:r>
    </w:p>
    <w:p w:rsidR="005B40E8">
      <w:pPr>
        <w:spacing w:after="200" w:line="300" w:lineRule="auto"/>
      </w:pPr>
      <w:r>
        <w:t>23. Will the new accountability measures for low and high attainers be designed so that schools gain more from improving outcomes for the pupils they have than from changing which pupils they have?</w:t>
      </w:r>
    </w:p>
    <w:p w:rsidR="005B40E8">
      <w:pPr>
        <w:spacing w:after="200" w:line="300" w:lineRule="auto"/>
      </w:pPr>
      <w:r>
        <w:t>24. Under the proposed stepped funding model, will the marginal funding attached to the most disadvantaged pupils be large enough to make admitting and retaining them financially worthwhile for oversubscribed schools?</w:t>
      </w:r>
    </w:p>
    <w:p w:rsidR="005B40E8">
      <w:pPr>
        <w:spacing w:after="200" w:line="300" w:lineRule="auto"/>
      </w:pPr>
      <w:r>
        <w:t>25. What plans does the Department have to evaluate the distributional effects of the admissions and accountability reforms, including on pupils displaced from their preferred schools?</w:t>
      </w:r>
    </w:p>
    <w:p w:rsidR="005B40E8">
      <w:pPr>
        <w:pStyle w:val="Heading1"/>
        <w:spacing w:before="300" w:after="160"/>
      </w:pPr>
      <w:r>
        <w:t>Reference</w:t>
      </w:r>
    </w:p>
    <w:p w:rsidR="005B40E8">
      <w:pPr>
        <w:spacing w:after="200" w:line="300" w:lineRule="auto"/>
      </w:pPr>
      <w:r>
        <w:t>Antonio Dalla-Zuanna, Kai Liu and Kjell G. Salvanes (2025), “Pulled In</w:t>
      </w:r>
      <w:r>
        <w:t xml:space="preserve"> and Crowded Out: Heterogeneous Outcomes of Merit-Based School Choice”, </w:t>
      </w:r>
      <w:r>
        <w:rPr>
          <w:i/>
          <w:iCs/>
        </w:rPr>
        <w:t>American Economic Journal: Applied Economics</w:t>
      </w:r>
      <w:r>
        <w:t xml:space="preserve">, vol. 17, no. 4, October 2025. </w:t>
      </w:r>
      <w:r>
        <w:fldChar w:fldCharType="begin"/>
      </w:r>
      <w:r>
        <w:instrText xml:space="preserve"> HYPERLINK "https://www.aeaweb.org/articles?id=10.1257/app.20220104" </w:instrText>
      </w:r>
      <w:r>
        <w:fldChar w:fldCharType="separate"/>
      </w:r>
      <w:r w:rsidRPr="00C767DC">
        <w:rPr>
          <w:rStyle w:val="Hyperlink"/>
        </w:rPr>
        <w:t>https://www.aeaweb.org/articles?id=10.1257/app.20220104</w:t>
      </w:r>
      <w:r>
        <w:fldChar w:fldCharType="end"/>
      </w:r>
      <w:r>
        <w:t xml:space="preserve"> </w:t>
      </w:r>
    </w:p>
    <w:p w:rsidR="005B40E8">
      <w:pPr>
        <w:spacing w:after="200" w:line="300" w:lineRule="auto"/>
      </w:pPr>
    </w:p>
    <w:p w:rsidR="005B40E8">
      <w:pPr>
        <w:spacing w:after="200" w:line="300" w:lineRule="auto"/>
      </w:pPr>
      <w:r>
        <w:rPr>
          <w:i/>
          <w:iCs/>
        </w:rPr>
        <w:t>August</w:t>
      </w:r>
      <w:r>
        <w:rPr>
          <w:i/>
          <w:iCs/>
        </w:rPr>
        <w:t xml:space="preserve"> 2026</w:t>
      </w:r>
    </w:p>
    <w:sectPr>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F15227"/>
    <w:multiLevelType w:val="hybridMultilevel"/>
    <w:tmpl w:val="B27E24F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uiPriority w:val="9"/>
    <w:qFormat/>
    <w:pPr>
      <w:outlineLvl w:val="0"/>
    </w:pPr>
    <w:rPr>
      <w:b/>
      <w:bCs/>
      <w:color w:val="000000"/>
      <w:sz w:val="26"/>
      <w:szCs w:val="26"/>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UnresolvedMention1">
    <w:name w:val="Unresolved Mention1"/>
    <w:basedOn w:val="DefaultParagraphFont"/>
    <w:uiPriority w:val="99"/>
    <w:semiHidden/>
    <w:unhideWhenUsed/>
    <w:rsid w:val="00ED2C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ECA0019</dc:title>
  <cp:revision>0</cp:revision>
</cp:coreProperties>
</file>