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A6696" w:rsidRPr="00FD3045" w:rsidP="00903628">
      <w:pPr>
        <w:pStyle w:val="Heading1"/>
        <w:spacing w:after="100"/>
        <w:rPr>
          <w:rFonts w:ascii="Verdana" w:hAnsi="Verdana"/>
          <w:b/>
          <w:bCs/>
          <w:color w:val="auto"/>
          <w:sz w:val="28"/>
          <w:szCs w:val="28"/>
        </w:rPr>
      </w:pPr>
      <w:r w:rsidRPr="00FD3045">
        <w:rPr>
          <w:rFonts w:ascii="Verdana" w:hAnsi="Verdana"/>
          <w:b/>
          <w:bCs/>
          <w:color w:val="auto"/>
          <w:sz w:val="28"/>
          <w:szCs w:val="28"/>
        </w:rPr>
        <w:t xml:space="preserve">Written evidence from </w:t>
      </w:r>
      <w:r w:rsidRPr="00FD3045">
        <w:rPr>
          <w:rFonts w:ascii="Verdana" w:hAnsi="Verdana"/>
          <w:b/>
          <w:bCs/>
          <w:color w:val="auto"/>
          <w:sz w:val="28"/>
          <w:szCs w:val="28"/>
        </w:rPr>
        <w:t>Avioniq</w:t>
      </w:r>
      <w:r w:rsidRPr="00FD3045">
        <w:rPr>
          <w:rFonts w:ascii="Verdana" w:hAnsi="Verdana"/>
          <w:b/>
          <w:bCs/>
          <w:color w:val="auto"/>
          <w:sz w:val="28"/>
          <w:szCs w:val="28"/>
        </w:rPr>
        <w:t xml:space="preserve"> (DEF0007)</w:t>
      </w:r>
    </w:p>
    <w:p w:rsidR="00FD3045" w:rsidRPr="00FD3045" w:rsidP="00903628">
      <w:pPr>
        <w:pStyle w:val="Heading1"/>
        <w:spacing w:after="100"/>
        <w:rPr>
          <w:rFonts w:ascii="Verdana" w:hAnsi="Verdana"/>
          <w:color w:val="auto"/>
          <w:sz w:val="24"/>
          <w:szCs w:val="24"/>
        </w:rPr>
      </w:pPr>
    </w:p>
    <w:p w:rsidR="002A6696" w:rsidRPr="00FD3045" w:rsidP="00903628">
      <w:pPr>
        <w:spacing w:after="100"/>
        <w:rPr>
          <w:rFonts w:ascii="Verdana" w:hAnsi="Verdana"/>
          <w:sz w:val="24"/>
          <w:szCs w:val="24"/>
        </w:rPr>
      </w:pPr>
      <w:r w:rsidRPr="00FD3045">
        <w:rPr>
          <w:rFonts w:ascii="Verdana" w:hAnsi="Verdana"/>
          <w:b/>
          <w:bCs/>
          <w:sz w:val="24"/>
          <w:szCs w:val="24"/>
        </w:rPr>
        <w:t>Inquiry into the relationship between the Government and the defence industry</w:t>
      </w:r>
    </w:p>
    <w:p w:rsidR="002A6696" w:rsidRPr="00FD3045" w:rsidP="00903628">
      <w:pPr>
        <w:pStyle w:val="Heading2"/>
        <w:spacing w:before="200" w:after="160"/>
        <w:rPr>
          <w:rFonts w:ascii="Verdana" w:hAnsi="Verdana"/>
          <w:color w:val="auto"/>
          <w:sz w:val="24"/>
          <w:szCs w:val="24"/>
        </w:rPr>
      </w:pPr>
      <w:r w:rsidRPr="00FD3045">
        <w:rPr>
          <w:rFonts w:ascii="Verdana" w:hAnsi="Verdana"/>
          <w:b/>
          <w:bCs/>
          <w:color w:val="auto"/>
          <w:sz w:val="24"/>
          <w:szCs w:val="24"/>
        </w:rPr>
        <w:t>1. Introduction</w:t>
      </w:r>
      <w:r w:rsidRPr="00FD3045">
        <w:rPr>
          <w:rFonts w:ascii="Verdana" w:hAnsi="Verdana"/>
          <w:b/>
          <w:bCs/>
          <w:color w:val="auto"/>
          <w:sz w:val="24"/>
          <w:szCs w:val="24"/>
        </w:rPr>
        <w:t xml:space="preserve"> to Avioniq</w:t>
      </w:r>
    </w:p>
    <w:p w:rsidR="002A6696" w:rsidRPr="00FD3045" w:rsidP="00903628">
      <w:pPr>
        <w:spacing w:after="200" w:line="276" w:lineRule="auto"/>
        <w:rPr>
          <w:rFonts w:ascii="Verdana" w:hAnsi="Verdana"/>
          <w:sz w:val="24"/>
          <w:szCs w:val="24"/>
        </w:rPr>
      </w:pPr>
      <w:r w:rsidRPr="00FD3045">
        <w:rPr>
          <w:rFonts w:ascii="Verdana" w:hAnsi="Verdana"/>
          <w:sz w:val="24"/>
          <w:szCs w:val="24"/>
        </w:rPr>
        <w:t>1. Avioniq</w:t>
      </w:r>
      <w:r w:rsidRPr="00FD3045">
        <w:rPr>
          <w:rFonts w:ascii="Verdana" w:hAnsi="Verdana"/>
          <w:sz w:val="24"/>
          <w:szCs w:val="24"/>
        </w:rPr>
        <w:t xml:space="preserve"> is a software company developing AI-enabled decision-support and modelling tools for combat air, including Rattlesnaq (real-time tactical decision-support) and AqModel/AqLab (missile and engagement modelling). Avioniq is currently trialling Rattlesnaq with BAE Systems in a Typhoon simulator environment at </w:t>
      </w:r>
      <w:r w:rsidRPr="00FD3045">
        <w:rPr>
          <w:rFonts w:ascii="Verdana" w:hAnsi="Verdana"/>
          <w:sz w:val="24"/>
          <w:szCs w:val="24"/>
        </w:rPr>
        <w:t>Warton, and</w:t>
      </w:r>
      <w:r w:rsidRPr="00FD3045">
        <w:rPr>
          <w:rFonts w:ascii="Verdana" w:hAnsi="Verdana"/>
          <w:sz w:val="24"/>
          <w:szCs w:val="24"/>
        </w:rPr>
        <w:t xml:space="preserve"> holds a position on the Ministry of Defence's Hypersonic Technologies and Capability Development Framework (Modelling and Simulation lot).</w:t>
      </w:r>
    </w:p>
    <w:p w:rsidR="002A6696" w:rsidRPr="00FD3045" w:rsidP="00934544">
      <w:pPr>
        <w:pStyle w:val="Heading2"/>
        <w:spacing w:before="200" w:after="160"/>
        <w:rPr>
          <w:rFonts w:ascii="Verdana" w:hAnsi="Verdana"/>
          <w:color w:val="auto"/>
          <w:sz w:val="24"/>
          <w:szCs w:val="24"/>
        </w:rPr>
      </w:pPr>
      <w:r w:rsidRPr="00FD3045">
        <w:rPr>
          <w:rFonts w:ascii="Verdana" w:hAnsi="Verdana"/>
          <w:b/>
          <w:bCs/>
          <w:color w:val="auto"/>
          <w:sz w:val="24"/>
          <w:szCs w:val="24"/>
        </w:rPr>
        <w:t>2. Evidence</w:t>
      </w:r>
    </w:p>
    <w:p w:rsidR="002A6696" w:rsidRPr="00FD3045" w:rsidP="00903628">
      <w:pPr>
        <w:spacing w:before="400" w:after="200"/>
        <w:rPr>
          <w:rFonts w:ascii="Verdana" w:hAnsi="Verdana"/>
          <w:sz w:val="24"/>
          <w:szCs w:val="24"/>
        </w:rPr>
      </w:pPr>
      <w:r w:rsidRPr="00FD3045">
        <w:rPr>
          <w:rFonts w:ascii="Verdana" w:hAnsi="Verdana"/>
          <w:b/>
          <w:bCs/>
          <w:sz w:val="24"/>
          <w:szCs w:val="24"/>
        </w:rPr>
        <w:t>Question 2</w:t>
      </w:r>
    </w:p>
    <w:p w:rsidR="002A6696" w:rsidRPr="00FD3045" w:rsidP="00903628">
      <w:pPr>
        <w:spacing w:after="240"/>
        <w:rPr>
          <w:rFonts w:ascii="Verdana" w:hAnsi="Verdana"/>
          <w:sz w:val="24"/>
          <w:szCs w:val="24"/>
        </w:rPr>
      </w:pPr>
      <w:r w:rsidRPr="00FD3045">
        <w:rPr>
          <w:rFonts w:ascii="Verdana" w:hAnsi="Verdana"/>
          <w:i/>
          <w:iCs/>
          <w:sz w:val="24"/>
          <w:szCs w:val="24"/>
        </w:rPr>
        <w:t>How do defence procurement processes and contracts need to change to adapt at pace to new technologies and requirements</w:t>
      </w:r>
      <w:r w:rsidRPr="00FD3045">
        <w:rPr>
          <w:rFonts w:ascii="Verdana" w:hAnsi="Verdana"/>
          <w:i/>
          <w:iCs/>
          <w:sz w:val="24"/>
          <w:szCs w:val="24"/>
        </w:rPr>
        <w:t xml:space="preserve"> </w:t>
      </w:r>
      <w:r w:rsidRPr="00FD3045">
        <w:rPr>
          <w:rFonts w:ascii="Verdana" w:hAnsi="Verdana"/>
          <w:i/>
          <w:iCs/>
          <w:sz w:val="24"/>
          <w:szCs w:val="24"/>
        </w:rPr>
        <w:t>and what progress has the Government made in moving towards its new segmented procurement model?</w:t>
      </w:r>
    </w:p>
    <w:p w:rsidR="002A6696" w:rsidRPr="00FD3045" w:rsidP="00903628">
      <w:pPr>
        <w:spacing w:after="200" w:line="276" w:lineRule="auto"/>
        <w:rPr>
          <w:rFonts w:ascii="Verdana" w:hAnsi="Verdana"/>
          <w:sz w:val="24"/>
          <w:szCs w:val="24"/>
        </w:rPr>
      </w:pPr>
      <w:r w:rsidRPr="00FD3045">
        <w:rPr>
          <w:rFonts w:ascii="Verdana" w:hAnsi="Verdana"/>
          <w:sz w:val="24"/>
          <w:szCs w:val="24"/>
        </w:rPr>
        <w:t>3. The principal obstacle Avioniq has encountered is not technical validation but commercial conversion.</w:t>
      </w:r>
      <w:r w:rsidRPr="00FD3045">
        <w:rPr>
          <w:rFonts w:ascii="Verdana" w:hAnsi="Verdana"/>
          <w:b/>
          <w:bCs/>
          <w:sz w:val="24"/>
          <w:szCs w:val="24"/>
        </w:rPr>
        <w:t xml:space="preserve"> </w:t>
      </w:r>
      <w:r w:rsidRPr="00FD3045">
        <w:rPr>
          <w:rFonts w:ascii="Verdana" w:hAnsi="Verdana"/>
          <w:sz w:val="24"/>
          <w:szCs w:val="24"/>
        </w:rPr>
        <w:t>A capability can be proven in an operational trial environment and remain, for a sustained period, without a funded route into service</w:t>
      </w:r>
      <w:r w:rsidRPr="00FD3045">
        <w:rPr>
          <w:rFonts w:ascii="Verdana" w:hAnsi="Verdana"/>
          <w:sz w:val="24"/>
          <w:szCs w:val="24"/>
        </w:rPr>
        <w:t>, if there is limited Government appetite for a high technology solution</w:t>
      </w:r>
      <w:r w:rsidRPr="00FD3045">
        <w:rPr>
          <w:rFonts w:ascii="Verdana" w:hAnsi="Verdana"/>
          <w:sz w:val="24"/>
          <w:szCs w:val="24"/>
        </w:rPr>
        <w:t>. Avioniq's Rattlesnaq trial with BAE Systems has demonstrated technical integration with Typhoon</w:t>
      </w:r>
      <w:r w:rsidRPr="00FD3045">
        <w:rPr>
          <w:rFonts w:ascii="Verdana" w:hAnsi="Verdana"/>
          <w:sz w:val="24"/>
          <w:szCs w:val="24"/>
        </w:rPr>
        <w:t>, but c</w:t>
      </w:r>
      <w:r w:rsidRPr="00FD3045">
        <w:rPr>
          <w:rFonts w:ascii="Verdana" w:hAnsi="Verdana"/>
          <w:sz w:val="24"/>
          <w:szCs w:val="24"/>
        </w:rPr>
        <w:t>onverting that proven relationship into a funded work package under the Typhoon Long Term Evolution programme has required a separate and materially slower process, run on a timescale set by platform-l</w:t>
      </w:r>
      <w:r w:rsidRPr="00FD3045">
        <w:rPr>
          <w:rFonts w:ascii="Verdana" w:hAnsi="Verdana"/>
          <w:sz w:val="24"/>
          <w:szCs w:val="24"/>
        </w:rPr>
        <w:t>evel contracting cycles rather than by the maturity of the software itself</w:t>
      </w:r>
      <w:r w:rsidRPr="00FD3045">
        <w:rPr>
          <w:rFonts w:ascii="Verdana" w:hAnsi="Verdana"/>
          <w:sz w:val="24"/>
          <w:szCs w:val="24"/>
        </w:rPr>
        <w:t>, which only benefits the UK’s adversaries.</w:t>
      </w:r>
    </w:p>
    <w:p w:rsidR="002A6696" w:rsidRPr="00FD3045" w:rsidP="00903628">
      <w:pPr>
        <w:spacing w:after="200" w:line="276" w:lineRule="auto"/>
        <w:rPr>
          <w:rFonts w:ascii="Verdana" w:hAnsi="Verdana"/>
          <w:sz w:val="24"/>
          <w:szCs w:val="24"/>
        </w:rPr>
      </w:pPr>
      <w:r w:rsidRPr="00FD3045">
        <w:rPr>
          <w:rFonts w:ascii="Verdana" w:hAnsi="Verdana"/>
          <w:sz w:val="24"/>
          <w:szCs w:val="24"/>
        </w:rPr>
        <w:t>4. Software-defined capability iterates on a cycle of weeks</w:t>
      </w:r>
      <w:r w:rsidRPr="00FD3045">
        <w:rPr>
          <w:rFonts w:ascii="Verdana" w:hAnsi="Verdana"/>
          <w:sz w:val="24"/>
          <w:szCs w:val="24"/>
        </w:rPr>
        <w:t xml:space="preserve"> whereas</w:t>
      </w:r>
      <w:r w:rsidRPr="00FD3045">
        <w:rPr>
          <w:rFonts w:ascii="Verdana" w:hAnsi="Verdana"/>
          <w:sz w:val="24"/>
          <w:szCs w:val="24"/>
        </w:rPr>
        <w:t xml:space="preserve"> platform contracting cycles operate on a cycle of years. Where a new capability sits on an existing platform, as Rattlesnaq does on Typhoon, the natural procurement route is a variation to the platform's own support and evolution contract. That route is appropriate for hardware modification, but it forces software procurement to absorb the same approvals timeline, even though </w:t>
      </w:r>
      <w:r w:rsidRPr="00FD3045">
        <w:rPr>
          <w:rFonts w:ascii="Verdana" w:hAnsi="Verdana"/>
          <w:sz w:val="24"/>
          <w:szCs w:val="24"/>
        </w:rPr>
        <w:t xml:space="preserve">the underlying risk profile </w:t>
      </w:r>
      <w:r w:rsidRPr="00FD3045">
        <w:rPr>
          <w:rFonts w:ascii="Verdana" w:hAnsi="Verdana"/>
          <w:sz w:val="24"/>
          <w:szCs w:val="24"/>
        </w:rPr>
        <w:t>i.e.,</w:t>
      </w:r>
      <w:r w:rsidRPr="00FD3045">
        <w:rPr>
          <w:rFonts w:ascii="Verdana" w:hAnsi="Verdana"/>
          <w:sz w:val="24"/>
          <w:szCs w:val="24"/>
        </w:rPr>
        <w:t xml:space="preserve"> no physical modification, a reversible and simulator-tested deployment</w:t>
      </w:r>
      <w:r w:rsidRPr="00FD3045">
        <w:rPr>
          <w:rFonts w:ascii="Verdana" w:hAnsi="Verdana"/>
          <w:sz w:val="24"/>
          <w:szCs w:val="24"/>
        </w:rPr>
        <w:t>,</w:t>
      </w:r>
      <w:r w:rsidRPr="00FD3045">
        <w:rPr>
          <w:rFonts w:ascii="Verdana" w:hAnsi="Verdana"/>
          <w:sz w:val="24"/>
          <w:szCs w:val="24"/>
        </w:rPr>
        <w:t xml:space="preserve"> is substantially l</w:t>
      </w:r>
      <w:r w:rsidRPr="00FD3045">
        <w:rPr>
          <w:rFonts w:ascii="Verdana" w:hAnsi="Verdana"/>
          <w:sz w:val="24"/>
          <w:szCs w:val="24"/>
        </w:rPr>
        <w:t>ower</w:t>
      </w:r>
      <w:r w:rsidRPr="00FD3045">
        <w:rPr>
          <w:rFonts w:ascii="Verdana" w:hAnsi="Verdana"/>
          <w:sz w:val="24"/>
          <w:szCs w:val="24"/>
        </w:rPr>
        <w:t xml:space="preserve"> and the upgrade timeline significantly shorter</w:t>
      </w:r>
      <w:r w:rsidRPr="00FD3045">
        <w:rPr>
          <w:rFonts w:ascii="Verdana" w:hAnsi="Verdana"/>
          <w:sz w:val="24"/>
          <w:szCs w:val="24"/>
        </w:rPr>
        <w:t>.</w:t>
      </w:r>
    </w:p>
    <w:p w:rsidR="002A6696" w:rsidRPr="00FD3045" w:rsidP="00903628">
      <w:pPr>
        <w:spacing w:after="200" w:line="276" w:lineRule="auto"/>
        <w:rPr>
          <w:rFonts w:ascii="Verdana" w:hAnsi="Verdana"/>
          <w:sz w:val="24"/>
          <w:szCs w:val="24"/>
        </w:rPr>
      </w:pPr>
      <w:r w:rsidRPr="00FD3045">
        <w:rPr>
          <w:rFonts w:ascii="Verdana" w:hAnsi="Verdana"/>
          <w:sz w:val="24"/>
          <w:szCs w:val="24"/>
        </w:rPr>
        <w:t>5. Avioniq has seen the segmented procurement model applied more successfully through sprint-based mechanisms such as Taskforce RAID, whose challenge sets on automated planning and AI-enabled systems map closely onto capability Avioniq already supplies. The RAID model of six-to-</w:t>
      </w:r>
      <w:r w:rsidRPr="00FD3045">
        <w:rPr>
          <w:rFonts w:ascii="Verdana" w:hAnsi="Verdana"/>
          <w:sz w:val="24"/>
          <w:szCs w:val="24"/>
        </w:rPr>
        <w:t>nine month</w:t>
      </w:r>
      <w:r w:rsidRPr="00FD3045">
        <w:rPr>
          <w:rFonts w:ascii="Verdana" w:hAnsi="Verdana"/>
          <w:sz w:val="24"/>
          <w:szCs w:val="24"/>
        </w:rPr>
        <w:t xml:space="preserve"> sprints against defined operational challenges is, in Avioniq's experience, a better match for proven software capability than a from-scratch development competition. The Committee should press the Government on why this sprint model has not yet been extended systematically to platform-integrated software already under live trial with a prime contractor, where the RAID logic applies with even greater force.</w:t>
      </w:r>
    </w:p>
    <w:p w:rsidR="002A6696" w:rsidRPr="00FD3045" w:rsidP="00903628">
      <w:pPr>
        <w:spacing w:after="200" w:line="276" w:lineRule="auto"/>
        <w:rPr>
          <w:rFonts w:ascii="Verdana" w:hAnsi="Verdana"/>
          <w:sz w:val="24"/>
          <w:szCs w:val="24"/>
        </w:rPr>
      </w:pPr>
      <w:r w:rsidRPr="00FD3045">
        <w:rPr>
          <w:rFonts w:ascii="Verdana" w:hAnsi="Verdana"/>
          <w:sz w:val="24"/>
          <w:szCs w:val="24"/>
        </w:rPr>
        <w:t xml:space="preserve">6. </w:t>
      </w:r>
      <w:r w:rsidRPr="00FD3045">
        <w:rPr>
          <w:rFonts w:ascii="Verdana" w:hAnsi="Verdana"/>
          <w:b/>
          <w:bCs/>
          <w:sz w:val="24"/>
          <w:szCs w:val="24"/>
        </w:rPr>
        <w:t>Recommendation</w:t>
      </w:r>
      <w:r w:rsidRPr="00FD3045">
        <w:rPr>
          <w:rFonts w:ascii="Verdana" w:hAnsi="Verdana"/>
          <w:sz w:val="24"/>
          <w:szCs w:val="24"/>
        </w:rPr>
        <w:t xml:space="preserve">: </w:t>
      </w:r>
      <w:r w:rsidRPr="00FD3045">
        <w:rPr>
          <w:rFonts w:ascii="Verdana" w:hAnsi="Verdana"/>
          <w:sz w:val="24"/>
          <w:szCs w:val="24"/>
        </w:rPr>
        <w:t xml:space="preserve">Government should adopt a presumption that software capability already proven on a platform in trial conditions is fast-tracked to a funded work package under that platform's own evolution programme, rather than defaulting to the platform's standard contracting cycle. </w:t>
      </w:r>
    </w:p>
    <w:p w:rsidR="002A6696" w:rsidRPr="00FD3045" w:rsidP="00903628">
      <w:pPr>
        <w:spacing w:before="400" w:after="200"/>
        <w:rPr>
          <w:rFonts w:ascii="Verdana" w:hAnsi="Verdana"/>
          <w:sz w:val="24"/>
          <w:szCs w:val="24"/>
        </w:rPr>
      </w:pPr>
      <w:r w:rsidRPr="00FD3045">
        <w:rPr>
          <w:rFonts w:ascii="Verdana" w:hAnsi="Verdana"/>
          <w:b/>
          <w:bCs/>
          <w:sz w:val="24"/>
          <w:szCs w:val="24"/>
        </w:rPr>
        <w:t>Question 3</w:t>
      </w:r>
    </w:p>
    <w:p w:rsidR="002A6696" w:rsidRPr="00FD3045" w:rsidP="00903628">
      <w:pPr>
        <w:spacing w:after="240"/>
        <w:rPr>
          <w:rFonts w:ascii="Verdana" w:hAnsi="Verdana"/>
          <w:sz w:val="24"/>
          <w:szCs w:val="24"/>
        </w:rPr>
      </w:pPr>
      <w:r w:rsidRPr="00FD3045">
        <w:rPr>
          <w:rFonts w:ascii="Verdana" w:hAnsi="Verdana"/>
          <w:i/>
          <w:iCs/>
          <w:sz w:val="24"/>
          <w:szCs w:val="24"/>
        </w:rPr>
        <w:t>What progress has been made in establishing UK Defence Innovation and allowing greater freedom in the procurement of innovative and dual-use technologies for Defence? To what extent does the Government need to accept a greater level of risk in its procurement of new technologies and innovative capabilities, and what would this involve?</w:t>
      </w:r>
    </w:p>
    <w:p w:rsidR="002A6696" w:rsidRPr="00FD3045" w:rsidP="00903628">
      <w:pPr>
        <w:spacing w:after="200" w:line="276" w:lineRule="auto"/>
        <w:rPr>
          <w:rFonts w:ascii="Verdana" w:hAnsi="Verdana"/>
          <w:sz w:val="24"/>
          <w:szCs w:val="24"/>
        </w:rPr>
      </w:pPr>
      <w:r w:rsidRPr="00FD3045">
        <w:rPr>
          <w:rFonts w:ascii="Verdana" w:hAnsi="Verdana"/>
          <w:sz w:val="24"/>
          <w:szCs w:val="24"/>
        </w:rPr>
        <w:t xml:space="preserve">7. In Avioniq's experience, initiatives such as UK Defence Innovation and Taskforce RAID have improved the Government's willingness to engage with </w:t>
      </w:r>
      <w:r w:rsidRPr="00FD3045">
        <w:rPr>
          <w:rFonts w:ascii="Verdana" w:hAnsi="Verdana"/>
          <w:sz w:val="24"/>
          <w:szCs w:val="24"/>
        </w:rPr>
        <w:t>frontier technology</w:t>
      </w:r>
      <w:r w:rsidRPr="00FD3045">
        <w:rPr>
          <w:rFonts w:ascii="Verdana" w:hAnsi="Verdana"/>
          <w:sz w:val="24"/>
          <w:szCs w:val="24"/>
        </w:rPr>
        <w:t xml:space="preserve"> software suppliers at the trial stage. That willingness has not yet been matched by an equivalent change in risk appetite at the funding-decision stage, where the trial's success is treated as a starting point for a fresh risk assessment rather than as evidence that materially reduces the risk already being carried.</w:t>
      </w:r>
    </w:p>
    <w:p w:rsidR="002A6696" w:rsidRPr="00FD3045" w:rsidP="00903628">
      <w:pPr>
        <w:spacing w:after="200" w:line="276" w:lineRule="auto"/>
        <w:rPr>
          <w:rFonts w:ascii="Verdana" w:hAnsi="Verdana"/>
          <w:sz w:val="24"/>
          <w:szCs w:val="24"/>
        </w:rPr>
      </w:pPr>
      <w:r w:rsidRPr="00FD3045">
        <w:rPr>
          <w:rFonts w:ascii="Verdana" w:hAnsi="Verdana"/>
          <w:sz w:val="24"/>
          <w:szCs w:val="24"/>
        </w:rPr>
        <w:t xml:space="preserve">8. Genuine risk acceptance would mean treating a completed, successful trial as a form of assurance </w:t>
      </w:r>
      <w:r w:rsidRPr="00FD3045">
        <w:rPr>
          <w:rFonts w:ascii="Verdana" w:hAnsi="Verdana"/>
          <w:sz w:val="24"/>
          <w:szCs w:val="24"/>
        </w:rPr>
        <w:t>evidence in its own right</w:t>
      </w:r>
      <w:r w:rsidRPr="00FD3045">
        <w:rPr>
          <w:rFonts w:ascii="Verdana" w:hAnsi="Verdana"/>
          <w:sz w:val="24"/>
          <w:szCs w:val="24"/>
        </w:rPr>
        <w:t xml:space="preserve">. At present, a trial that succeeds on its own terms </w:t>
      </w:r>
      <w:r w:rsidRPr="00FD3045">
        <w:rPr>
          <w:rFonts w:ascii="Verdana" w:hAnsi="Verdana"/>
          <w:sz w:val="24"/>
          <w:szCs w:val="24"/>
        </w:rPr>
        <w:t>i.e.,</w:t>
      </w:r>
      <w:r w:rsidRPr="00FD3045">
        <w:rPr>
          <w:rFonts w:ascii="Verdana" w:hAnsi="Verdana"/>
          <w:sz w:val="24"/>
          <w:szCs w:val="24"/>
        </w:rPr>
        <w:t xml:space="preserve"> proven integration, no adverse safety or security finding</w:t>
      </w:r>
      <w:r w:rsidRPr="00FD3045">
        <w:rPr>
          <w:rFonts w:ascii="Verdana" w:hAnsi="Verdana"/>
          <w:sz w:val="24"/>
          <w:szCs w:val="24"/>
        </w:rPr>
        <w:t>,</w:t>
      </w:r>
      <w:r w:rsidRPr="00FD3045">
        <w:rPr>
          <w:rFonts w:ascii="Verdana" w:hAnsi="Verdana"/>
          <w:sz w:val="24"/>
          <w:szCs w:val="24"/>
        </w:rPr>
        <w:t xml:space="preserve"> still resets to the standard assurance and approvals pathway for the subsequent funding decision, as though the trial had not taken place. This duplicates cost and time for both the supplier and the Department without a corresponding improvement in assurance</w:t>
      </w:r>
      <w:r w:rsidRPr="00FD3045">
        <w:rPr>
          <w:rFonts w:ascii="Verdana" w:hAnsi="Verdana"/>
          <w:sz w:val="24"/>
          <w:szCs w:val="24"/>
        </w:rPr>
        <w:t>, only benefits the UK’s adversaries.</w:t>
      </w:r>
    </w:p>
    <w:p w:rsidR="002A6696" w:rsidRPr="00FD3045" w:rsidP="00903628">
      <w:pPr>
        <w:spacing w:after="200" w:line="276" w:lineRule="auto"/>
        <w:rPr>
          <w:rFonts w:ascii="Verdana" w:hAnsi="Verdana"/>
          <w:sz w:val="24"/>
          <w:szCs w:val="24"/>
        </w:rPr>
      </w:pPr>
      <w:r w:rsidRPr="00FD3045">
        <w:rPr>
          <w:rFonts w:ascii="Verdana" w:hAnsi="Verdana"/>
          <w:sz w:val="24"/>
          <w:szCs w:val="24"/>
        </w:rPr>
        <w:t xml:space="preserve">9. </w:t>
      </w:r>
      <w:r w:rsidRPr="00FD3045">
        <w:rPr>
          <w:rFonts w:ascii="Verdana" w:hAnsi="Verdana"/>
          <w:b/>
          <w:bCs/>
          <w:sz w:val="24"/>
          <w:szCs w:val="24"/>
        </w:rPr>
        <w:t>Recommendation</w:t>
      </w:r>
      <w:r w:rsidRPr="00FD3045">
        <w:rPr>
          <w:rFonts w:ascii="Verdana" w:hAnsi="Verdana"/>
          <w:sz w:val="24"/>
          <w:szCs w:val="24"/>
        </w:rPr>
        <w:t xml:space="preserve">: </w:t>
      </w:r>
      <w:r w:rsidRPr="00FD3045">
        <w:rPr>
          <w:rFonts w:ascii="Verdana" w:hAnsi="Verdana"/>
          <w:sz w:val="24"/>
          <w:szCs w:val="24"/>
        </w:rPr>
        <w:t>The Committee should ask the Government to set out explicitly what weight, if any, a successful operational trial with a prime contractor is given in subsequent procurement and funding decisions, and whether that weight is applied consistently across programmes rather than left to individual programme teams.</w:t>
      </w:r>
    </w:p>
    <w:p w:rsidR="002A6696" w:rsidRPr="00FD3045" w:rsidP="00903628">
      <w:pPr>
        <w:spacing w:before="400" w:after="200"/>
        <w:rPr>
          <w:rFonts w:ascii="Verdana" w:hAnsi="Verdana"/>
          <w:sz w:val="24"/>
          <w:szCs w:val="24"/>
        </w:rPr>
      </w:pPr>
      <w:r w:rsidRPr="00FD3045">
        <w:rPr>
          <w:rFonts w:ascii="Verdana" w:hAnsi="Verdana"/>
          <w:b/>
          <w:bCs/>
          <w:sz w:val="24"/>
          <w:szCs w:val="24"/>
        </w:rPr>
        <w:t>Question 4</w:t>
      </w:r>
    </w:p>
    <w:p w:rsidR="002A6696" w:rsidRPr="00FD3045" w:rsidP="00903628">
      <w:pPr>
        <w:spacing w:after="240"/>
        <w:rPr>
          <w:rFonts w:ascii="Verdana" w:hAnsi="Verdana"/>
          <w:sz w:val="24"/>
          <w:szCs w:val="24"/>
        </w:rPr>
      </w:pPr>
      <w:r w:rsidRPr="00FD3045">
        <w:rPr>
          <w:rFonts w:ascii="Verdana" w:hAnsi="Verdana"/>
          <w:i/>
          <w:iCs/>
          <w:sz w:val="24"/>
          <w:szCs w:val="24"/>
        </w:rPr>
        <w:t>What barriers do smaller businesses face in interacting with the Ministry of Defence's procurement processes, including when they are part of the supply chain for a larger, prime contractor? How should these barriers be addressed?</w:t>
      </w:r>
    </w:p>
    <w:p w:rsidR="002A6696" w:rsidRPr="00FD3045" w:rsidP="00903628">
      <w:pPr>
        <w:spacing w:after="200" w:line="276" w:lineRule="auto"/>
        <w:rPr>
          <w:rFonts w:ascii="Verdana" w:hAnsi="Verdana"/>
          <w:sz w:val="24"/>
          <w:szCs w:val="24"/>
        </w:rPr>
      </w:pPr>
      <w:r w:rsidRPr="00FD3045">
        <w:rPr>
          <w:rFonts w:ascii="Verdana" w:hAnsi="Verdana"/>
          <w:sz w:val="24"/>
          <w:szCs w:val="24"/>
        </w:rPr>
        <w:t>10. Avioniq's principal barrier has arisen not in its direct dealings with the Ministry of Defence but in the space between a prime contractor's technical endorsement and the Department's commercial commitment. Avioniq's relationship with BAE Systems on the Rattlesnaq trial gives it technical credibility within the prime's own programme, but that credibility does not by itself secure Avioniq a contracted position; the commercial pathway runs through the prime's own subcontracting decisions and the Departmen</w:t>
      </w:r>
      <w:r w:rsidRPr="00FD3045">
        <w:rPr>
          <w:rFonts w:ascii="Verdana" w:hAnsi="Verdana"/>
          <w:sz w:val="24"/>
          <w:szCs w:val="24"/>
        </w:rPr>
        <w:t>t's platform-level budget lines, over neither of which a small supplier has direct visibility or influence.</w:t>
      </w:r>
    </w:p>
    <w:p w:rsidR="002A6696" w:rsidRPr="00FD3045" w:rsidP="00903628">
      <w:pPr>
        <w:spacing w:after="200" w:line="276" w:lineRule="auto"/>
        <w:rPr>
          <w:rFonts w:ascii="Verdana" w:hAnsi="Verdana"/>
          <w:sz w:val="24"/>
          <w:szCs w:val="24"/>
        </w:rPr>
      </w:pPr>
      <w:r w:rsidRPr="00FD3045">
        <w:rPr>
          <w:rFonts w:ascii="Verdana" w:hAnsi="Verdana"/>
          <w:sz w:val="24"/>
          <w:szCs w:val="24"/>
        </w:rPr>
        <w:t xml:space="preserve">11. This leaves a small supplier exposed to a structural asymmetry: it carries the cost and risk of sustaining a technical relationship over an extended trial period, while the decision to convert that relationship into revenue sits with parties whose own incentives and budget cycles it cannot see or influence. </w:t>
      </w:r>
    </w:p>
    <w:p w:rsidR="002A6696" w:rsidRPr="00FD3045" w:rsidP="00903628">
      <w:pPr>
        <w:spacing w:after="200" w:line="276" w:lineRule="auto"/>
        <w:rPr>
          <w:rFonts w:ascii="Verdana" w:hAnsi="Verdana"/>
          <w:sz w:val="24"/>
          <w:szCs w:val="24"/>
        </w:rPr>
      </w:pPr>
      <w:r w:rsidRPr="00FD3045">
        <w:rPr>
          <w:rFonts w:ascii="Verdana" w:hAnsi="Verdana"/>
          <w:sz w:val="24"/>
          <w:szCs w:val="24"/>
        </w:rPr>
        <w:t xml:space="preserve">12. </w:t>
      </w:r>
      <w:r w:rsidRPr="00FD3045">
        <w:rPr>
          <w:rFonts w:ascii="Verdana" w:hAnsi="Verdana"/>
          <w:b/>
          <w:bCs/>
          <w:sz w:val="24"/>
          <w:szCs w:val="24"/>
        </w:rPr>
        <w:t xml:space="preserve">Recomendation: </w:t>
      </w:r>
      <w:r w:rsidRPr="00FD3045">
        <w:rPr>
          <w:rFonts w:ascii="Verdana" w:hAnsi="Verdana"/>
          <w:sz w:val="24"/>
          <w:szCs w:val="24"/>
        </w:rPr>
        <w:t>T</w:t>
      </w:r>
      <w:r w:rsidRPr="00FD3045">
        <w:rPr>
          <w:rFonts w:ascii="Verdana" w:hAnsi="Verdana"/>
          <w:sz w:val="24"/>
          <w:szCs w:val="24"/>
        </w:rPr>
        <w:t>he Ministry of Defence should require primes to report, as a condition of platform support contracts, on the small suppliers with whom they are running live technical trials and the expected timeline to a commercial decision. This would not remove commercial discretion from the prime, but it would give the Department, and the Committee, visibility of where proven small-supplier capability is stalled for reasons unrelated to its technical merit.</w:t>
      </w:r>
    </w:p>
    <w:p w:rsidR="002A6696" w:rsidRPr="00FD3045" w:rsidP="00903628">
      <w:pPr>
        <w:spacing w:before="400" w:after="200"/>
        <w:rPr>
          <w:rFonts w:ascii="Verdana" w:hAnsi="Verdana"/>
          <w:sz w:val="24"/>
          <w:szCs w:val="24"/>
        </w:rPr>
      </w:pPr>
      <w:r w:rsidRPr="00FD3045">
        <w:rPr>
          <w:rFonts w:ascii="Verdana" w:hAnsi="Verdana"/>
          <w:b/>
          <w:bCs/>
          <w:sz w:val="24"/>
          <w:szCs w:val="24"/>
        </w:rPr>
        <w:t>Question 5</w:t>
      </w:r>
    </w:p>
    <w:p w:rsidR="002A6696" w:rsidRPr="00FD3045" w:rsidP="00903628">
      <w:pPr>
        <w:spacing w:after="240"/>
        <w:rPr>
          <w:rFonts w:ascii="Verdana" w:hAnsi="Verdana"/>
          <w:sz w:val="24"/>
          <w:szCs w:val="24"/>
        </w:rPr>
      </w:pPr>
      <w:r w:rsidRPr="00FD3045">
        <w:rPr>
          <w:rFonts w:ascii="Verdana" w:hAnsi="Verdana"/>
          <w:i/>
          <w:iCs/>
          <w:sz w:val="24"/>
          <w:szCs w:val="24"/>
        </w:rPr>
        <w:t>How can the Government and industry ensure that defence-related industry activities are secure and reliable, even in the face of malign activity and disruption, such as cyber attacks? What action should the Government take in this area, particularly as more SMEs and non-traditional companies become defence suppliers?</w:t>
      </w:r>
    </w:p>
    <w:p w:rsidR="002A6696" w:rsidRPr="00FD3045" w:rsidP="00903628">
      <w:pPr>
        <w:spacing w:after="200" w:line="276" w:lineRule="auto"/>
        <w:rPr>
          <w:rFonts w:ascii="Verdana" w:hAnsi="Verdana"/>
          <w:sz w:val="24"/>
          <w:szCs w:val="24"/>
        </w:rPr>
      </w:pPr>
      <w:r w:rsidRPr="00FD3045">
        <w:rPr>
          <w:rFonts w:ascii="Verdana" w:hAnsi="Verdana"/>
          <w:sz w:val="24"/>
          <w:szCs w:val="24"/>
        </w:rPr>
        <w:t xml:space="preserve">13. Avioniq carries a cyber assurance burden that is, in absolute terms, comparable to that of a much larger supplier, but without the dedicated compliance resource that a larger organisation can deploy against it. </w:t>
      </w:r>
    </w:p>
    <w:p w:rsidR="002A6696" w:rsidRPr="00FD3045" w:rsidP="00903628">
      <w:pPr>
        <w:spacing w:after="200" w:line="276" w:lineRule="auto"/>
        <w:rPr>
          <w:rFonts w:ascii="Verdana" w:hAnsi="Verdana"/>
          <w:sz w:val="24"/>
          <w:szCs w:val="24"/>
        </w:rPr>
      </w:pPr>
      <w:r w:rsidRPr="00FD3045">
        <w:rPr>
          <w:rFonts w:ascii="Verdana" w:hAnsi="Verdana"/>
          <w:sz w:val="24"/>
          <w:szCs w:val="24"/>
        </w:rPr>
        <w:t xml:space="preserve">14. Assurance requirements are, in Avioniq's experience, applied without meaningful differentiation between a hardware manufacturer and a software </w:t>
      </w:r>
      <w:r w:rsidRPr="00FD3045">
        <w:rPr>
          <w:rFonts w:ascii="Verdana" w:hAnsi="Verdana"/>
          <w:sz w:val="24"/>
          <w:szCs w:val="24"/>
        </w:rPr>
        <w:t>company</w:t>
      </w:r>
      <w:r w:rsidRPr="00FD3045">
        <w:rPr>
          <w:rFonts w:ascii="Verdana" w:hAnsi="Verdana"/>
          <w:sz w:val="24"/>
          <w:szCs w:val="24"/>
        </w:rPr>
        <w:t xml:space="preserve"> whose principal asset is proprietary code and trained models. The practical effect is that a growing share of a small supplier's capacity in the trial phase is spent on compliance activity rather than on the technical work the trial exists to test, which slows exactly the kind of innovation cycle the Government says it wants to accelerate.</w:t>
      </w:r>
    </w:p>
    <w:p w:rsidR="002A6696" w:rsidRPr="00FD3045" w:rsidP="00903628">
      <w:pPr>
        <w:spacing w:after="200" w:line="276" w:lineRule="auto"/>
        <w:rPr>
          <w:rFonts w:ascii="Verdana" w:hAnsi="Verdana"/>
          <w:sz w:val="24"/>
          <w:szCs w:val="24"/>
        </w:rPr>
      </w:pPr>
      <w:r w:rsidRPr="00FD3045">
        <w:rPr>
          <w:rFonts w:ascii="Verdana" w:hAnsi="Verdana"/>
          <w:sz w:val="24"/>
          <w:szCs w:val="24"/>
        </w:rPr>
        <w:t xml:space="preserve">15. </w:t>
      </w:r>
      <w:r w:rsidRPr="00FD3045">
        <w:rPr>
          <w:rFonts w:ascii="Verdana" w:hAnsi="Verdana"/>
          <w:b/>
          <w:bCs/>
          <w:sz w:val="24"/>
          <w:szCs w:val="24"/>
        </w:rPr>
        <w:t>Recommendation</w:t>
      </w:r>
      <w:r w:rsidRPr="00FD3045">
        <w:rPr>
          <w:rFonts w:ascii="Verdana" w:hAnsi="Verdana"/>
          <w:sz w:val="24"/>
          <w:szCs w:val="24"/>
        </w:rPr>
        <w:t xml:space="preserve">: </w:t>
      </w:r>
      <w:r w:rsidRPr="00FD3045">
        <w:rPr>
          <w:rFonts w:ascii="Verdana" w:hAnsi="Verdana"/>
          <w:sz w:val="24"/>
          <w:szCs w:val="24"/>
        </w:rPr>
        <w:t>Government should develop a proportionate, software-specific assurance pathway for non-traditional defence suppliers, distinct from the framework built around hardware and physical supply chains. Such a pathway should be designed with input from small software suppliers already operating inside live prime-contractor trials, whose experience of where assurance effort is proportionate and where it is duplicative is currently untapped.</w:t>
      </w:r>
    </w:p>
    <w:p w:rsidR="00FD3045" w:rsidRPr="00FD3045" w:rsidP="00903628">
      <w:pPr>
        <w:spacing w:after="200" w:line="276" w:lineRule="auto"/>
        <w:rPr>
          <w:rFonts w:ascii="Verdana" w:hAnsi="Verdana"/>
          <w:i/>
          <w:iCs/>
          <w:sz w:val="24"/>
          <w:szCs w:val="24"/>
        </w:rPr>
      </w:pPr>
      <w:r w:rsidRPr="00FD3045">
        <w:rPr>
          <w:rFonts w:ascii="Verdana" w:hAnsi="Verdana"/>
          <w:i/>
          <w:iCs/>
          <w:sz w:val="24"/>
          <w:szCs w:val="24"/>
        </w:rPr>
        <w:t>13 July 2026</w:t>
      </w:r>
    </w:p>
    <w:p w:rsidR="00FD3045" w:rsidRPr="00FD3045">
      <w:pPr>
        <w:spacing w:after="200" w:line="276" w:lineRule="auto"/>
        <w:rPr>
          <w:rFonts w:ascii="Verdana" w:hAnsi="Verdana"/>
          <w:i/>
          <w:iCs/>
          <w:sz w:val="24"/>
          <w:szCs w:val="24"/>
        </w:rPr>
      </w:pPr>
    </w:p>
    <w:sectPr>
      <w:headerReference w:type="default" r:id="rId4"/>
      <w:footerReference w:type="default" r:id="rId5"/>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696">
    <w:pPr>
      <w:jc w:val="center"/>
    </w:pPr>
    <w:r>
      <w:rPr>
        <w:sz w:val="16"/>
        <w:szCs w:val="16"/>
      </w:rPr>
      <w:t xml:space="preserve">Page </w:t>
    </w:r>
    <w:r>
      <w:rPr>
        <w:sz w:val="16"/>
        <w:szCs w:val="16"/>
      </w:rPr>
      <w:fldChar w:fldCharType="begin"/>
    </w:r>
    <w:r>
      <w:rPr>
        <w:sz w:val="16"/>
        <w:szCs w:val="16"/>
      </w:rPr>
      <w:instrText>PAGE</w:instrText>
    </w:r>
    <w:r>
      <w:rPr>
        <w:sz w:val="16"/>
        <w:szCs w:val="16"/>
      </w:rPr>
      <w:fldChar w:fldCharType="separate"/>
    </w:r>
    <w:r>
      <w:rPr>
        <w:noProof/>
        <w:sz w:val="16"/>
        <w:szCs w:val="16"/>
      </w:rPr>
      <w:t>1</w:t>
    </w:r>
    <w:r>
      <w:rPr>
        <w:sz w:val="16"/>
        <w:szCs w:val="16"/>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696">
    <w:pP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2397246"/>
    <w:multiLevelType w:val="hybridMultilevel"/>
    <w:tmpl w:val="5A8AC582"/>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eastAsia="Georgia" w:hAnsi="Georgia" w:cs="Georgia"/>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E6648"/>
    <w:pPr>
      <w:tabs>
        <w:tab w:val="center" w:pos="4513"/>
        <w:tab w:val="right" w:pos="9026"/>
      </w:tabs>
    </w:pPr>
  </w:style>
  <w:style w:type="character" w:customStyle="1" w:styleId="HeaderChar">
    <w:name w:val="Header Char"/>
    <w:basedOn w:val="DefaultParagraphFont"/>
    <w:link w:val="Header"/>
    <w:uiPriority w:val="99"/>
    <w:rsid w:val="007E6648"/>
  </w:style>
  <w:style w:type="paragraph" w:styleId="Footer">
    <w:name w:val="footer"/>
    <w:basedOn w:val="Normal"/>
    <w:link w:val="FooterChar"/>
    <w:uiPriority w:val="99"/>
    <w:unhideWhenUsed/>
    <w:rsid w:val="007E6648"/>
    <w:pPr>
      <w:tabs>
        <w:tab w:val="center" w:pos="4513"/>
        <w:tab w:val="right" w:pos="9026"/>
      </w:tabs>
    </w:pPr>
  </w:style>
  <w:style w:type="character" w:customStyle="1" w:styleId="FooterChar">
    <w:name w:val="Footer Char"/>
    <w:basedOn w:val="DefaultParagraphFont"/>
    <w:link w:val="Footer"/>
    <w:uiPriority w:val="99"/>
    <w:rsid w:val="007E6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DEF0007</dc:title>
  <cp:revision>0</cp:revision>
</cp:coreProperties>
</file>