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0DB3" w:rsidRPr="00DC78BF" w:rsidP="00DC78BF">
      <w:pPr>
        <w:pStyle w:val="Heading1"/>
      </w:pPr>
      <w:r w:rsidRPr="00DC78BF">
        <w:t>Royal Town Planning Institute – Written evidence (NTB</w:t>
      </w:r>
      <w:r w:rsidRPr="00DC78BF" w:rsidR="00843943">
        <w:t>0023)</w:t>
      </w:r>
    </w:p>
    <w:p w:rsidR="00DB5929" w:rsidRPr="00830DB3" w:rsidP="00DC78BF">
      <w:pPr>
        <w:pStyle w:val="Heading1"/>
      </w:pPr>
      <w:r w:rsidRPr="00830DB3">
        <w:t>About the RTPI</w:t>
      </w:r>
    </w:p>
    <w:p w:rsidR="00DB5929" w:rsidRPr="006133CC" w:rsidP="006133CC">
      <w:pPr>
        <w:pStyle w:val="ListParagraph"/>
        <w:numPr>
          <w:ilvl w:val="0"/>
          <w:numId w:val="22"/>
        </w:numPr>
        <w:spacing w:after="160" w:line="259" w:lineRule="auto"/>
        <w:contextualSpacing w:val="0"/>
        <w:rPr>
          <w:rFonts w:ascii="Verdana" w:hAnsi="Verdana"/>
          <w:color w:val="000000"/>
          <w:sz w:val="22"/>
          <w:szCs w:val="22"/>
        </w:rPr>
      </w:pPr>
      <w:r w:rsidRPr="006133CC">
        <w:rPr>
          <w:rFonts w:ascii="Verdana" w:hAnsi="Verdana"/>
          <w:color w:val="000000"/>
          <w:sz w:val="22"/>
          <w:szCs w:val="22"/>
        </w:rPr>
        <w:t>The Royal Town Planning Institute (RTPI) champions the value of planning in building thriving places and communities. With over 27,000 members worldwide, it supports planners at every stage of their career: raising professional standards, shaping planning policy, and proudly awarding chartered status, the highest professional accreditation in UK planning.</w:t>
      </w:r>
    </w:p>
    <w:p w:rsidR="00DB5929" w:rsidRPr="006133CC" w:rsidP="006133CC">
      <w:pPr>
        <w:pStyle w:val="ListParagraph"/>
        <w:numPr>
          <w:ilvl w:val="0"/>
          <w:numId w:val="22"/>
        </w:numPr>
        <w:spacing w:after="160" w:line="259" w:lineRule="auto"/>
        <w:contextualSpacing w:val="0"/>
        <w:rPr>
          <w:rFonts w:ascii="Verdana" w:hAnsi="Verdana"/>
          <w:color w:val="000000"/>
          <w:sz w:val="22"/>
          <w:szCs w:val="22"/>
        </w:rPr>
      </w:pPr>
      <w:r w:rsidRPr="006133CC">
        <w:rPr>
          <w:rFonts w:ascii="Verdana" w:hAnsi="Verdana"/>
          <w:color w:val="000000"/>
          <w:sz w:val="22"/>
          <w:szCs w:val="22"/>
        </w:rPr>
        <w:t xml:space="preserve">For over a century, the RTPI has empowered planners to deliver positive impact: creating healthy, inclusive, economically and environmentally sustainable places. As the voice of the profession, it advocates, supports, and leads with purpose, professionalism, and passion. </w:t>
      </w:r>
    </w:p>
    <w:p w:rsidR="00DB5929" w:rsidRPr="006133CC" w:rsidP="006133CC">
      <w:pPr>
        <w:pStyle w:val="ListParagraph"/>
        <w:numPr>
          <w:ilvl w:val="0"/>
          <w:numId w:val="22"/>
        </w:numPr>
        <w:spacing w:after="160" w:line="259" w:lineRule="auto"/>
        <w:contextualSpacing w:val="0"/>
        <w:rPr>
          <w:rFonts w:ascii="Verdana" w:hAnsi="Verdana"/>
          <w:color w:val="000000"/>
          <w:sz w:val="22"/>
          <w:szCs w:val="22"/>
        </w:rPr>
      </w:pPr>
      <w:r w:rsidRPr="006133CC">
        <w:rPr>
          <w:rFonts w:ascii="Verdana" w:hAnsi="Verdana"/>
          <w:color w:val="000000"/>
          <w:sz w:val="22"/>
          <w:szCs w:val="22"/>
        </w:rPr>
        <w:t xml:space="preserve">We welcome the opportunity to provide evidence to the Built Environment Committee on this matter, given the important role that planning will play in ensuring that new towns succeed. Good planning provides the necessary foundations to support construction and the rest of the development cycle. </w:t>
      </w:r>
    </w:p>
    <w:p w:rsidR="006133CC" w:rsidRPr="006133CC" w:rsidP="006133CC">
      <w:pPr>
        <w:pStyle w:val="ListParagraph"/>
        <w:numPr>
          <w:ilvl w:val="0"/>
          <w:numId w:val="22"/>
        </w:numPr>
        <w:spacing w:after="160" w:line="259" w:lineRule="auto"/>
        <w:contextualSpacing w:val="0"/>
        <w:rPr>
          <w:rFonts w:ascii="Verdana" w:hAnsi="Verdana"/>
        </w:rPr>
      </w:pPr>
      <w:r w:rsidRPr="006133CC">
        <w:rPr>
          <w:rFonts w:ascii="Verdana" w:eastAsia="Arial" w:hAnsi="Verdana"/>
          <w:color w:val="000000"/>
          <w:sz w:val="22"/>
          <w:szCs w:val="22"/>
          <w:lang w:val="en-US"/>
        </w:rPr>
        <w:t>Note: While the New Towns Act covers Wales and England, the following response reflects the position of RTPI England</w:t>
      </w:r>
      <w:r w:rsidRPr="006133CC">
        <w:rPr>
          <w:rFonts w:ascii="Verdana" w:eastAsia="Arial" w:hAnsi="Verdana"/>
          <w:color w:val="auto"/>
          <w:sz w:val="22"/>
          <w:szCs w:val="22"/>
          <w:lang w:val="en-US"/>
        </w:rPr>
        <w:t xml:space="preserve"> only.</w:t>
      </w:r>
    </w:p>
    <w:p w:rsidR="00DB5929" w:rsidRPr="00830DB3" w:rsidP="006133CC">
      <w:pPr>
        <w:pStyle w:val="ListBullet"/>
        <w:numPr>
          <w:ilvl w:val="0"/>
          <w:numId w:val="0"/>
        </w:numPr>
        <w:spacing w:after="160" w:line="276" w:lineRule="auto"/>
        <w:outlineLvl w:val="0"/>
        <w:rPr>
          <w:rFonts w:ascii="Verdana" w:hAnsi="Verdana"/>
          <w:b/>
          <w:bCs/>
          <w:color w:val="auto"/>
          <w:sz w:val="22"/>
          <w:szCs w:val="22"/>
        </w:rPr>
      </w:pPr>
      <w:r w:rsidRPr="00830DB3">
        <w:rPr>
          <w:rFonts w:ascii="Verdana" w:hAnsi="Verdana"/>
          <w:b/>
          <w:bCs/>
          <w:color w:val="auto"/>
          <w:sz w:val="22"/>
          <w:szCs w:val="22"/>
        </w:rPr>
        <w:t>Responses to questions</w:t>
      </w:r>
    </w:p>
    <w:p w:rsidR="00DB5929" w:rsidRPr="00DC78BF" w:rsidP="00DC78BF">
      <w:pPr>
        <w:rPr>
          <w:rFonts w:ascii="Verdana" w:hAnsi="Verdana"/>
          <w:b/>
          <w:bCs/>
        </w:rPr>
      </w:pPr>
      <w:r w:rsidRPr="00DC78BF">
        <w:rPr>
          <w:rFonts w:ascii="Verdana" w:hAnsi="Verdana"/>
          <w:b/>
          <w:bCs/>
        </w:rPr>
        <w:t>Q1. Once locations have been agreed, what are the factors limiting the physical construction of new towns? Which are the most important? How can they be addressed?</w:t>
      </w:r>
    </w:p>
    <w:p w:rsidR="00DB5929" w:rsidRPr="00830DB3" w:rsidP="00DC78BF">
      <w:pPr>
        <w:pStyle w:val="ListParagraph"/>
        <w:numPr>
          <w:ilvl w:val="0"/>
          <w:numId w:val="25"/>
        </w:numPr>
        <w:spacing w:after="160" w:line="259" w:lineRule="auto"/>
        <w:contextualSpacing w:val="0"/>
        <w:rPr>
          <w:rFonts w:ascii="Verdana" w:hAnsi="Verdana"/>
          <w:color w:val="auto"/>
          <w:sz w:val="22"/>
          <w:szCs w:val="22"/>
        </w:rPr>
      </w:pPr>
      <w:r w:rsidRPr="00830DB3">
        <w:rPr>
          <w:rFonts w:ascii="Verdana" w:hAnsi="Verdana"/>
          <w:color w:val="auto"/>
          <w:sz w:val="22"/>
          <w:szCs w:val="22"/>
        </w:rPr>
        <w:t>Several factors could limit the physical construction of new towns once locations have been agreed. Once agreement is reached and delivery bodies have been established, before anything can be built, the new towns or urban extensions will need to be planned. This will require adequate resourcing within delivery bodies or planning authorities, including specialist expertise in areas like master planning and design codes. However, as the RTPI’s 2025 State of the Profession report identified, there are acute workforce pressures within local planning authorities</w:t>
      </w:r>
      <w:r>
        <w:rPr>
          <w:rStyle w:val="FootnoteReference"/>
          <w:rFonts w:ascii="Verdana" w:hAnsi="Verdana"/>
          <w:color w:val="auto"/>
          <w:sz w:val="22"/>
          <w:szCs w:val="22"/>
        </w:rPr>
        <w:footnoteReference w:id="2"/>
      </w:r>
      <w:r w:rsidRPr="00830DB3">
        <w:rPr>
          <w:rFonts w:ascii="Verdana" w:hAnsi="Verdana"/>
          <w:color w:val="auto"/>
          <w:sz w:val="22"/>
          <w:szCs w:val="22"/>
        </w:rPr>
        <w:t>. Existing planning capacity and the projected recruitment of 1,400 planners within the current parliament are unlikely to be enough to deliver new towns alongside Spatial Development Strategies and day-to-day planning services</w:t>
      </w:r>
      <w:r>
        <w:rPr>
          <w:rStyle w:val="FootnoteReference"/>
          <w:rFonts w:ascii="Verdana" w:hAnsi="Verdana"/>
          <w:color w:val="auto"/>
          <w:sz w:val="22"/>
          <w:szCs w:val="22"/>
        </w:rPr>
        <w:footnoteReference w:id="3"/>
      </w:r>
      <w:r w:rsidRPr="00830DB3">
        <w:rPr>
          <w:rFonts w:ascii="Verdana" w:hAnsi="Verdana"/>
          <w:color w:val="auto"/>
          <w:sz w:val="22"/>
          <w:szCs w:val="22"/>
        </w:rPr>
        <w:t>. To address this, the RTPI has proposed a three-point resourcing plan</w:t>
      </w:r>
      <w:r>
        <w:rPr>
          <w:rStyle w:val="FootnoteReference"/>
          <w:rFonts w:ascii="Verdana" w:eastAsia="Arial" w:hAnsi="Verdana"/>
          <w:color w:val="auto"/>
          <w:sz w:val="22"/>
          <w:szCs w:val="22"/>
        </w:rPr>
        <w:footnoteReference w:id="4"/>
      </w:r>
      <w:r w:rsidRPr="00830DB3">
        <w:rPr>
          <w:rFonts w:ascii="Verdana" w:hAnsi="Verdana"/>
          <w:color w:val="auto"/>
          <w:sz w:val="22"/>
          <w:szCs w:val="22"/>
        </w:rPr>
        <w:t xml:space="preserve"> for recruitment of new planners. Alongside attracting new entrants, the government should focus on strengthening the mid-career workforce, to replace senior staff who are expected to retire in increasing numbers over the coming years. </w:t>
      </w:r>
    </w:p>
    <w:p w:rsidR="00DB5929" w:rsidRPr="00830DB3" w:rsidP="00DC78BF">
      <w:pPr>
        <w:pStyle w:val="ListParagraph"/>
        <w:numPr>
          <w:ilvl w:val="0"/>
          <w:numId w:val="25"/>
        </w:numPr>
        <w:spacing w:after="160" w:line="259" w:lineRule="auto"/>
        <w:contextualSpacing w:val="0"/>
        <w:rPr>
          <w:rFonts w:ascii="Verdana" w:hAnsi="Verdana"/>
          <w:color w:val="auto"/>
          <w:sz w:val="22"/>
          <w:szCs w:val="22"/>
        </w:rPr>
      </w:pPr>
      <w:r w:rsidRPr="00830DB3">
        <w:rPr>
          <w:rFonts w:ascii="Verdana" w:hAnsi="Verdana"/>
          <w:color w:val="auto"/>
          <w:sz w:val="22"/>
          <w:szCs w:val="22"/>
        </w:rPr>
        <w:t>Planning resourcing issues are partly attributable to local authority funding, which has declined significantly in recent decades. This has also impacted the ability of authorities to forward fund new social infrastructure like schools, GPs and libraries, increasing reliance on complex funding mechanisms like section 106 agreements and Community Infrastructure Levy (CIL). Such agreements don’t allow for upfront delivery of social infrastructure, meaning it is often not delivered until long after residents have moved in. The physical construction of a new town that has the necessary social infrastructure for residents from day one therefore depends on the ability of authorities or delivery bodies to build that infrastructure – they should be sufficiently funded to do so upfront.</w:t>
      </w:r>
    </w:p>
    <w:p w:rsidR="00DB5929" w:rsidRPr="00830DB3" w:rsidP="00DC78BF">
      <w:pPr>
        <w:pStyle w:val="ListParagraph"/>
        <w:numPr>
          <w:ilvl w:val="0"/>
          <w:numId w:val="25"/>
        </w:numPr>
        <w:spacing w:after="160" w:line="259" w:lineRule="auto"/>
        <w:contextualSpacing w:val="0"/>
        <w:rPr>
          <w:rFonts w:ascii="Verdana" w:hAnsi="Verdana"/>
          <w:color w:val="auto"/>
          <w:sz w:val="22"/>
          <w:szCs w:val="22"/>
        </w:rPr>
      </w:pPr>
      <w:r w:rsidRPr="00830DB3">
        <w:rPr>
          <w:rFonts w:ascii="Verdana" w:hAnsi="Verdana"/>
          <w:color w:val="auto"/>
          <w:sz w:val="22"/>
          <w:szCs w:val="22"/>
        </w:rPr>
        <w:t xml:space="preserve">In addition to social infrastructure, the capacity of essential utilities infrastructure like the national grid, water and wastewater to accommodate thousands of new homes in each new town area is a concern. We expand on this in question 2, below. </w:t>
      </w:r>
    </w:p>
    <w:p w:rsidR="00DB5929" w:rsidRPr="00830DB3" w:rsidP="00DC78BF">
      <w:pPr>
        <w:pStyle w:val="ListParagraph"/>
        <w:numPr>
          <w:ilvl w:val="0"/>
          <w:numId w:val="25"/>
        </w:numPr>
        <w:spacing w:after="160" w:line="259" w:lineRule="auto"/>
        <w:contextualSpacing w:val="0"/>
        <w:rPr>
          <w:rFonts w:ascii="Verdana" w:hAnsi="Verdana"/>
          <w:color w:val="auto"/>
          <w:sz w:val="22"/>
          <w:szCs w:val="22"/>
        </w:rPr>
      </w:pPr>
      <w:r w:rsidRPr="00830DB3">
        <w:rPr>
          <w:rFonts w:ascii="Verdana" w:hAnsi="Verdana"/>
          <w:color w:val="auto"/>
          <w:sz w:val="22"/>
          <w:szCs w:val="22"/>
        </w:rPr>
        <w:t>New town construction will also depend on the availability of building materials, something the Mineral Products Association and Royal Institute of Chartered Surveyors have warned is under threat</w:t>
      </w:r>
      <w:r>
        <w:rPr>
          <w:rStyle w:val="FootnoteReference"/>
          <w:rFonts w:ascii="Verdana" w:hAnsi="Verdana"/>
          <w:color w:val="auto"/>
          <w:sz w:val="22"/>
          <w:szCs w:val="22"/>
        </w:rPr>
        <w:footnoteReference w:id="5"/>
      </w:r>
      <w:r>
        <w:rPr>
          <w:rStyle w:val="FootnoteReference"/>
          <w:rFonts w:ascii="Verdana" w:hAnsi="Verdana"/>
          <w:color w:val="auto"/>
          <w:sz w:val="22"/>
          <w:szCs w:val="22"/>
        </w:rPr>
        <w:footnoteReference w:id="6"/>
      </w:r>
      <w:r w:rsidRPr="00830DB3">
        <w:rPr>
          <w:rFonts w:ascii="Verdana" w:hAnsi="Verdana"/>
          <w:color w:val="auto"/>
          <w:sz w:val="22"/>
          <w:szCs w:val="22"/>
        </w:rPr>
        <w:t xml:space="preserve">. Recent years have seen a decrease in the supply of accessible aggregates necessary for fulfilling the government’s development targets. Meanwhile, a large </w:t>
      </w:r>
      <w:r w:rsidRPr="00830DB3">
        <w:rPr>
          <w:rFonts w:ascii="Verdana" w:hAnsi="Verdana"/>
          <w:color w:val="auto"/>
          <w:sz w:val="22"/>
          <w:szCs w:val="22"/>
        </w:rPr>
        <w:t>amount</w:t>
      </w:r>
      <w:r w:rsidRPr="00830DB3">
        <w:rPr>
          <w:rFonts w:ascii="Verdana" w:hAnsi="Verdana"/>
          <w:color w:val="auto"/>
          <w:sz w:val="22"/>
          <w:szCs w:val="22"/>
        </w:rPr>
        <w:t xml:space="preserve"> of reserves are available on sites still under planning consideration</w:t>
      </w:r>
      <w:r>
        <w:rPr>
          <w:rStyle w:val="FootnoteReference"/>
          <w:rFonts w:ascii="Verdana" w:hAnsi="Verdana"/>
          <w:color w:val="auto"/>
          <w:sz w:val="22"/>
          <w:szCs w:val="22"/>
        </w:rPr>
        <w:footnoteReference w:id="7"/>
      </w:r>
      <w:r w:rsidRPr="00830DB3">
        <w:rPr>
          <w:rFonts w:ascii="Verdana" w:hAnsi="Verdana"/>
          <w:color w:val="auto"/>
          <w:sz w:val="22"/>
          <w:szCs w:val="22"/>
        </w:rPr>
        <w:t xml:space="preserve">. To address this, the government should assess projected supply and demand </w:t>
      </w:r>
      <w:r w:rsidRPr="00830DB3">
        <w:rPr>
          <w:rFonts w:ascii="Verdana" w:hAnsi="Verdana"/>
          <w:color w:val="auto"/>
          <w:sz w:val="22"/>
          <w:szCs w:val="22"/>
        </w:rPr>
        <w:t>in light of</w:t>
      </w:r>
      <w:r w:rsidRPr="00830DB3">
        <w:rPr>
          <w:rFonts w:ascii="Verdana" w:hAnsi="Verdana"/>
          <w:color w:val="auto"/>
          <w:sz w:val="22"/>
          <w:szCs w:val="22"/>
        </w:rPr>
        <w:t xml:space="preserve"> the new towns programme and set out a plan for ensuring that enough supply is available to meet that demand. A good first step towards this would be to provide funding for mineral planning authorities to expedite planning applications for mineral extraction, for construction.</w:t>
      </w:r>
    </w:p>
    <w:p w:rsidR="00DB5929" w:rsidRPr="00830DB3" w:rsidP="00DC78BF">
      <w:pPr>
        <w:pStyle w:val="ListParagraph"/>
        <w:numPr>
          <w:ilvl w:val="0"/>
          <w:numId w:val="25"/>
        </w:numPr>
        <w:spacing w:after="160" w:line="259" w:lineRule="auto"/>
        <w:contextualSpacing w:val="0"/>
        <w:rPr>
          <w:rFonts w:ascii="Verdana" w:hAnsi="Verdana"/>
          <w:color w:val="auto"/>
          <w:sz w:val="22"/>
          <w:szCs w:val="22"/>
        </w:rPr>
      </w:pPr>
      <w:r w:rsidRPr="00830DB3">
        <w:rPr>
          <w:rFonts w:ascii="Verdana" w:hAnsi="Verdana"/>
          <w:color w:val="auto"/>
          <w:sz w:val="22"/>
          <w:szCs w:val="22"/>
        </w:rPr>
        <w:t>Internationally, geopolitical factors have increased the cost of construction, including materials and electricity costs. The Futureproof New Towns (FNT) report supported by the RTPI found that places planned with flexibility in mind were best able to adapt to changing economic, demographic, and environmental contexts</w:t>
      </w:r>
      <w:r>
        <w:rPr>
          <w:rStyle w:val="FootnoteReference"/>
          <w:rFonts w:ascii="Verdana" w:hAnsi="Verdana"/>
          <w:color w:val="auto"/>
          <w:sz w:val="22"/>
          <w:szCs w:val="22"/>
        </w:rPr>
        <w:footnoteReference w:id="8"/>
      </w:r>
      <w:r w:rsidRPr="00830DB3">
        <w:rPr>
          <w:rFonts w:ascii="Verdana" w:hAnsi="Verdana"/>
          <w:color w:val="auto"/>
          <w:sz w:val="22"/>
          <w:szCs w:val="22"/>
        </w:rPr>
        <w:t>. Places like Almere in the Netherlands and Freiburg in Germany used an iterative approach, enabling their evolution over time, while more rigid designs like those used in Chandigarh, India, found it harder to adapt to change. It is therefore important alongside a clear long-term vision, to maintain a level of flexibility, allowing adaptation to changing external circumstances.</w:t>
      </w:r>
    </w:p>
    <w:p w:rsidR="00DB5929" w:rsidRPr="00830DB3" w:rsidP="006133CC">
      <w:pPr>
        <w:pStyle w:val="ListParagraph"/>
        <w:numPr>
          <w:ilvl w:val="0"/>
          <w:numId w:val="16"/>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 xml:space="preserve">Domestically, there must be shared clarity of purpose and unified political buy-in at sub-regional and national levels. There is the possibility that political churn at the local level impedes this, preventing the government from delivering the housing sorely needed. The FNT report highlighted the importance of long-term policy stability for delivering new towns, something </w:t>
      </w:r>
      <w:r w:rsidRPr="00830DB3">
        <w:rPr>
          <w:rFonts w:ascii="Verdana" w:hAnsi="Verdana"/>
          <w:color w:val="auto"/>
          <w:sz w:val="22"/>
          <w:szCs w:val="22"/>
        </w:rPr>
        <w:t>which could be facilitated by having one body handling both delivery and financing. The Planning and Infrastructure Act (2025) provided new legislative mechanisms to enable this, including new powers for development corporations</w:t>
      </w:r>
      <w:r>
        <w:rPr>
          <w:rStyle w:val="FootnoteReference"/>
          <w:rFonts w:ascii="Verdana" w:hAnsi="Verdana"/>
          <w:color w:val="auto"/>
          <w:sz w:val="22"/>
          <w:szCs w:val="22"/>
        </w:rPr>
        <w:footnoteReference w:id="9"/>
      </w:r>
      <w:r w:rsidRPr="00830DB3">
        <w:rPr>
          <w:rFonts w:ascii="Verdana" w:hAnsi="Verdana"/>
          <w:color w:val="auto"/>
          <w:sz w:val="22"/>
          <w:szCs w:val="22"/>
        </w:rPr>
        <w:t xml:space="preserve">. Ideally, New Town Development Corporations (NTDCs) would span sub-regional functional economic areas, acting as master-planner and master-developer with the ability to assemble land, divide it into sites, and help SME housebuilders access sites they might not otherwise be able to, improving affordability and diversifying tenures.  </w:t>
      </w:r>
    </w:p>
    <w:p w:rsidR="00DB5929" w:rsidRPr="00830DB3" w:rsidP="006133CC">
      <w:pPr>
        <w:pStyle w:val="ListParagraph"/>
        <w:numPr>
          <w:ilvl w:val="0"/>
          <w:numId w:val="16"/>
        </w:numPr>
        <w:spacing w:after="160" w:line="259" w:lineRule="auto"/>
        <w:ind w:left="357" w:hanging="357"/>
        <w:contextualSpacing w:val="0"/>
        <w:rPr>
          <w:rFonts w:ascii="Verdana" w:eastAsia="Arial" w:hAnsi="Verdana"/>
          <w:color w:val="auto"/>
          <w:sz w:val="22"/>
          <w:szCs w:val="22"/>
        </w:rPr>
      </w:pPr>
      <w:r w:rsidRPr="00830DB3">
        <w:rPr>
          <w:rFonts w:ascii="Verdana" w:eastAsia="Arial" w:hAnsi="Verdana"/>
          <w:color w:val="auto"/>
          <w:sz w:val="22"/>
          <w:szCs w:val="22"/>
        </w:rPr>
        <w:t>However, development corporations</w:t>
      </w:r>
      <w:r w:rsidRPr="00830DB3">
        <w:rPr>
          <w:rFonts w:ascii="Verdana" w:hAnsi="Verdana"/>
          <w:color w:val="auto"/>
          <w:sz w:val="22"/>
          <w:szCs w:val="22"/>
        </w:rPr>
        <w:t xml:space="preserve"> will not be the most appropriate delivery vehicle for all new towns, and other options such as public-private partnerships or joint ventures should also be explored. Regardless of delivery model, new towns should be underpinned by coherent and consistent decision-making and place-making principles, enabling the towns’ liveability, resilience, accessibility and sustainability.</w:t>
      </w:r>
    </w:p>
    <w:p w:rsidR="00DB5929" w:rsidRPr="00830DB3" w:rsidP="00DC78BF">
      <w:pPr>
        <w:pStyle w:val="Heading1"/>
      </w:pPr>
      <w:r w:rsidRPr="00830DB3">
        <w:t>Q2. What do you think are the greatest challenges associated with connecting new towns and expanded settlements to utilities? How can these challenges be addressed?</w:t>
      </w:r>
    </w:p>
    <w:p w:rsidR="00DB5929" w:rsidRPr="00830DB3" w:rsidP="006133CC">
      <w:pPr>
        <w:pStyle w:val="ListParagraph"/>
        <w:numPr>
          <w:ilvl w:val="0"/>
          <w:numId w:val="17"/>
        </w:numPr>
        <w:spacing w:after="160" w:line="259" w:lineRule="auto"/>
        <w:ind w:left="357" w:hanging="357"/>
        <w:contextualSpacing w:val="0"/>
        <w:rPr>
          <w:rFonts w:ascii="Verdana" w:eastAsia="Arial" w:hAnsi="Verdana" w:cstheme="minorHAnsi"/>
          <w:color w:val="auto"/>
          <w:sz w:val="22"/>
          <w:szCs w:val="22"/>
        </w:rPr>
      </w:pPr>
      <w:r w:rsidRPr="00830DB3">
        <w:rPr>
          <w:rFonts w:ascii="Verdana" w:eastAsia="Arial" w:hAnsi="Verdana" w:cstheme="minorHAnsi"/>
          <w:color w:val="auto"/>
          <w:sz w:val="22"/>
          <w:szCs w:val="22"/>
        </w:rPr>
        <w:t>The primary challenge associated with connecting new towns to utilities is the capacity of current systems to accommodate thousands of new dwellings. This is true of multiple utilities, including electricity, water and wastewater, and by the government’s own diagnosis, stems from erratic and low levels of investment in infrastructure over an extended period</w:t>
      </w:r>
      <w:r>
        <w:rPr>
          <w:rStyle w:val="FootnoteReference"/>
          <w:rFonts w:ascii="Verdana" w:eastAsia="Arial" w:hAnsi="Verdana" w:cstheme="minorHAnsi"/>
          <w:color w:val="auto"/>
          <w:sz w:val="22"/>
          <w:szCs w:val="22"/>
        </w:rPr>
        <w:footnoteReference w:id="10"/>
      </w:r>
      <w:r w:rsidRPr="00830DB3">
        <w:rPr>
          <w:rFonts w:ascii="Verdana" w:eastAsia="Arial" w:hAnsi="Verdana" w:cstheme="minorHAnsi"/>
          <w:color w:val="auto"/>
          <w:sz w:val="22"/>
          <w:szCs w:val="22"/>
        </w:rPr>
        <w:t>. Consequently, the primary way to address these challenges is significant investment in expanding, upgrading and futureproofing utilities.</w:t>
      </w:r>
    </w:p>
    <w:p w:rsidR="00754145" w:rsidP="006133CC">
      <w:pPr>
        <w:pStyle w:val="ListParagraph"/>
        <w:numPr>
          <w:ilvl w:val="0"/>
          <w:numId w:val="18"/>
        </w:numPr>
        <w:spacing w:after="160" w:line="259" w:lineRule="auto"/>
        <w:ind w:left="357" w:hanging="357"/>
        <w:contextualSpacing w:val="0"/>
        <w:rPr>
          <w:rFonts w:ascii="Verdana" w:eastAsia="Arial" w:hAnsi="Verdana" w:cstheme="minorHAnsi"/>
          <w:color w:val="auto"/>
          <w:sz w:val="22"/>
          <w:szCs w:val="22"/>
        </w:rPr>
      </w:pPr>
      <w:r w:rsidRPr="00830DB3">
        <w:rPr>
          <w:rFonts w:ascii="Verdana" w:eastAsia="Arial" w:hAnsi="Verdana" w:cstheme="minorHAnsi"/>
          <w:color w:val="auto"/>
          <w:sz w:val="22"/>
          <w:szCs w:val="22"/>
        </w:rPr>
        <w:t>The RTPI welcomed the government and National Energy System Operator’s (NESO) reforms to the electricity grid queueing system, enabling a move away from first-come, first-serve towards prioritising projects that are ready to connect</w:t>
      </w:r>
      <w:r>
        <w:rPr>
          <w:rStyle w:val="FootnoteReference"/>
          <w:rFonts w:ascii="Verdana" w:eastAsia="Arial" w:hAnsi="Verdana" w:cstheme="minorHAnsi"/>
          <w:color w:val="auto"/>
          <w:sz w:val="22"/>
          <w:szCs w:val="22"/>
        </w:rPr>
        <w:footnoteReference w:id="11"/>
      </w:r>
      <w:r w:rsidRPr="00830DB3">
        <w:rPr>
          <w:rFonts w:ascii="Verdana" w:eastAsia="Arial" w:hAnsi="Verdana" w:cstheme="minorHAnsi"/>
          <w:color w:val="auto"/>
          <w:sz w:val="22"/>
          <w:szCs w:val="22"/>
        </w:rPr>
        <w:t>. However, problems have persisted with grid capacity. For example, in West London energy intensive data centres have put pressure on the local grid, meaning that the connection of 19 otherwise completed housing developments was delayed</w:t>
      </w:r>
      <w:r>
        <w:rPr>
          <w:rStyle w:val="FootnoteReference"/>
          <w:rFonts w:ascii="Verdana" w:eastAsia="Arial" w:hAnsi="Verdana" w:cstheme="minorHAnsi"/>
          <w:color w:val="auto"/>
          <w:sz w:val="22"/>
          <w:szCs w:val="22"/>
        </w:rPr>
        <w:footnoteReference w:id="12"/>
      </w:r>
      <w:r w:rsidRPr="00830DB3">
        <w:rPr>
          <w:rFonts w:ascii="Verdana" w:eastAsia="Arial" w:hAnsi="Verdana" w:cstheme="minorHAnsi"/>
          <w:color w:val="auto"/>
          <w:sz w:val="22"/>
          <w:szCs w:val="22"/>
        </w:rPr>
        <w:t>.</w:t>
      </w:r>
    </w:p>
    <w:p w:rsidR="00DB5929" w:rsidRPr="00FA774B" w:rsidP="006133CC">
      <w:pPr>
        <w:pStyle w:val="ListParagraph"/>
        <w:numPr>
          <w:ilvl w:val="0"/>
          <w:numId w:val="19"/>
        </w:numPr>
        <w:spacing w:after="160" w:line="259" w:lineRule="auto"/>
        <w:ind w:left="357" w:hanging="357"/>
        <w:contextualSpacing w:val="0"/>
        <w:rPr>
          <w:rFonts w:ascii="Verdana" w:eastAsia="Arial" w:hAnsi="Verdana" w:cstheme="minorHAnsi"/>
          <w:color w:val="auto"/>
          <w:sz w:val="22"/>
          <w:szCs w:val="22"/>
        </w:rPr>
      </w:pPr>
      <w:r w:rsidRPr="00830DB3">
        <w:rPr>
          <w:rFonts w:ascii="Verdana" w:eastAsia="Arial" w:hAnsi="Verdana" w:cstheme="minorHAnsi"/>
          <w:color w:val="auto"/>
          <w:sz w:val="22"/>
          <w:szCs w:val="22"/>
        </w:rPr>
        <w:t>Given this limited grid capacity, new towns should be considered as one of the types of projects with strategic national importance that can have capacity reserved, or connection prioritised by NESO</w:t>
      </w:r>
      <w:r>
        <w:rPr>
          <w:rStyle w:val="FootnoteReference"/>
          <w:rFonts w:ascii="Verdana" w:eastAsia="Arial" w:hAnsi="Verdana" w:cstheme="minorHAnsi"/>
          <w:color w:val="auto"/>
          <w:sz w:val="22"/>
          <w:szCs w:val="22"/>
        </w:rPr>
        <w:footnoteReference w:id="13"/>
      </w:r>
      <w:r w:rsidRPr="00830DB3">
        <w:rPr>
          <w:rFonts w:ascii="Verdana" w:eastAsia="Arial" w:hAnsi="Verdana" w:cstheme="minorHAnsi"/>
          <w:color w:val="auto"/>
          <w:sz w:val="22"/>
          <w:szCs w:val="22"/>
        </w:rPr>
        <w:t xml:space="preserve">. Ideally, this would be a limited-term measure, implemented in addition to significant investment in the capacity of the grid system – as mentioned above. The increasing electrification of heat, proliferation of electric cars, shift towards renewables, </w:t>
      </w:r>
      <w:r w:rsidRPr="00830DB3">
        <w:rPr>
          <w:rFonts w:ascii="Verdana" w:eastAsia="Arial" w:hAnsi="Verdana" w:cstheme="minorHAnsi"/>
          <w:color w:val="auto"/>
          <w:sz w:val="22"/>
          <w:szCs w:val="22"/>
        </w:rPr>
        <w:t>and extreme weather events means it is crucial we upgrade the grid to be more flexible and resilient.</w:t>
      </w:r>
    </w:p>
    <w:p w:rsidR="00DB5929" w:rsidRPr="00FA774B" w:rsidP="006133CC">
      <w:pPr>
        <w:pStyle w:val="ListParagraph"/>
        <w:numPr>
          <w:ilvl w:val="0"/>
          <w:numId w:val="20"/>
        </w:numPr>
        <w:spacing w:after="160" w:line="259" w:lineRule="auto"/>
        <w:ind w:left="357" w:hanging="357"/>
        <w:contextualSpacing w:val="0"/>
        <w:rPr>
          <w:rFonts w:ascii="Verdana" w:eastAsia="Arial" w:hAnsi="Verdana" w:cstheme="minorHAnsi"/>
          <w:color w:val="auto"/>
          <w:sz w:val="22"/>
          <w:szCs w:val="22"/>
        </w:rPr>
      </w:pPr>
      <w:r w:rsidRPr="00830DB3">
        <w:rPr>
          <w:rFonts w:ascii="Verdana" w:eastAsia="Arial" w:hAnsi="Verdana" w:cstheme="minorHAnsi"/>
          <w:color w:val="auto"/>
          <w:sz w:val="22"/>
          <w:szCs w:val="22"/>
        </w:rPr>
        <w:t>Availability of clean water is another utilities challenge that could impact connection of new towns. England has experienced rising water stress in recent years, with much of the south of England under serious water stress</w:t>
      </w:r>
      <w:r>
        <w:rPr>
          <w:rStyle w:val="FootnoteReference"/>
          <w:rFonts w:ascii="Verdana" w:eastAsia="Arial" w:hAnsi="Verdana" w:cstheme="minorHAnsi"/>
          <w:color w:val="auto"/>
          <w:sz w:val="22"/>
          <w:szCs w:val="22"/>
        </w:rPr>
        <w:footnoteReference w:id="14"/>
      </w:r>
      <w:r w:rsidRPr="00830DB3">
        <w:rPr>
          <w:rFonts w:ascii="Verdana" w:eastAsia="Arial" w:hAnsi="Verdana" w:cstheme="minorHAnsi"/>
          <w:color w:val="auto"/>
          <w:sz w:val="22"/>
          <w:szCs w:val="22"/>
        </w:rPr>
        <w:t xml:space="preserve">. The lack of new reservoirs built since the 1990s means that we have a less resilient water supply in the context of increasingly hot and dry summers. The government’s own projections predict an almost 5 billion litre </w:t>
      </w:r>
      <w:r w:rsidRPr="00830DB3">
        <w:rPr>
          <w:rFonts w:ascii="Verdana" w:eastAsia="Arial" w:hAnsi="Verdana" w:cstheme="minorHAnsi"/>
          <w:color w:val="auto"/>
          <w:sz w:val="22"/>
          <w:szCs w:val="22"/>
        </w:rPr>
        <w:t>shortfall</w:t>
      </w:r>
      <w:r w:rsidRPr="00830DB3">
        <w:rPr>
          <w:rFonts w:ascii="Verdana" w:eastAsia="Arial" w:hAnsi="Verdana" w:cstheme="minorHAnsi"/>
          <w:color w:val="auto"/>
          <w:sz w:val="22"/>
          <w:szCs w:val="22"/>
        </w:rPr>
        <w:t xml:space="preserve"> in water supply by 2050</w:t>
      </w:r>
      <w:r>
        <w:rPr>
          <w:rStyle w:val="FootnoteReference"/>
          <w:rFonts w:ascii="Verdana" w:eastAsia="Arial" w:hAnsi="Verdana" w:cstheme="minorHAnsi"/>
          <w:color w:val="auto"/>
          <w:sz w:val="22"/>
          <w:szCs w:val="22"/>
        </w:rPr>
        <w:footnoteReference w:id="15"/>
      </w:r>
      <w:r w:rsidRPr="00830DB3">
        <w:rPr>
          <w:rFonts w:ascii="Verdana" w:eastAsia="Arial" w:hAnsi="Verdana" w:cstheme="minorHAnsi"/>
          <w:color w:val="auto"/>
          <w:sz w:val="22"/>
          <w:szCs w:val="22"/>
        </w:rPr>
        <w:t>, and existing water stress is already leading to restrictions in the building of homes and establishment of businesses in some areas</w:t>
      </w:r>
      <w:r>
        <w:rPr>
          <w:rStyle w:val="FootnoteReference"/>
          <w:rFonts w:ascii="Verdana" w:eastAsia="Arial" w:hAnsi="Verdana" w:cstheme="minorHAnsi"/>
          <w:color w:val="auto"/>
          <w:sz w:val="22"/>
          <w:szCs w:val="22"/>
        </w:rPr>
        <w:footnoteReference w:id="16"/>
      </w:r>
      <w:r w:rsidRPr="00830DB3">
        <w:rPr>
          <w:rFonts w:ascii="Verdana" w:eastAsia="Arial" w:hAnsi="Verdana" w:cstheme="minorHAnsi"/>
          <w:color w:val="auto"/>
          <w:sz w:val="22"/>
          <w:szCs w:val="22"/>
        </w:rPr>
        <w:t xml:space="preserve">. </w:t>
      </w:r>
    </w:p>
    <w:p w:rsidR="00DB5929" w:rsidRPr="00830DB3" w:rsidP="006133CC">
      <w:pPr>
        <w:pStyle w:val="ListParagraph"/>
        <w:numPr>
          <w:ilvl w:val="0"/>
          <w:numId w:val="20"/>
        </w:numPr>
        <w:spacing w:after="160" w:line="259" w:lineRule="auto"/>
        <w:ind w:left="357" w:hanging="357"/>
        <w:contextualSpacing w:val="0"/>
        <w:rPr>
          <w:rFonts w:ascii="Verdana" w:eastAsia="Arial" w:hAnsi="Verdana" w:cstheme="minorHAnsi"/>
          <w:color w:val="auto"/>
          <w:sz w:val="22"/>
          <w:szCs w:val="22"/>
        </w:rPr>
      </w:pPr>
      <w:r w:rsidRPr="00830DB3">
        <w:rPr>
          <w:rFonts w:ascii="Verdana" w:eastAsia="Arial" w:hAnsi="Verdana" w:cstheme="minorHAnsi"/>
          <w:color w:val="auto"/>
          <w:sz w:val="22"/>
          <w:szCs w:val="22"/>
        </w:rPr>
        <w:t>The government has acknowledged that without addressing these constraints, new towns cannot go ahead</w:t>
      </w:r>
      <w:r>
        <w:rPr>
          <w:rStyle w:val="FootnoteReference"/>
          <w:rFonts w:ascii="Verdana" w:eastAsia="Arial" w:hAnsi="Verdana" w:cstheme="minorHAnsi"/>
          <w:color w:val="auto"/>
          <w:sz w:val="22"/>
          <w:szCs w:val="22"/>
        </w:rPr>
        <w:footnoteReference w:id="17"/>
      </w:r>
      <w:r w:rsidRPr="00830DB3">
        <w:rPr>
          <w:rFonts w:ascii="Verdana" w:eastAsia="Arial" w:hAnsi="Verdana" w:cstheme="minorHAnsi"/>
          <w:color w:val="auto"/>
          <w:sz w:val="22"/>
          <w:szCs w:val="22"/>
        </w:rPr>
        <w:t>, meaning its plans to build nine new reservoirs must be advanced as a matter of priority. Positively, the government has already demonstrated intent with its Water Delivery Taskforce, and by designating two reservoirs as ‘nationally significant’. To make development of new water infrastructure easier, the threshold of hold-back or transfer capacity that reservoirs, dams and pipelines must meet to be considered under the NSIP regime</w:t>
      </w:r>
      <w:r>
        <w:rPr>
          <w:rStyle w:val="FootnoteReference"/>
          <w:rFonts w:ascii="Verdana" w:eastAsia="Arial" w:hAnsi="Verdana" w:cstheme="minorHAnsi"/>
          <w:color w:val="auto"/>
          <w:sz w:val="22"/>
          <w:szCs w:val="22"/>
        </w:rPr>
        <w:footnoteReference w:id="18"/>
      </w:r>
      <w:r w:rsidRPr="00830DB3">
        <w:rPr>
          <w:rFonts w:ascii="Verdana" w:eastAsia="Arial" w:hAnsi="Verdana" w:cstheme="minorHAnsi"/>
          <w:color w:val="auto"/>
          <w:sz w:val="22"/>
          <w:szCs w:val="22"/>
        </w:rPr>
        <w:t xml:space="preserve"> – and therefore to benefit from a simpler consenting process – could be lowered.</w:t>
      </w:r>
    </w:p>
    <w:p w:rsidR="00DB5929" w:rsidRPr="00830DB3" w:rsidP="006133CC">
      <w:pPr>
        <w:pStyle w:val="ListParagraph"/>
        <w:numPr>
          <w:ilvl w:val="0"/>
          <w:numId w:val="22"/>
        </w:numPr>
        <w:spacing w:after="160" w:line="259" w:lineRule="auto"/>
        <w:ind w:left="357" w:hanging="357"/>
        <w:contextualSpacing w:val="0"/>
        <w:rPr>
          <w:rFonts w:ascii="Verdana" w:eastAsia="Arial" w:hAnsi="Verdana" w:cstheme="minorHAnsi"/>
          <w:color w:val="auto"/>
          <w:sz w:val="22"/>
          <w:szCs w:val="22"/>
        </w:rPr>
      </w:pPr>
      <w:r w:rsidRPr="00830DB3">
        <w:rPr>
          <w:rFonts w:ascii="Verdana" w:eastAsia="Arial" w:hAnsi="Verdana" w:cstheme="minorHAnsi"/>
          <w:color w:val="auto"/>
          <w:sz w:val="22"/>
          <w:szCs w:val="22"/>
        </w:rPr>
        <w:t>In addition to clean water infrastructure, wastewater infrastructure is a further potentially limiting factor to the construction of new towns. A lack of sewerage treatment capacity has led to the refusal or delay of housing developments in some areas, due to the sewerage provider’s own assessments of their (lack of) capacity, or even the local planning authority’s anticipation of this</w:t>
      </w:r>
      <w:r>
        <w:rPr>
          <w:rStyle w:val="FootnoteReference"/>
          <w:rFonts w:ascii="Verdana" w:eastAsia="Arial" w:hAnsi="Verdana" w:cstheme="minorHAnsi"/>
          <w:color w:val="auto"/>
          <w:sz w:val="22"/>
          <w:szCs w:val="22"/>
        </w:rPr>
        <w:footnoteReference w:id="19"/>
      </w:r>
      <w:r w:rsidRPr="00830DB3">
        <w:rPr>
          <w:rFonts w:ascii="Verdana" w:eastAsia="Arial" w:hAnsi="Verdana" w:cstheme="minorHAnsi"/>
          <w:color w:val="auto"/>
          <w:sz w:val="22"/>
          <w:szCs w:val="22"/>
        </w:rPr>
        <w:t>. Given that wastewater treatment is a statutory function of water companies, it is imperative that new capacity is brought online. To avoid delays in the future, water companies’ Drainage and Wastewater Management Plans should be required to consider and accommodate their catchment areas’ housebuilding targets, and this is something Ofwat should proactively monitor adherence to.</w:t>
      </w:r>
    </w:p>
    <w:p w:rsidR="00DB5929" w:rsidRPr="00830DB3" w:rsidP="006133CC">
      <w:pPr>
        <w:pStyle w:val="ListParagraph"/>
        <w:numPr>
          <w:ilvl w:val="0"/>
          <w:numId w:val="22"/>
        </w:numPr>
        <w:spacing w:after="160" w:line="259" w:lineRule="auto"/>
        <w:ind w:left="357" w:hanging="357"/>
        <w:contextualSpacing w:val="0"/>
        <w:rPr>
          <w:rFonts w:ascii="Verdana" w:eastAsia="Arial" w:hAnsi="Verdana" w:cstheme="minorHAnsi"/>
          <w:color w:val="auto"/>
          <w:sz w:val="22"/>
          <w:szCs w:val="22"/>
        </w:rPr>
      </w:pPr>
      <w:r w:rsidRPr="00830DB3">
        <w:rPr>
          <w:rFonts w:ascii="Verdana" w:eastAsia="Arial" w:hAnsi="Verdana" w:cstheme="minorHAnsi"/>
          <w:color w:val="auto"/>
          <w:sz w:val="22"/>
          <w:szCs w:val="22"/>
        </w:rPr>
        <w:t xml:space="preserve">Across utilities, regulation has become increasingly complex, leading to counterintuitive patterns of infrastructure development. For electricity and water, operators are not allowed to pass on the costs of development ‘ahead of need’. They will therefore not usually forward fund such work for future development on a speculative basis. Consequently, pooled capacity and forward-funding of utilities are effectively prevented by a combination of regulation, rules, governance, and limits on cost-recovery. This is something </w:t>
      </w:r>
      <w:r w:rsidRPr="00830DB3">
        <w:rPr>
          <w:rFonts w:ascii="Verdana" w:eastAsia="Arial" w:hAnsi="Verdana" w:cstheme="minorHAnsi"/>
          <w:color w:val="auto"/>
          <w:sz w:val="22"/>
          <w:szCs w:val="22"/>
        </w:rPr>
        <w:t>Ebbsfleet Development Corporation was able to address with a bespoke, negotiated agreement between them, the network operators and the regulator Ofgem</w:t>
      </w:r>
      <w:r>
        <w:rPr>
          <w:rStyle w:val="FootnoteReference"/>
          <w:rFonts w:ascii="Verdana" w:eastAsia="Arial" w:hAnsi="Verdana" w:cstheme="minorHAnsi"/>
          <w:color w:val="auto"/>
          <w:sz w:val="22"/>
          <w:szCs w:val="22"/>
        </w:rPr>
        <w:footnoteReference w:id="20"/>
      </w:r>
      <w:r w:rsidRPr="00830DB3">
        <w:rPr>
          <w:rFonts w:ascii="Verdana" w:eastAsia="Arial" w:hAnsi="Verdana" w:cstheme="minorHAnsi"/>
          <w:color w:val="auto"/>
          <w:sz w:val="22"/>
          <w:szCs w:val="22"/>
        </w:rPr>
        <w:t>. Given this regulatory landscape, more guidance on how development corporations and other types of delivery body can coordinate, fund and build the necessary utilities infrastructure for their respective developments is needed from the government.</w:t>
      </w:r>
    </w:p>
    <w:p w:rsidR="00DB5929" w:rsidRPr="00830DB3" w:rsidP="006133CC">
      <w:pPr>
        <w:pStyle w:val="ListParagraph"/>
        <w:numPr>
          <w:ilvl w:val="0"/>
          <w:numId w:val="22"/>
        </w:numPr>
        <w:spacing w:after="160" w:line="259" w:lineRule="auto"/>
        <w:ind w:left="357" w:hanging="357"/>
        <w:contextualSpacing w:val="0"/>
        <w:rPr>
          <w:rFonts w:ascii="Verdana" w:eastAsia="Arial" w:hAnsi="Verdana" w:cstheme="minorHAnsi"/>
          <w:color w:val="auto"/>
          <w:sz w:val="22"/>
          <w:szCs w:val="22"/>
        </w:rPr>
      </w:pPr>
      <w:r w:rsidRPr="00830DB3">
        <w:rPr>
          <w:rFonts w:ascii="Verdana" w:eastAsia="Arial" w:hAnsi="Verdana" w:cstheme="minorHAnsi"/>
          <w:color w:val="auto"/>
          <w:sz w:val="22"/>
          <w:szCs w:val="22"/>
        </w:rPr>
        <w:t xml:space="preserve">Another challenge around connecting new towns to utilities may be the attitudes of existing residents to the infrastructure development needed to provide those utilities. There is a possibility that, like with High Speed 2, substantial changes to the initial planned design stemming from local opposition significantly delays and increases the cost of delivering the necessary infrastructure, like pylons, substations and masts. The government should carefully consider how it engages existing residents, while ensuring the needs of future residents are met. One way to help address this is early engagement with existing residents and ‘pioneer </w:t>
      </w:r>
      <w:r w:rsidRPr="00830DB3">
        <w:rPr>
          <w:rFonts w:ascii="Verdana" w:eastAsia="Arial" w:hAnsi="Verdana" w:cstheme="minorHAnsi"/>
          <w:color w:val="auto"/>
          <w:sz w:val="22"/>
          <w:szCs w:val="22"/>
        </w:rPr>
        <w:t>families’</w:t>
      </w:r>
      <w:r w:rsidRPr="00830DB3">
        <w:rPr>
          <w:rFonts w:ascii="Verdana" w:eastAsia="Arial" w:hAnsi="Verdana" w:cstheme="minorHAnsi"/>
          <w:color w:val="auto"/>
          <w:sz w:val="22"/>
          <w:szCs w:val="22"/>
        </w:rPr>
        <w:t>. RTPI supported research by Demos made the case that early public engagement could streamline development by helping to anticipate issues earlier in the planning process and de-risk later planning applications, potentially speeding up overall progress</w:t>
      </w:r>
      <w:r>
        <w:rPr>
          <w:rStyle w:val="FootnoteReference"/>
          <w:rFonts w:ascii="Verdana" w:eastAsia="Arial" w:hAnsi="Verdana" w:cstheme="minorHAnsi"/>
          <w:color w:val="auto"/>
          <w:sz w:val="22"/>
          <w:szCs w:val="22"/>
        </w:rPr>
        <w:footnoteReference w:id="21"/>
      </w:r>
      <w:r w:rsidRPr="00830DB3">
        <w:rPr>
          <w:rFonts w:ascii="Verdana" w:eastAsia="Arial" w:hAnsi="Verdana" w:cstheme="minorHAnsi"/>
          <w:color w:val="auto"/>
          <w:sz w:val="22"/>
          <w:szCs w:val="22"/>
        </w:rPr>
        <w:t xml:space="preserve">. This could include engagement on design codes for the appearance of utilities infrastructure, as well as for dwellings. </w:t>
      </w:r>
    </w:p>
    <w:p w:rsidR="00DB5929" w:rsidRPr="005019C8" w:rsidP="005019C8">
      <w:pPr>
        <w:rPr>
          <w:rFonts w:ascii="Verdana" w:hAnsi="Verdana"/>
          <w:b/>
          <w:bCs/>
        </w:rPr>
      </w:pPr>
      <w:r w:rsidRPr="005019C8">
        <w:rPr>
          <w:rFonts w:ascii="Verdana" w:hAnsi="Verdana"/>
          <w:b/>
          <w:bCs/>
        </w:rPr>
        <w:t>Q3. Which policy areas or barriers represent the ‘low-hanging fruit’ for this inquiry? Are there any ‘quick fixes’ that the Committee and Government could address?</w:t>
      </w:r>
    </w:p>
    <w:p w:rsidR="00DB5929" w:rsidRPr="00830DB3" w:rsidP="006133CC">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The New Towns Draft Programme consultation</w:t>
      </w:r>
      <w:r>
        <w:rPr>
          <w:rStyle w:val="FootnoteReference"/>
          <w:rFonts w:ascii="Verdana" w:hAnsi="Verdana"/>
          <w:color w:val="auto"/>
          <w:sz w:val="22"/>
          <w:szCs w:val="22"/>
        </w:rPr>
        <w:footnoteReference w:id="22"/>
      </w:r>
      <w:r w:rsidRPr="00830DB3">
        <w:rPr>
          <w:rFonts w:ascii="Verdana" w:hAnsi="Verdana"/>
          <w:color w:val="auto"/>
          <w:sz w:val="22"/>
          <w:szCs w:val="22"/>
        </w:rPr>
        <w:t xml:space="preserve"> set out the placemaking principles and the proposed policy for new towns. The proposed placemaking principles are promising but should clearly reference the Design and Placemaking PPG to maximise their effectiveness. A vision-led approach to design, one which makes use of all available design tools, would help new towns achieve a holistic place-based approach to placemaking, one that focuses on high quality infrastructure provision, sufficient density, healthy and safe places, environmental sustainability, and transport connectivity. A well-designed place is one which is healthy, safe, sustainable, and promotes active travel. The wording for the placemaking principles does not currently emphasise these linkages sufficiently, and stronger wording could help avoid the implementation of these principles in a siloed and uncoordinated way.</w:t>
      </w:r>
    </w:p>
    <w:p w:rsidR="00DB5929" w:rsidRPr="00830DB3" w:rsidP="006133CC">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 xml:space="preserve">Furthermore, the Government should consider how affordable housing is delivered as part of the New Towns programme. Currently, affordable housing is delivered largely through developer contributions, where the uplift in the value of the land when granted permission (planning gain) is used to fund things like affordable housing tenures, infrastructure, and local services. The New Towns Draft Programme consultation published earlier this year indicated </w:t>
      </w:r>
      <w:r w:rsidRPr="00830DB3">
        <w:rPr>
          <w:rFonts w:ascii="Verdana" w:hAnsi="Verdana"/>
          <w:color w:val="auto"/>
          <w:sz w:val="22"/>
          <w:szCs w:val="22"/>
        </w:rPr>
        <w:t>that the approach to affordable housing for New Towns would function in a similar manner.</w:t>
      </w:r>
    </w:p>
    <w:p w:rsidR="00DB5929" w:rsidRPr="00830DB3" w:rsidP="006133CC">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Where possible, the Government should fund affordable housing directly through grant funding and reduce the reliance on private sector cross-subsidy. Currently, affordable housing delivery is heavily linked to the viability of private sector development. Where housebuilding is viable and sufficiently profitable, affordable housing can be delivered alongside developers fulfilling their statutory Biodiversity Net Gain and their Community Infrastructure Levy or Section 106 obligations. When viability is squeezed, affordable housing provision is the first thing to suffer.</w:t>
      </w:r>
    </w:p>
    <w:p w:rsidR="00DB5929" w:rsidRPr="00830DB3" w:rsidP="006133CC">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 xml:space="preserve">The housebuilding market across the country is struggling to cope with higher costs for materials and labour alongside rising borrowing costs. The scale of development may make things easier for the delivery of new towns, but decoupling affordable housing delivery from private housebuilding would ease viability pressures and allow planning gain to contribute more to essential services and infrastructure that new towns will need to become thriving, well-rounded places that can support thriving communities. </w:t>
      </w:r>
    </w:p>
    <w:p w:rsidR="00DB5929" w:rsidRPr="00830DB3" w:rsidP="006133CC">
      <w:pPr>
        <w:pStyle w:val="ListParagraph"/>
        <w:numPr>
          <w:ilvl w:val="0"/>
          <w:numId w:val="22"/>
        </w:numPr>
        <w:spacing w:after="160" w:line="259" w:lineRule="auto"/>
        <w:ind w:left="357" w:hanging="357"/>
        <w:contextualSpacing w:val="0"/>
        <w:rPr>
          <w:rFonts w:ascii="Verdana" w:eastAsia="Arial" w:hAnsi="Verdana"/>
          <w:color w:val="auto"/>
          <w:sz w:val="22"/>
          <w:szCs w:val="22"/>
        </w:rPr>
      </w:pPr>
      <w:r w:rsidRPr="00830DB3">
        <w:rPr>
          <w:rFonts w:ascii="Verdana" w:hAnsi="Verdana"/>
          <w:color w:val="auto"/>
          <w:sz w:val="22"/>
          <w:szCs w:val="22"/>
        </w:rPr>
        <w:t>Affordable housing provision is important in helping to create diverse and balanced communities with a range of housing types and tenures. The Letwin Review</w:t>
      </w:r>
      <w:r>
        <w:rPr>
          <w:rStyle w:val="FootnoteReference"/>
          <w:rFonts w:ascii="Verdana" w:hAnsi="Verdana"/>
          <w:color w:val="auto"/>
          <w:sz w:val="22"/>
          <w:szCs w:val="22"/>
        </w:rPr>
        <w:footnoteReference w:id="23"/>
      </w:r>
      <w:r w:rsidRPr="00830DB3">
        <w:rPr>
          <w:rFonts w:ascii="Verdana" w:hAnsi="Verdana"/>
          <w:color w:val="auto"/>
          <w:sz w:val="22"/>
          <w:szCs w:val="22"/>
        </w:rPr>
        <w:t xml:space="preserve"> found that a mix of types and tenures of homes leads to higher absorption rates of housing into local markets, supporting a higher build out rate. We fully support the government’s ambitious 40% affordable housing target, and it would be disappointing if viability constraints undermined the ambitions of the new towns programme.</w:t>
      </w:r>
    </w:p>
    <w:p w:rsidR="00DB5929" w:rsidRPr="005019C8" w:rsidP="005019C8">
      <w:pPr>
        <w:rPr>
          <w:rFonts w:ascii="Verdana" w:hAnsi="Verdana"/>
          <w:b/>
          <w:bCs/>
        </w:rPr>
      </w:pPr>
      <w:r w:rsidRPr="005019C8">
        <w:rPr>
          <w:rFonts w:ascii="Verdana" w:hAnsi="Verdana"/>
          <w:b/>
          <w:bCs/>
        </w:rPr>
        <w:t>Q4</w:t>
      </w:r>
      <w:r w:rsidRPr="005019C8" w:rsidR="005019C8">
        <w:rPr>
          <w:rFonts w:ascii="Verdana" w:hAnsi="Verdana"/>
          <w:b/>
          <w:bCs/>
        </w:rPr>
        <w:t xml:space="preserve"> </w:t>
      </w:r>
      <w:r w:rsidRPr="005019C8">
        <w:rPr>
          <w:rFonts w:ascii="Verdana" w:hAnsi="Verdana"/>
          <w:b/>
          <w:bCs/>
        </w:rPr>
        <w:t>What can the Government and new town delivery vehicles do in the short term to ensure that construction of new towns over the coming years and decades is successful?</w:t>
      </w:r>
    </w:p>
    <w:p w:rsidR="00DB5929" w:rsidRPr="00830DB3" w:rsidP="006133CC">
      <w:pPr>
        <w:pStyle w:val="ListParagraph"/>
        <w:numPr>
          <w:ilvl w:val="0"/>
          <w:numId w:val="14"/>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There are numerous measures that the Government and new town delivery vehicles could implement in the short term to ensure successful construction of new towns. Some planning-related measures we consider to be particularly important include:</w:t>
      </w:r>
    </w:p>
    <w:p w:rsidR="00DB5929" w:rsidRPr="00830DB3" w:rsidP="00DC78BF">
      <w:pPr>
        <w:pStyle w:val="ListParagraph"/>
        <w:numPr>
          <w:ilvl w:val="0"/>
          <w:numId w:val="13"/>
        </w:numPr>
        <w:spacing w:after="160" w:line="259" w:lineRule="auto"/>
        <w:ind w:left="1434" w:hanging="357"/>
        <w:contextualSpacing w:val="0"/>
        <w:rPr>
          <w:rFonts w:ascii="Verdana" w:hAnsi="Verdana"/>
          <w:color w:val="auto"/>
          <w:sz w:val="22"/>
          <w:szCs w:val="22"/>
        </w:rPr>
      </w:pPr>
      <w:r w:rsidRPr="00830DB3">
        <w:rPr>
          <w:rFonts w:ascii="Verdana" w:hAnsi="Verdana"/>
          <w:color w:val="auto"/>
          <w:sz w:val="22"/>
          <w:szCs w:val="22"/>
        </w:rPr>
        <w:t>Flexibility: allowing plans and strategies for new towns to remain flexible so they can adapt to a changing world.</w:t>
      </w:r>
    </w:p>
    <w:p w:rsidR="00DB5929" w:rsidRPr="00830DB3" w:rsidP="00DC78BF">
      <w:pPr>
        <w:pStyle w:val="ListParagraph"/>
        <w:numPr>
          <w:ilvl w:val="0"/>
          <w:numId w:val="13"/>
        </w:numPr>
        <w:spacing w:after="160" w:line="259" w:lineRule="auto"/>
        <w:ind w:left="1434" w:hanging="357"/>
        <w:contextualSpacing w:val="0"/>
        <w:rPr>
          <w:rFonts w:ascii="Verdana" w:hAnsi="Verdana"/>
          <w:color w:val="auto"/>
          <w:sz w:val="22"/>
          <w:szCs w:val="22"/>
        </w:rPr>
      </w:pPr>
      <w:r w:rsidRPr="00830DB3">
        <w:rPr>
          <w:rFonts w:ascii="Verdana" w:hAnsi="Verdana"/>
          <w:color w:val="auto"/>
          <w:sz w:val="22"/>
          <w:szCs w:val="22"/>
        </w:rPr>
        <w:t xml:space="preserve">Political buy-in: Ensuring leaders at all levels of government are aligned and committed to the new towns programme. </w:t>
      </w:r>
    </w:p>
    <w:p w:rsidR="00DB5929" w:rsidRPr="00830DB3" w:rsidP="00DC78BF">
      <w:pPr>
        <w:pStyle w:val="ListParagraph"/>
        <w:numPr>
          <w:ilvl w:val="0"/>
          <w:numId w:val="13"/>
        </w:numPr>
        <w:spacing w:after="160" w:line="259" w:lineRule="auto"/>
        <w:ind w:left="1434" w:hanging="357"/>
        <w:contextualSpacing w:val="0"/>
        <w:rPr>
          <w:rFonts w:ascii="Verdana" w:hAnsi="Verdana"/>
          <w:color w:val="auto"/>
          <w:sz w:val="22"/>
          <w:szCs w:val="22"/>
        </w:rPr>
      </w:pPr>
      <w:r w:rsidRPr="00830DB3">
        <w:rPr>
          <w:rFonts w:ascii="Verdana" w:hAnsi="Verdana"/>
          <w:color w:val="auto"/>
          <w:sz w:val="22"/>
          <w:szCs w:val="22"/>
        </w:rPr>
        <w:t>Ownership and stewardship: Implementing stewardship strategies that ensure the long-term protection of key community assets and infrastructure</w:t>
      </w:r>
    </w:p>
    <w:p w:rsidR="00DB5929" w:rsidRPr="00830DB3" w:rsidP="00DC78BF">
      <w:pPr>
        <w:pStyle w:val="ListParagraph"/>
        <w:numPr>
          <w:ilvl w:val="0"/>
          <w:numId w:val="13"/>
        </w:numPr>
        <w:spacing w:after="160" w:line="259" w:lineRule="auto"/>
        <w:ind w:left="1434" w:hanging="357"/>
        <w:contextualSpacing w:val="0"/>
        <w:rPr>
          <w:rFonts w:ascii="Verdana" w:hAnsi="Verdana"/>
          <w:color w:val="auto"/>
          <w:sz w:val="22"/>
          <w:szCs w:val="22"/>
        </w:rPr>
      </w:pPr>
      <w:r w:rsidRPr="00830DB3">
        <w:rPr>
          <w:rFonts w:ascii="Verdana" w:hAnsi="Verdana"/>
          <w:color w:val="auto"/>
          <w:sz w:val="22"/>
          <w:szCs w:val="22"/>
        </w:rPr>
        <w:t>Policy alignment: Ensure that emerging SDSs align effectively with new towns and local plans, and ensure that new town plans feed into SDSs</w:t>
      </w:r>
    </w:p>
    <w:p w:rsidR="00DB5929" w:rsidRPr="00830DB3" w:rsidP="00DC78BF">
      <w:pPr>
        <w:pStyle w:val="BodyText1"/>
        <w:numPr>
          <w:ilvl w:val="0"/>
          <w:numId w:val="22"/>
        </w:numPr>
        <w:spacing w:after="160" w:line="259" w:lineRule="auto"/>
        <w:ind w:left="357" w:hanging="357"/>
        <w:rPr>
          <w:rFonts w:ascii="Verdana" w:hAnsi="Verdana"/>
          <w:color w:val="auto"/>
          <w:sz w:val="22"/>
          <w:szCs w:val="22"/>
        </w:rPr>
      </w:pPr>
      <w:r w:rsidRPr="00830DB3">
        <w:rPr>
          <w:rFonts w:ascii="Verdana" w:hAnsi="Verdana"/>
          <w:color w:val="auto"/>
          <w:sz w:val="22"/>
          <w:szCs w:val="22"/>
        </w:rPr>
        <w:t>We have commented in more detail on these matters elsewhere in this response, and in our responses to previous modules of the Built Environment Committee’s ongoing New Towns inquiry.</w:t>
      </w:r>
      <w:r>
        <w:rPr>
          <w:rStyle w:val="FootnoteReference"/>
          <w:rFonts w:ascii="Verdana" w:hAnsi="Verdana"/>
          <w:color w:val="auto"/>
          <w:sz w:val="22"/>
          <w:szCs w:val="22"/>
        </w:rPr>
        <w:footnoteReference w:id="24"/>
      </w:r>
      <w:r w:rsidRPr="00830DB3">
        <w:rPr>
          <w:rFonts w:ascii="Verdana" w:hAnsi="Verdana"/>
          <w:color w:val="auto"/>
          <w:sz w:val="22"/>
          <w:szCs w:val="22"/>
        </w:rPr>
        <w:t xml:space="preserve"> </w:t>
      </w:r>
      <w:r>
        <w:rPr>
          <w:rStyle w:val="FootnoteReference"/>
          <w:rFonts w:ascii="Verdana" w:hAnsi="Verdana"/>
          <w:color w:val="auto"/>
          <w:sz w:val="22"/>
          <w:szCs w:val="22"/>
        </w:rPr>
        <w:footnoteReference w:id="25"/>
      </w:r>
      <w:r w:rsidRPr="00830DB3">
        <w:rPr>
          <w:rFonts w:ascii="Verdana" w:hAnsi="Verdana"/>
          <w:color w:val="auto"/>
          <w:sz w:val="22"/>
          <w:szCs w:val="22"/>
        </w:rPr>
        <w:t xml:space="preserve"> </w:t>
      </w:r>
    </w:p>
    <w:p w:rsidR="00DB5929" w:rsidRPr="005019C8" w:rsidP="00DC78BF">
      <w:pPr>
        <w:pStyle w:val="Heading1"/>
      </w:pPr>
      <w:r w:rsidRPr="005019C8">
        <w:t>Q5. How can the Government give assurance to suppliers, builders and developers that new towns are a viable source of business and a credible investment opportunity?</w:t>
      </w:r>
    </w:p>
    <w:p w:rsidR="00DB5929" w:rsidRPr="00830DB3" w:rsidP="00DC78BF">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Assurance to suppliers, builders and developers that new towns represent a viable commercial and investment opportunity requires the Government to provide a stable policy ecosystem, clear placemaking principles, a framework of effective structures for delivery and governance, and an infrastructure-first approach that is accompanied by upfront investment.</w:t>
      </w:r>
    </w:p>
    <w:p w:rsidR="00DB5929" w:rsidRPr="00830DB3" w:rsidP="00DC78BF">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These measures would signal clear intent to stakeholders that new towns are worth investing in, and certainty that decision-making will remain consistent over time as new towns pass through different stages of their life cycle from planning and delivery to stewardship and expansion.</w:t>
      </w:r>
    </w:p>
    <w:p w:rsidR="00DB5929" w:rsidRPr="00830DB3" w:rsidP="00DC78BF">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It is also worth considering the longer term invest-ability of new towns. Climate change will result in more extreme weather, including flooding, storms and wildfires, leading to an increase in the number of insurance claims. This increased risk exposure will challenge the traditional insurance model and will likely make some places ‘uninsurable’. To safeguard against this, and the knock-on impact it could have on investors such as pension funds, successful new towns must be built with climate resilience in mind. In addition, as new towns are set to provide homes for multiple decades into the future, a long-term and flexible approach to the Future Homes Standard may be appropriate.</w:t>
      </w:r>
    </w:p>
    <w:p w:rsidR="00DB5929" w:rsidRPr="00830DB3" w:rsidP="00DC78BF">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 xml:space="preserve">The Government should publish the finalised New Towns policy and placemaking principles which will guide decision-making. These should be accompanied by clear information on accountability for delivery vehicles responsible for the new towns, to ensure policies and principles are adhered to consistently. </w:t>
      </w:r>
    </w:p>
    <w:p w:rsidR="00DB5929" w:rsidRPr="005F2B26" w:rsidP="00DC78BF">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 xml:space="preserve">An approach that prioritises infrastructure first alongside significant upfront investment would give investors the confidence that new towns will contribute towards agglomeration effects (and thus be a worthwhile investment opportunity). New settlements should be planned around public transport </w:t>
      </w:r>
      <w:r w:rsidRPr="00830DB3">
        <w:rPr>
          <w:rFonts w:ascii="Verdana" w:hAnsi="Verdana"/>
          <w:color w:val="auto"/>
          <w:sz w:val="22"/>
          <w:szCs w:val="22"/>
        </w:rPr>
        <w:t>access at both the local and regional level; locally, homes should be within walking distance of public transport options and at a sub-regional level, residents should be able to easily access their closest economic centre. Urban extensions should be strategically planned to ensure good provision of public transport infrastructure, including new stations, tram stops and hubs to switch modes.</w:t>
      </w:r>
    </w:p>
    <w:p w:rsidR="00DB5929" w:rsidRPr="00830DB3" w:rsidP="00DC78BF">
      <w:pPr>
        <w:pStyle w:val="Heading1"/>
      </w:pPr>
      <w:r w:rsidRPr="00830DB3">
        <w:t>Q6. How can we ensure that new towns and expanded settlements are delivered to a high-quality standard that go beyond minimum expectations for construction and demonstrates best practice for sustainability, aesthetics and place-making?</w:t>
      </w:r>
    </w:p>
    <w:p w:rsidR="00DB5929" w:rsidRPr="00830DB3" w:rsidP="00DC78BF">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 xml:space="preserve">The development of high-quality, sustainable, and aesthetically pleasing new towns and urban extensions should be guided by </w:t>
      </w:r>
      <w:r w:rsidRPr="00830DB3">
        <w:rPr>
          <w:rFonts w:ascii="Verdana" w:hAnsi="Verdana"/>
          <w:color w:val="auto"/>
          <w:sz w:val="22"/>
          <w:szCs w:val="22"/>
        </w:rPr>
        <w:t>a number of</w:t>
      </w:r>
      <w:r w:rsidRPr="00830DB3">
        <w:rPr>
          <w:rFonts w:ascii="Verdana" w:hAnsi="Verdana"/>
          <w:color w:val="auto"/>
          <w:sz w:val="22"/>
          <w:szCs w:val="22"/>
        </w:rPr>
        <w:t xml:space="preserve"> planning principles.</w:t>
      </w:r>
    </w:p>
    <w:p w:rsidR="00DB5929" w:rsidRPr="00830DB3" w:rsidP="00DC78BF">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 xml:space="preserve">Firstly, international examples suggest that new towns planned to be mixed-use and mixed tenure make for the most sustainable, healthy and resilient communities. Incorporating a variety of uses like residential, office space, public services and retail (among others) into new towns will ensure that residents have access to a range of amenities within their immediate neighbourhood. This accessibility will encourage active travel, lessening reliance on cars, and will foster community cohesion, providing more opportunities for residents to interact with other people who live locally. The flexibility enabled by mixed-use and mixed tenure also means settlements </w:t>
      </w:r>
      <w:r w:rsidRPr="00830DB3">
        <w:rPr>
          <w:rFonts w:ascii="Verdana" w:hAnsi="Verdana" w:cstheme="majorHAnsi"/>
          <w:color w:val="auto"/>
          <w:sz w:val="22"/>
          <w:szCs w:val="22"/>
        </w:rPr>
        <w:t xml:space="preserve">aren’t planned around rigid assumptions about the way people live and move </w:t>
      </w:r>
      <w:r w:rsidRPr="00830DB3">
        <w:rPr>
          <w:rFonts w:ascii="Verdana" w:hAnsi="Verdana" w:cstheme="majorHAnsi"/>
          <w:color w:val="auto"/>
          <w:sz w:val="22"/>
          <w:szCs w:val="22"/>
        </w:rPr>
        <w:t>around, and</w:t>
      </w:r>
      <w:r w:rsidRPr="00830DB3">
        <w:rPr>
          <w:rFonts w:ascii="Verdana" w:eastAsia="Arial" w:hAnsi="Verdana"/>
          <w:color w:val="auto"/>
          <w:sz w:val="22"/>
          <w:szCs w:val="22"/>
        </w:rPr>
        <w:t xml:space="preserve"> can therefore more easily adapt to changing external </w:t>
      </w:r>
      <w:r w:rsidRPr="00830DB3">
        <w:rPr>
          <w:rFonts w:ascii="Verdana" w:eastAsia="Arial" w:hAnsi="Verdana" w:cstheme="majorHAnsi"/>
          <w:color w:val="auto"/>
          <w:sz w:val="22"/>
          <w:szCs w:val="22"/>
        </w:rPr>
        <w:t>circumstances</w:t>
      </w:r>
      <w:r w:rsidRPr="00830DB3">
        <w:rPr>
          <w:rFonts w:ascii="Verdana" w:hAnsi="Verdana" w:cstheme="majorHAnsi"/>
          <w:color w:val="auto"/>
          <w:sz w:val="22"/>
          <w:szCs w:val="22"/>
        </w:rPr>
        <w:t xml:space="preserve">. </w:t>
      </w:r>
      <w:r w:rsidRPr="00830DB3">
        <w:rPr>
          <w:rFonts w:ascii="Verdana" w:hAnsi="Verdana"/>
          <w:color w:val="auto"/>
          <w:sz w:val="22"/>
          <w:szCs w:val="22"/>
        </w:rPr>
        <w:t>As previously mentioned, having a variety of tenures has also been shown to lead to higher absorption rates of housing into local markets, improving build-out rates</w:t>
      </w:r>
      <w:r>
        <w:rPr>
          <w:rStyle w:val="FootnoteReference"/>
          <w:rFonts w:ascii="Verdana" w:hAnsi="Verdana"/>
          <w:color w:val="auto"/>
          <w:sz w:val="22"/>
          <w:szCs w:val="22"/>
        </w:rPr>
        <w:footnoteReference w:id="26"/>
      </w:r>
      <w:r w:rsidRPr="00830DB3">
        <w:rPr>
          <w:rFonts w:ascii="Verdana" w:hAnsi="Verdana"/>
          <w:color w:val="auto"/>
          <w:sz w:val="22"/>
          <w:szCs w:val="22"/>
        </w:rPr>
        <w:t>.</w:t>
      </w:r>
    </w:p>
    <w:p w:rsidR="00DB5929" w:rsidRPr="00830DB3" w:rsidP="00DC78BF">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 xml:space="preserve">It is important also to consider how to make new towns sustainable for the future. Climate change is increasing temperatures and the frequency of extreme weather events, meaning new towns must contain features to help mitigate and adapt to this. The FNT report supported by the RTPI found that incorporating green and blue infrastructure into new towns increased their resilience and improved liveability. </w:t>
      </w:r>
      <w:r w:rsidRPr="00830DB3">
        <w:rPr>
          <w:rFonts w:ascii="Verdana" w:hAnsi="Verdana"/>
          <w:color w:val="auto"/>
          <w:sz w:val="22"/>
          <w:szCs w:val="22"/>
        </w:rPr>
        <w:t>In particular, green</w:t>
      </w:r>
      <w:r w:rsidRPr="00830DB3">
        <w:rPr>
          <w:rFonts w:ascii="Verdana" w:hAnsi="Verdana"/>
          <w:color w:val="auto"/>
          <w:sz w:val="22"/>
          <w:szCs w:val="22"/>
        </w:rPr>
        <w:t xml:space="preserve"> infrastructure such as street trees, Sustainable Urban Drainage (SUDS) and parks can help provide shade and cooling effect, absorb excess rainfall, and increase biodiversity. Alongside building and street design guidance to moderate urban overheating effects, this will help make new towns fit for a warmer future. Green and blue infrastructure is a core component of sustainable, attractive and liveable settlements. As one of the main mechanisms for delivering it, the government could provide more guidance on how Biodiversity Net Gain will apply to new </w:t>
      </w:r>
      <w:r w:rsidRPr="00830DB3">
        <w:rPr>
          <w:rFonts w:ascii="Verdana" w:hAnsi="Verdana"/>
          <w:color w:val="auto"/>
          <w:sz w:val="22"/>
          <w:szCs w:val="22"/>
        </w:rPr>
        <w:t>towns, and whether there are expectations for this to be delivered outside of current statutory requirements.</w:t>
      </w:r>
    </w:p>
    <w:p w:rsidR="00DB5929" w:rsidRPr="005F2B26" w:rsidP="00DC78BF">
      <w:pPr>
        <w:pStyle w:val="ListParagraph"/>
        <w:numPr>
          <w:ilvl w:val="0"/>
          <w:numId w:val="22"/>
        </w:numPr>
        <w:spacing w:after="160" w:line="259" w:lineRule="auto"/>
        <w:ind w:left="357" w:hanging="357"/>
        <w:contextualSpacing w:val="0"/>
        <w:rPr>
          <w:rFonts w:ascii="Verdana" w:hAnsi="Verdana"/>
          <w:color w:val="auto"/>
          <w:sz w:val="22"/>
          <w:szCs w:val="22"/>
        </w:rPr>
      </w:pPr>
      <w:r w:rsidRPr="00830DB3">
        <w:rPr>
          <w:rFonts w:ascii="Verdana" w:hAnsi="Verdana"/>
          <w:color w:val="auto"/>
          <w:sz w:val="22"/>
          <w:szCs w:val="22"/>
        </w:rPr>
        <w:t xml:space="preserve">However, what is defined as aesthetically pleasing will be different in different places, which is why it is important to engage with existing residents early in the new town process around what would and would not be appropriate in their area. As mentioned in our response to question 2, creating design codes with early, strong input from residents can help prevent disputes about appearance complicating development later in the process of building the new town. Architects, planners and other built environment </w:t>
      </w:r>
      <w:r w:rsidRPr="00830DB3">
        <w:rPr>
          <w:rFonts w:ascii="Verdana" w:hAnsi="Verdana" w:cstheme="minorHAnsi"/>
          <w:color w:val="auto"/>
          <w:sz w:val="22"/>
          <w:szCs w:val="22"/>
        </w:rPr>
        <w:t>professionals should also take their cue from existing local residential areas – involving local firms in the process here can help deliver developments that appropriately reflect local character and identity.</w:t>
      </w:r>
      <w:r w:rsidRPr="00830DB3">
        <w:rPr>
          <w:rFonts w:ascii="Verdana" w:hAnsi="Verdana"/>
          <w:color w:val="auto"/>
          <w:sz w:val="22"/>
          <w:szCs w:val="22"/>
        </w:rPr>
        <w:t xml:space="preserve"> </w:t>
      </w:r>
    </w:p>
    <w:p w:rsidR="00DB5929" w:rsidRPr="00830DB3" w:rsidP="00DC78BF">
      <w:pPr>
        <w:pStyle w:val="Heading1"/>
      </w:pPr>
      <w:r w:rsidRPr="00830DB3">
        <w:t>Q7. Which case studies of large-scale construction projects should the Committee and Government look at to learn from best and worst practice in construction and supply logistics?</w:t>
      </w:r>
    </w:p>
    <w:p w:rsidR="00DB5929" w:rsidRPr="005019C8" w:rsidP="005019C8">
      <w:pPr>
        <w:pStyle w:val="ListParagraph"/>
        <w:spacing w:after="160" w:line="276" w:lineRule="auto"/>
        <w:ind w:left="227"/>
        <w:rPr>
          <w:rFonts w:ascii="Verdana" w:hAnsi="Verdana"/>
          <w:color w:val="auto"/>
          <w:sz w:val="22"/>
          <w:szCs w:val="22"/>
        </w:rPr>
      </w:pPr>
      <w:r w:rsidRPr="00830DB3">
        <w:rPr>
          <w:rFonts w:ascii="Verdana" w:hAnsi="Verdana"/>
          <w:color w:val="auto"/>
          <w:sz w:val="22"/>
          <w:szCs w:val="22"/>
        </w:rPr>
        <w:t>No comment.</w:t>
      </w:r>
    </w:p>
    <w:p w:rsidR="00DB5929" w:rsidRPr="005019C8" w:rsidP="00B3541F">
      <w:pPr>
        <w:spacing w:line="276" w:lineRule="auto"/>
        <w:rPr>
          <w:rFonts w:ascii="Verdana" w:hAnsi="Verdana"/>
          <w:i/>
        </w:rPr>
      </w:pPr>
      <w:r w:rsidRPr="005019C8">
        <w:rPr>
          <w:rFonts w:ascii="Verdana" w:hAnsi="Verdana"/>
          <w:i/>
        </w:rPr>
        <w:t>13 July 2026</w:t>
      </w:r>
    </w:p>
    <w:sectPr w:rsidSect="00CA1EB6">
      <w:footerReference w:type="even" r:id="rId10"/>
      <w:footerReference w:type="default" r:id="rId11"/>
      <w:headerReference w:type="first" r:id="rId12"/>
      <w:footerReference w:type="first" r:id="rId13"/>
      <w:pgSz w:w="11900" w:h="16820" w:code="9"/>
      <w:pgMar w:top="1134" w:right="1134" w:bottom="1701" w:left="1701" w:header="1134" w:footer="45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607039116"/>
      <w:docPartObj>
        <w:docPartGallery w:val="Page Numbers (Bottom of Page)"/>
        <w:docPartUnique/>
      </w:docPartObj>
    </w:sdtPr>
    <w:sdtContent>
      <w:p w:rsidR="00DB59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DB5929" w:rsidP="00372A6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5929" w:rsidP="00372A6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5929">
    <w:pPr>
      <w:pStyle w:val="Footer"/>
    </w:pPr>
  </w:p>
  <w:p w:rsidR="00DB5929" w:rsidP="0093130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80DE6" w:rsidP="00386987">
      <w:r>
        <w:separator/>
      </w:r>
    </w:p>
  </w:footnote>
  <w:footnote w:type="continuationSeparator" w:id="1">
    <w:p w:rsidR="00280DE6" w:rsidP="00386987">
      <w:r>
        <w:continuationSeparator/>
      </w:r>
    </w:p>
  </w:footnote>
  <w:footnote w:id="2">
    <w:p w:rsidR="00DB5929">
      <w:pPr>
        <w:pStyle w:val="FootnoteText"/>
      </w:pPr>
      <w:r>
        <w:rPr>
          <w:rStyle w:val="FootnoteReference"/>
        </w:rPr>
        <w:footnoteRef/>
      </w:r>
      <w:r>
        <w:t xml:space="preserve"> </w:t>
      </w:r>
      <w:r>
        <w:fldChar w:fldCharType="begin"/>
      </w:r>
      <w:r>
        <w:instrText xml:space="preserve"> HYPERLINK "https://www.rtpi.org.uk/policy-and-research/state-of-the-profession-2025/state-of-the-profession-2025-england/" </w:instrText>
      </w:r>
      <w:r>
        <w:fldChar w:fldCharType="separate"/>
      </w:r>
      <w:r w:rsidRPr="003873BB">
        <w:rPr>
          <w:rStyle w:val="Hyperlink"/>
        </w:rPr>
        <w:t>RTPI (2025). State of the Profession 2025: England</w:t>
      </w:r>
      <w:r>
        <w:fldChar w:fldCharType="end"/>
      </w:r>
    </w:p>
  </w:footnote>
  <w:footnote w:id="3">
    <w:p w:rsidR="00DB5929">
      <w:pPr>
        <w:pStyle w:val="FootnoteText"/>
      </w:pPr>
      <w:r>
        <w:rPr>
          <w:rStyle w:val="FootnoteReference"/>
        </w:rPr>
        <w:footnoteRef/>
      </w:r>
      <w:r>
        <w:t xml:space="preserve"> </w:t>
      </w:r>
      <w:r>
        <w:fldChar w:fldCharType="begin"/>
      </w:r>
      <w:r>
        <w:instrText xml:space="preserve"> HYPERLINK "https://www.hbf.co.uk/research-insight/planning-on-empty/" </w:instrText>
      </w:r>
      <w:r>
        <w:fldChar w:fldCharType="separate"/>
      </w:r>
      <w:r w:rsidRPr="00193948">
        <w:rPr>
          <w:rStyle w:val="Hyperlink"/>
        </w:rPr>
        <w:t>Home Builder’s Federation (2025). Planning on empty: Staffing struggles in local planning authorities</w:t>
      </w:r>
      <w:r>
        <w:fldChar w:fldCharType="end"/>
      </w:r>
    </w:p>
  </w:footnote>
  <w:footnote w:id="4">
    <w:p w:rsidR="00DB5929" w:rsidP="007140E9">
      <w:pPr>
        <w:pStyle w:val="FootnoteText"/>
      </w:pPr>
      <w:r>
        <w:rPr>
          <w:rStyle w:val="FootnoteReference"/>
        </w:rPr>
        <w:footnoteRef/>
      </w:r>
      <w:r>
        <w:t xml:space="preserve"> </w:t>
      </w:r>
      <w:r>
        <w:fldChar w:fldCharType="begin"/>
      </w:r>
      <w:r>
        <w:instrText xml:space="preserve"> HYPERLINK "https://www.rtpi.org.uk/policy-and-research/planning-reform-hub/3-point-resourcing-plan/" </w:instrText>
      </w:r>
      <w:r>
        <w:fldChar w:fldCharType="separate"/>
      </w:r>
      <w:r w:rsidRPr="00F05F42">
        <w:rPr>
          <w:rStyle w:val="Hyperlink"/>
        </w:rPr>
        <w:t>RTPI (2025). Three steps to a better resourced planning system</w:t>
      </w:r>
      <w:r>
        <w:fldChar w:fldCharType="end"/>
      </w:r>
    </w:p>
  </w:footnote>
  <w:footnote w:id="5">
    <w:p w:rsidR="00DB5929">
      <w:pPr>
        <w:pStyle w:val="FootnoteText"/>
      </w:pPr>
      <w:r>
        <w:rPr>
          <w:rStyle w:val="FootnoteReference"/>
        </w:rPr>
        <w:footnoteRef/>
      </w:r>
      <w:r>
        <w:t xml:space="preserve"> </w:t>
      </w:r>
      <w:r>
        <w:fldChar w:fldCharType="begin"/>
      </w:r>
      <w:r>
        <w:instrText xml:space="preserve"> HYPERLINK "https://www.mineralproducts.org/News/2024/release19.aspx" </w:instrText>
      </w:r>
      <w:r>
        <w:fldChar w:fldCharType="separate"/>
      </w:r>
      <w:r w:rsidRPr="00626B27">
        <w:rPr>
          <w:rStyle w:val="Hyperlink"/>
        </w:rPr>
        <w:t>Mineral Products Association (2024). Future supply of construction materials ‘approaching cliff edge’</w:t>
      </w:r>
      <w:r>
        <w:fldChar w:fldCharType="end"/>
      </w:r>
    </w:p>
  </w:footnote>
  <w:footnote w:id="6">
    <w:p w:rsidR="00DB5929">
      <w:pPr>
        <w:pStyle w:val="FootnoteText"/>
      </w:pPr>
      <w:r>
        <w:rPr>
          <w:rStyle w:val="FootnoteReference"/>
        </w:rPr>
        <w:footnoteRef/>
      </w:r>
      <w:r>
        <w:t xml:space="preserve"> </w:t>
      </w:r>
      <w:r>
        <w:fldChar w:fldCharType="begin"/>
      </w:r>
      <w:r>
        <w:instrText xml:space="preserve"> HYPERLINK "https://ww3.rics.org/uk/en/journals/land-journal/uk-aggregate-reserves-decline.html" </w:instrText>
      </w:r>
      <w:r>
        <w:fldChar w:fldCharType="separate"/>
      </w:r>
      <w:r w:rsidRPr="007D01AB">
        <w:rPr>
          <w:rStyle w:val="Hyperlink"/>
        </w:rPr>
        <w:t>Royal Institute of Chartered Surveyors (2025). Lack of future aggregate puts construction at risk</w:t>
      </w:r>
      <w:r>
        <w:fldChar w:fldCharType="end"/>
      </w:r>
    </w:p>
  </w:footnote>
  <w:footnote w:id="7">
    <w:p w:rsidR="00DB5929">
      <w:pPr>
        <w:pStyle w:val="FootnoteText"/>
      </w:pPr>
      <w:r>
        <w:rPr>
          <w:rStyle w:val="FootnoteReference"/>
        </w:rPr>
        <w:footnoteRef/>
      </w:r>
      <w:r>
        <w:t xml:space="preserve"> </w:t>
      </w:r>
      <w:r>
        <w:fldChar w:fldCharType="begin"/>
      </w:r>
      <w:r>
        <w:instrText xml:space="preserve"> HYPERLINK "https://www.fishergerman.co.uk/insights/news/beneath-britain-s-boom-mineral-reserves-housing-demand-and-a-call-to-landowners" </w:instrText>
      </w:r>
      <w:r>
        <w:fldChar w:fldCharType="separate"/>
      </w:r>
      <w:r w:rsidRPr="00E45077">
        <w:rPr>
          <w:rStyle w:val="Hyperlink"/>
        </w:rPr>
        <w:t>Fisher German (2025). Beneath Britain’s boom: Mineral reserves, housing, and a call to landowners</w:t>
      </w:r>
      <w:r>
        <w:fldChar w:fldCharType="end"/>
      </w:r>
    </w:p>
  </w:footnote>
  <w:footnote w:id="8">
    <w:p w:rsidR="00DB5929">
      <w:pPr>
        <w:pStyle w:val="FootnoteText"/>
      </w:pPr>
      <w:r>
        <w:rPr>
          <w:rStyle w:val="FootnoteReference"/>
        </w:rPr>
        <w:footnoteRef/>
      </w:r>
      <w:r>
        <w:t xml:space="preserve"> </w:t>
      </w:r>
      <w:r>
        <w:fldChar w:fldCharType="begin"/>
      </w:r>
      <w:r>
        <w:instrText xml:space="preserve"> HYPERLINK "https://www.rtpi.org.uk/futureproofnewtownsuk" </w:instrText>
      </w:r>
      <w:r>
        <w:fldChar w:fldCharType="separate"/>
      </w:r>
      <w:r w:rsidRPr="00090BD1">
        <w:rPr>
          <w:rStyle w:val="Hyperlink"/>
        </w:rPr>
        <w:t>Sturzaker, J. et al. (2026). Futureproof New Towns: International lessons on how to build flexible and adaptable new towns in England.</w:t>
      </w:r>
      <w:r>
        <w:fldChar w:fldCharType="end"/>
      </w:r>
    </w:p>
  </w:footnote>
  <w:footnote w:id="9">
    <w:p w:rsidR="00DB5929">
      <w:pPr>
        <w:pStyle w:val="FootnoteText"/>
      </w:pPr>
      <w:r>
        <w:rPr>
          <w:rStyle w:val="FootnoteReference"/>
        </w:rPr>
        <w:footnoteRef/>
      </w:r>
      <w:r>
        <w:t xml:space="preserve"> </w:t>
      </w:r>
      <w:r>
        <w:fldChar w:fldCharType="begin"/>
      </w:r>
      <w:r>
        <w:instrText xml:space="preserve"> HYPERLINK "https://www.pinsentmasons.com/out-law/analysis/development-corporations-new-towns-context" </w:instrText>
      </w:r>
      <w:r>
        <w:fldChar w:fldCharType="separate"/>
      </w:r>
      <w:r w:rsidRPr="001E24F6">
        <w:rPr>
          <w:rStyle w:val="Hyperlink"/>
        </w:rPr>
        <w:t xml:space="preserve">Pinsent Masons (2026). Development corporations in the new </w:t>
      </w:r>
      <w:r w:rsidRPr="001E24F6">
        <w:rPr>
          <w:rStyle w:val="Hyperlink"/>
        </w:rPr>
        <w:t>towns</w:t>
      </w:r>
      <w:r w:rsidRPr="001E24F6">
        <w:rPr>
          <w:rStyle w:val="Hyperlink"/>
        </w:rPr>
        <w:t xml:space="preserve"> context</w:t>
      </w:r>
      <w:r>
        <w:fldChar w:fldCharType="end"/>
      </w:r>
    </w:p>
  </w:footnote>
  <w:footnote w:id="10">
    <w:p w:rsidR="00DB5929">
      <w:pPr>
        <w:pStyle w:val="FootnoteText"/>
      </w:pPr>
      <w:r>
        <w:rPr>
          <w:rStyle w:val="FootnoteReference"/>
        </w:rPr>
        <w:footnoteRef/>
      </w:r>
      <w:r>
        <w:t xml:space="preserve"> </w:t>
      </w:r>
      <w:r>
        <w:fldChar w:fldCharType="begin"/>
      </w:r>
      <w:r>
        <w:instrText xml:space="preserve"> HYPERLINK "https://www.gov.uk/government/publications/uk-infrastructure-a-10-year-strategy" </w:instrText>
      </w:r>
      <w:r>
        <w:fldChar w:fldCharType="separate"/>
      </w:r>
      <w:r w:rsidRPr="00D75672">
        <w:rPr>
          <w:rStyle w:val="Hyperlink"/>
        </w:rPr>
        <w:t xml:space="preserve">UK Government (2025). UK Infrastructure: A </w:t>
      </w:r>
      <w:r w:rsidRPr="00D75672">
        <w:rPr>
          <w:rStyle w:val="Hyperlink"/>
        </w:rPr>
        <w:t>10 Year</w:t>
      </w:r>
      <w:r w:rsidRPr="00D75672">
        <w:rPr>
          <w:rStyle w:val="Hyperlink"/>
        </w:rPr>
        <w:t xml:space="preserve"> Strategy</w:t>
      </w:r>
      <w:r>
        <w:fldChar w:fldCharType="end"/>
      </w:r>
    </w:p>
  </w:footnote>
  <w:footnote w:id="11">
    <w:p w:rsidR="00DB5929">
      <w:pPr>
        <w:pStyle w:val="FootnoteText"/>
      </w:pPr>
      <w:r>
        <w:rPr>
          <w:rStyle w:val="FootnoteReference"/>
        </w:rPr>
        <w:footnoteRef/>
      </w:r>
      <w:r>
        <w:t xml:space="preserve"> </w:t>
      </w:r>
      <w:r>
        <w:fldChar w:fldCharType="begin"/>
      </w:r>
      <w:r>
        <w:instrText xml:space="preserve"> HYPERLINK "https://www.neso.energy/neso-implements-electricity-grid-connection-reforms-unlock-investment-great-britain" </w:instrText>
      </w:r>
      <w:r>
        <w:fldChar w:fldCharType="separate"/>
      </w:r>
      <w:r w:rsidRPr="00775D3E">
        <w:rPr>
          <w:rStyle w:val="Hyperlink"/>
        </w:rPr>
        <w:t>NESO (2025). NESO implements grid connection reforms to unlock investment in Great Britain</w:t>
      </w:r>
      <w:r>
        <w:fldChar w:fldCharType="end"/>
      </w:r>
    </w:p>
  </w:footnote>
  <w:footnote w:id="12">
    <w:p w:rsidR="00DB5929">
      <w:pPr>
        <w:pStyle w:val="FootnoteText"/>
      </w:pPr>
      <w:r>
        <w:rPr>
          <w:rStyle w:val="FootnoteReference"/>
        </w:rPr>
        <w:footnoteRef/>
      </w:r>
      <w:r>
        <w:t xml:space="preserve"> </w:t>
      </w:r>
      <w:r>
        <w:fldChar w:fldCharType="begin"/>
      </w:r>
      <w:r>
        <w:instrText xml:space="preserve"> HYPERLINK "https://www.london.gov.uk/sites/default/files/2025-12/Planning%20Regeneration%20Committee%20-%20Energy%20Infrastructure%20Report%20FINAL.pdf" </w:instrText>
      </w:r>
      <w:r>
        <w:fldChar w:fldCharType="separate"/>
      </w:r>
      <w:r w:rsidRPr="00AB73BE">
        <w:rPr>
          <w:rStyle w:val="Hyperlink"/>
        </w:rPr>
        <w:t>London Assembly Planning and Regeneration Committee (2025). Gridlocked: how planning can ease London’s electricity constraints</w:t>
      </w:r>
      <w:r>
        <w:fldChar w:fldCharType="end"/>
      </w:r>
    </w:p>
  </w:footnote>
  <w:footnote w:id="13">
    <w:p w:rsidR="006E085C" w:rsidP="006E085C">
      <w:pPr>
        <w:pStyle w:val="FootnoteText"/>
      </w:pPr>
      <w:r>
        <w:rPr>
          <w:rStyle w:val="FootnoteReference"/>
        </w:rPr>
        <w:footnoteRef/>
      </w:r>
      <w:r>
        <w:t xml:space="preserve"> </w:t>
      </w:r>
      <w:r>
        <w:fldChar w:fldCharType="begin"/>
      </w:r>
      <w:r>
        <w:instrText xml:space="preserve"> HYPERLINK "https://www.gov.uk/government/consultations/accelerating-electricity-network-connections-for-strategic-demand/accelerating-electricity-network-connections-for-strategic-demand-accessible-webpage" \l "annex-d---prioritisation-mechanisms---worked-examples" </w:instrText>
      </w:r>
      <w:r>
        <w:fldChar w:fldCharType="separate"/>
      </w:r>
      <w:r w:rsidRPr="000957BE">
        <w:rPr>
          <w:rStyle w:val="Hyperlink"/>
        </w:rPr>
        <w:t>DESNZ (2026). Accelerating electricity network connections for demand</w:t>
      </w:r>
      <w:r>
        <w:rPr>
          <w:rStyle w:val="Hyperlink"/>
        </w:rPr>
        <w:t>, c</w:t>
      </w:r>
      <w:r w:rsidRPr="000957BE">
        <w:rPr>
          <w:rStyle w:val="Hyperlink"/>
        </w:rPr>
        <w:t>losed consultation</w:t>
      </w:r>
      <w:r>
        <w:fldChar w:fldCharType="end"/>
      </w:r>
    </w:p>
  </w:footnote>
  <w:footnote w:id="14">
    <w:p w:rsidR="00DB5929">
      <w:pPr>
        <w:pStyle w:val="FootnoteText"/>
      </w:pPr>
      <w:r>
        <w:rPr>
          <w:rStyle w:val="FootnoteReference"/>
        </w:rPr>
        <w:footnoteRef/>
      </w:r>
      <w:r>
        <w:t xml:space="preserve"> </w:t>
      </w:r>
      <w:r>
        <w:fldChar w:fldCharType="begin"/>
      </w:r>
      <w:r>
        <w:instrText xml:space="preserve"> HYPERLINK "https://assets.publishing.service.gov.uk/media/60def659d3bf7f7c33274649/Updating_the_determination_of_water_stressed_areas_in_England_-_consultation_response_document.pdf" </w:instrText>
      </w:r>
      <w:r>
        <w:fldChar w:fldCharType="separate"/>
      </w:r>
      <w:r w:rsidRPr="003112D9">
        <w:rPr>
          <w:rStyle w:val="Hyperlink"/>
        </w:rPr>
        <w:t>Environment Agency (2021). Updating the determination of water stressed areas in England</w:t>
      </w:r>
      <w:r>
        <w:fldChar w:fldCharType="end"/>
      </w:r>
    </w:p>
  </w:footnote>
  <w:footnote w:id="15">
    <w:p w:rsidR="00DB5929">
      <w:pPr>
        <w:pStyle w:val="FootnoteText"/>
      </w:pPr>
      <w:r>
        <w:rPr>
          <w:rStyle w:val="FootnoteReference"/>
        </w:rPr>
        <w:footnoteRef/>
      </w:r>
      <w:r>
        <w:t xml:space="preserve"> </w:t>
      </w:r>
      <w:r>
        <w:fldChar w:fldCharType="begin"/>
      </w:r>
      <w:r>
        <w:instrText xml:space="preserve"> HYPERLINK "https://www.gov.uk/government/publications/a-review-of-englands-draft-regional-and-water-resources-management-plans/a-summary-of-englands-draft-regional-and-water-resources-management-plans" \l "how-much-water-do-we-need" </w:instrText>
      </w:r>
      <w:r>
        <w:fldChar w:fldCharType="separate"/>
      </w:r>
      <w:r w:rsidRPr="00B624C6">
        <w:rPr>
          <w:rStyle w:val="Hyperlink"/>
        </w:rPr>
        <w:t>Environment Agency (2024). A summary of England’s revised draft regional and water resources management plans</w:t>
      </w:r>
      <w:r>
        <w:fldChar w:fldCharType="end"/>
      </w:r>
    </w:p>
  </w:footnote>
  <w:footnote w:id="16">
    <w:p w:rsidR="00DB5929">
      <w:pPr>
        <w:pStyle w:val="FootnoteText"/>
      </w:pPr>
      <w:r>
        <w:rPr>
          <w:rStyle w:val="FootnoteReference"/>
        </w:rPr>
        <w:footnoteRef/>
      </w:r>
      <w:r>
        <w:t xml:space="preserve"> </w:t>
      </w:r>
      <w:r>
        <w:fldChar w:fldCharType="begin"/>
      </w:r>
      <w:r>
        <w:instrText xml:space="preserve"> HYPERLINK "https://publicfirst.co.uk/wp-content/uploads/2025/06/The-Cost-of-Water-Scarcity-by-Public-First.pdf" </w:instrText>
      </w:r>
      <w:r>
        <w:fldChar w:fldCharType="separate"/>
      </w:r>
      <w:r w:rsidRPr="00AD64D7">
        <w:rPr>
          <w:rStyle w:val="Hyperlink"/>
        </w:rPr>
        <w:t>Public First (2025). The Cost of Water Scarcity</w:t>
      </w:r>
      <w:r>
        <w:fldChar w:fldCharType="end"/>
      </w:r>
    </w:p>
  </w:footnote>
  <w:footnote w:id="17">
    <w:p w:rsidR="00DB5929">
      <w:pPr>
        <w:pStyle w:val="FootnoteText"/>
      </w:pPr>
      <w:r>
        <w:rPr>
          <w:rStyle w:val="FootnoteReference"/>
        </w:rPr>
        <w:footnoteRef/>
      </w:r>
      <w:r>
        <w:t xml:space="preserve"> </w:t>
      </w:r>
      <w:r>
        <w:fldChar w:fldCharType="begin"/>
      </w:r>
      <w:r>
        <w:instrText xml:space="preserve"> HYPERLINK "https://www.gov.uk/government/news/government-steps-in-to-build-first-major-reservoirs-in-30-years" </w:instrText>
      </w:r>
      <w:r>
        <w:fldChar w:fldCharType="separate"/>
      </w:r>
      <w:r w:rsidRPr="006C35B3">
        <w:rPr>
          <w:rStyle w:val="Hyperlink"/>
        </w:rPr>
        <w:t>DEFRA (2025). Government steps in to build first major reservoirs in 30 years</w:t>
      </w:r>
      <w:r>
        <w:fldChar w:fldCharType="end"/>
      </w:r>
    </w:p>
  </w:footnote>
  <w:footnote w:id="18">
    <w:p w:rsidR="00DB5929">
      <w:pPr>
        <w:pStyle w:val="FootnoteText"/>
      </w:pPr>
      <w:r>
        <w:rPr>
          <w:rStyle w:val="FootnoteReference"/>
        </w:rPr>
        <w:footnoteRef/>
      </w:r>
      <w:r>
        <w:t xml:space="preserve"> </w:t>
      </w:r>
      <w:r>
        <w:fldChar w:fldCharType="begin"/>
      </w:r>
      <w:r>
        <w:instrText xml:space="preserve"> HYPERLINK "https://www.legislation.gov.uk/uksi/2019/12/pdfs/uksiem_20190012_en.pdf" </w:instrText>
      </w:r>
      <w:r>
        <w:fldChar w:fldCharType="separate"/>
      </w:r>
      <w:r w:rsidRPr="005E646D">
        <w:rPr>
          <w:rStyle w:val="Hyperlink"/>
        </w:rPr>
        <w:t>UK Government (2019). Explanatory Memorandum to the Infrastructure Planning (Water Resources) (England) Order 2019</w:t>
      </w:r>
      <w:r>
        <w:fldChar w:fldCharType="end"/>
      </w:r>
    </w:p>
  </w:footnote>
  <w:footnote w:id="19">
    <w:p w:rsidR="00DB5929">
      <w:pPr>
        <w:pStyle w:val="FootnoteText"/>
      </w:pPr>
      <w:r>
        <w:rPr>
          <w:rStyle w:val="FootnoteReference"/>
        </w:rPr>
        <w:footnoteRef/>
      </w:r>
      <w:r>
        <w:t xml:space="preserve"> </w:t>
      </w:r>
      <w:r>
        <w:fldChar w:fldCharType="begin"/>
      </w:r>
      <w:r>
        <w:instrText xml:space="preserve"> HYPERLINK "https://www.hbf.co.uk/research-insight/drain-nation/" </w:instrText>
      </w:r>
      <w:r>
        <w:fldChar w:fldCharType="separate"/>
      </w:r>
      <w:r w:rsidRPr="00990BF0">
        <w:rPr>
          <w:rStyle w:val="Hyperlink"/>
        </w:rPr>
        <w:t>Home Builder’s Federation (2025). A Drain on the Nation</w:t>
      </w:r>
      <w:r>
        <w:fldChar w:fldCharType="end"/>
      </w:r>
    </w:p>
  </w:footnote>
  <w:footnote w:id="20">
    <w:p w:rsidR="00DB5929" w:rsidP="0044038E">
      <w:pPr>
        <w:pStyle w:val="FootnoteText"/>
      </w:pPr>
      <w:r>
        <w:rPr>
          <w:rStyle w:val="FootnoteReference"/>
        </w:rPr>
        <w:footnoteRef/>
      </w:r>
      <w:r>
        <w:t xml:space="preserve"> </w:t>
      </w:r>
      <w:r>
        <w:fldChar w:fldCharType="begin"/>
      </w:r>
      <w:r>
        <w:instrText xml:space="preserve"> HYPERLINK "https://www.pinsentmasons.com/thinking/case-studies/turning-lights-ebbsfleet-garden-city" </w:instrText>
      </w:r>
      <w:r>
        <w:fldChar w:fldCharType="separate"/>
      </w:r>
      <w:r w:rsidRPr="001D4F17">
        <w:rPr>
          <w:rStyle w:val="Hyperlink"/>
        </w:rPr>
        <w:t>Pinsent Masons (</w:t>
      </w:r>
      <w:r w:rsidRPr="001D4F17">
        <w:rPr>
          <w:rStyle w:val="Hyperlink"/>
        </w:rPr>
        <w:t>n.d</w:t>
      </w:r>
      <w:r w:rsidRPr="001D4F17">
        <w:rPr>
          <w:rStyle w:val="Hyperlink"/>
        </w:rPr>
        <w:t>). Turning the lights on at Ebbsfleet Garden City</w:t>
      </w:r>
      <w:r>
        <w:fldChar w:fldCharType="end"/>
      </w:r>
    </w:p>
  </w:footnote>
  <w:footnote w:id="21">
    <w:p w:rsidR="00DB5929">
      <w:pPr>
        <w:pStyle w:val="FootnoteText"/>
      </w:pPr>
      <w:r>
        <w:rPr>
          <w:rStyle w:val="FootnoteReference"/>
        </w:rPr>
        <w:footnoteRef/>
      </w:r>
      <w:r>
        <w:t xml:space="preserve"> </w:t>
      </w:r>
      <w:r>
        <w:fldChar w:fldCharType="begin"/>
      </w:r>
      <w:r>
        <w:instrText xml:space="preserve"> HYPERLINK "https://demos.co.uk/research/the-mimby-majority-how-to-unlock-housebuilding-with-early-and-representative-public-participation-in-planning/" </w:instrText>
      </w:r>
      <w:r>
        <w:fldChar w:fldCharType="separate"/>
      </w:r>
      <w:r w:rsidRPr="0079413D">
        <w:rPr>
          <w:rStyle w:val="Hyperlink"/>
        </w:rPr>
        <w:t>DEMOS (2025). The MIMBY Majority: How to unlock housebuilding with early and representative public participation in planning</w:t>
      </w:r>
      <w:r>
        <w:fldChar w:fldCharType="end"/>
      </w:r>
    </w:p>
  </w:footnote>
  <w:footnote w:id="22">
    <w:p w:rsidR="00DB5929">
      <w:pPr>
        <w:pStyle w:val="FootnoteText"/>
      </w:pPr>
      <w:r>
        <w:rPr>
          <w:rStyle w:val="FootnoteReference"/>
        </w:rPr>
        <w:footnoteRef/>
      </w:r>
      <w:r>
        <w:t xml:space="preserve"> </w:t>
      </w:r>
      <w:r>
        <w:fldChar w:fldCharType="begin"/>
      </w:r>
      <w:r>
        <w:instrText xml:space="preserve"> HYPERLINK "https://www.gov.uk/government/consultations/new-towns-draft-programme/new-towns-draft-programme" \l "consultation-questions" </w:instrText>
      </w:r>
      <w:r>
        <w:fldChar w:fldCharType="separate"/>
      </w:r>
      <w:r w:rsidRPr="00B56B34">
        <w:rPr>
          <w:rStyle w:val="Hyperlink"/>
        </w:rPr>
        <w:t>MHCLG (2026). New Towns Draft Programm</w:t>
      </w:r>
      <w:r>
        <w:rPr>
          <w:rStyle w:val="Hyperlink"/>
        </w:rPr>
        <w:t>e, closed consultation</w:t>
      </w:r>
      <w:r>
        <w:fldChar w:fldCharType="end"/>
      </w:r>
    </w:p>
  </w:footnote>
  <w:footnote w:id="23">
    <w:p w:rsidR="00DB5929">
      <w:pPr>
        <w:pStyle w:val="FootnoteText"/>
      </w:pPr>
      <w:r>
        <w:rPr>
          <w:rStyle w:val="FootnoteReference"/>
        </w:rPr>
        <w:footnoteRef/>
      </w:r>
      <w:r>
        <w:t xml:space="preserve"> </w:t>
      </w:r>
      <w:r>
        <w:fldChar w:fldCharType="begin"/>
      </w:r>
      <w:r>
        <w:instrText xml:space="preserve"> HYPERLINK "https://assets.publishing.service.gov.uk/media/5bd6eb3940f0b6051e77b6a6/Letwin_review_web_version.pdf" </w:instrText>
      </w:r>
      <w:r>
        <w:fldChar w:fldCharType="separate"/>
      </w:r>
      <w:r w:rsidRPr="00BB55D3">
        <w:rPr>
          <w:rStyle w:val="Hyperlink"/>
        </w:rPr>
        <w:t>Letwin, O. (2018). Independent review of build out, final report</w:t>
      </w:r>
      <w:r>
        <w:fldChar w:fldCharType="end"/>
      </w:r>
    </w:p>
  </w:footnote>
  <w:footnote w:id="24">
    <w:p w:rsidR="00DB5929">
      <w:pPr>
        <w:pStyle w:val="FootnoteText"/>
      </w:pPr>
      <w:r>
        <w:rPr>
          <w:rStyle w:val="FootnoteReference"/>
        </w:rPr>
        <w:footnoteRef/>
      </w:r>
      <w:r>
        <w:t xml:space="preserve"> </w:t>
      </w:r>
      <w:r>
        <w:fldChar w:fldCharType="begin"/>
      </w:r>
      <w:r>
        <w:instrText xml:space="preserve"> HYPERLINK "https://committees.parliament.uk/writtenevidence/142023/html/" </w:instrText>
      </w:r>
      <w:r>
        <w:fldChar w:fldCharType="separate"/>
      </w:r>
      <w:r w:rsidRPr="007F7D6E">
        <w:rPr>
          <w:rStyle w:val="Hyperlink"/>
        </w:rPr>
        <w:t>RTPI (2025). RTPI response to the House of Lords Built Environment Committee’s Call for Evidence – New Towns: Practical Delivery.</w:t>
      </w:r>
      <w:r>
        <w:fldChar w:fldCharType="end"/>
      </w:r>
    </w:p>
  </w:footnote>
  <w:footnote w:id="25">
    <w:p w:rsidR="00DB5929">
      <w:pPr>
        <w:pStyle w:val="FootnoteText"/>
      </w:pPr>
      <w:r>
        <w:rPr>
          <w:rStyle w:val="FootnoteReference"/>
        </w:rPr>
        <w:footnoteRef/>
      </w:r>
      <w:r>
        <w:t xml:space="preserve"> </w:t>
      </w:r>
      <w:r>
        <w:fldChar w:fldCharType="begin"/>
      </w:r>
      <w:r>
        <w:instrText xml:space="preserve"> HYPERLINK "https://committees.parliament.uk/writtenevidence/153649/html/" </w:instrText>
      </w:r>
      <w:r>
        <w:fldChar w:fldCharType="separate"/>
      </w:r>
      <w:r>
        <w:rPr>
          <w:rStyle w:val="Hyperlink"/>
        </w:rPr>
        <w:t>RTPI (2025). RTPI response to the House of Lords Built Environment Committee’s Call for Evidence – New Towns: Creating Communities.</w:t>
      </w:r>
      <w:r>
        <w:fldChar w:fldCharType="end"/>
      </w:r>
    </w:p>
  </w:footnote>
  <w:footnote w:id="26">
    <w:p w:rsidR="00DB5929">
      <w:pPr>
        <w:pStyle w:val="FootnoteText"/>
      </w:pPr>
      <w:r>
        <w:rPr>
          <w:rStyle w:val="FootnoteReference"/>
        </w:rPr>
        <w:footnoteRef/>
      </w:r>
      <w:r>
        <w:t xml:space="preserve"> </w:t>
      </w:r>
      <w:r>
        <w:fldChar w:fldCharType="begin"/>
      </w:r>
      <w:r>
        <w:instrText xml:space="preserve"> HYPERLINK "https://assets.publishing.service.gov.uk/media/5bd6eb3940f0b6051e77b6a6/Letwin_review_web_version.pdf" </w:instrText>
      </w:r>
      <w:r>
        <w:fldChar w:fldCharType="separate"/>
      </w:r>
      <w:r w:rsidRPr="00BB55D3">
        <w:rPr>
          <w:rStyle w:val="Hyperlink"/>
        </w:rPr>
        <w:t>Letwin, O. (2018). Independent review of build out, final report</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5929" w:rsidP="00FB4EF9">
    <w:pPr>
      <w:pStyle w:val="BodyText1"/>
      <w:tabs>
        <w:tab w:val="left" w:pos="946"/>
      </w:tabs>
      <w:spacing w:after="0"/>
      <w:rPr>
        <w:noProof/>
        <w:lang w:eastAsia="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95D0D04E"/>
    <w:lvl w:ilvl="0">
      <w:start w:val="1"/>
      <w:numFmt w:val="bullet"/>
      <w:pStyle w:val="ListBullet2"/>
      <w:lvlText w:val=""/>
      <w:lvlJc w:val="left"/>
      <w:pPr>
        <w:ind w:left="1135" w:firstLine="0"/>
      </w:pPr>
      <w:rPr>
        <w:rFonts w:ascii="Symbol" w:hAnsi="Symbol" w:cs="Times New Roman" w:hint="default"/>
        <w:b w:val="0"/>
        <w:i w:val="0"/>
        <w:color w:val="000000"/>
        <w:sz w:val="24"/>
      </w:rPr>
    </w:lvl>
  </w:abstractNum>
  <w:abstractNum w:abstractNumId="1">
    <w:nsid w:val="1BD85C49"/>
    <w:multiLevelType w:val="multilevel"/>
    <w:tmpl w:val="936E5D7A"/>
    <w:styleLink w:val="CurrentList3"/>
    <w:lvl w:ilvl="0">
      <w:start w:val="1"/>
      <w:numFmt w:val="bullet"/>
      <w:lvlText w:val=""/>
      <w:lvlJc w:val="left"/>
      <w:pPr>
        <w:ind w:left="644" w:hanging="360"/>
      </w:pPr>
      <w:rPr>
        <w:rFonts w:ascii="Symbol" w:hAnsi="Symbol" w:hint="default"/>
        <w:color w:val="002E63" w:themeColor="text1"/>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BEA6C6A"/>
    <w:multiLevelType w:val="multilevel"/>
    <w:tmpl w:val="2AD47320"/>
    <w:styleLink w:val="CurrentList7"/>
    <w:lvl w:ilvl="0">
      <w:start w:val="1"/>
      <w:numFmt w:val="bullet"/>
      <w:lvlText w:val=""/>
      <w:lvlJc w:val="left"/>
      <w:pPr>
        <w:ind w:left="568" w:hanging="284"/>
      </w:pPr>
      <w:rPr>
        <w:rFonts w:ascii="Symbol" w:hAnsi="Symbol" w:cs="Times New Roman" w:hint="default"/>
        <w:b w:val="0"/>
        <w:i w:val="0"/>
        <w:color w:val="0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C237859"/>
    <w:multiLevelType w:val="multilevel"/>
    <w:tmpl w:val="2764A788"/>
    <w:styleLink w:val="CurrentList8"/>
    <w:lvl w:ilvl="0">
      <w:start w:val="1"/>
      <w:numFmt w:val="bullet"/>
      <w:lvlText w:val=""/>
      <w:lvlJc w:val="left"/>
      <w:pPr>
        <w:ind w:left="568" w:hanging="284"/>
      </w:pPr>
      <w:rPr>
        <w:rFonts w:ascii="Symbol" w:hAnsi="Symbol" w:cs="Times New Roman" w:hint="default"/>
        <w:b w:val="0"/>
        <w:i w:val="0"/>
        <w:color w:val="0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77E195F"/>
    <w:multiLevelType w:val="multilevel"/>
    <w:tmpl w:val="130CFE44"/>
    <w:styleLink w:val="CurrentList4"/>
    <w:lvl w:ilvl="0">
      <w:start w:val="1"/>
      <w:numFmt w:val="bullet"/>
      <w:lvlText w:val=""/>
      <w:lvlJc w:val="left"/>
      <w:pPr>
        <w:ind w:left="284" w:hanging="284"/>
      </w:pPr>
      <w:rPr>
        <w:rFonts w:ascii="Symbol" w:hAnsi="Symbol" w:hint="default"/>
        <w:b w:val="0"/>
        <w:i w:val="0"/>
        <w:color w:val="002E63" w:themeColor="text1"/>
        <w:sz w:val="24"/>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37DA58AD"/>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5A167B4"/>
    <w:multiLevelType w:val="multilevel"/>
    <w:tmpl w:val="207451A8"/>
    <w:styleLink w:val="CurrentList6"/>
    <w:lvl w:ilvl="0">
      <w:start w:val="1"/>
      <w:numFmt w:val="bullet"/>
      <w:lvlText w:val=""/>
      <w:lvlJc w:val="left"/>
      <w:pPr>
        <w:ind w:left="284" w:firstLine="0"/>
      </w:pPr>
      <w:rPr>
        <w:rFonts w:ascii="Symbol" w:hAnsi="Symbol" w:cs="Times New Roman" w:hint="default"/>
        <w:b w:val="0"/>
        <w:i w:val="0"/>
        <w:color w:val="002E63" w:themeColor="tex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81475E3"/>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D230D9F"/>
    <w:multiLevelType w:val="multilevel"/>
    <w:tmpl w:val="BE12431A"/>
    <w:lvl w:ilvl="0">
      <w:start w:val="1"/>
      <w:numFmt w:val="lowerLetter"/>
      <w:lvlText w:val="%1."/>
      <w:lvlJc w:val="left"/>
      <w:pPr>
        <w:ind w:left="720" w:hanging="360"/>
      </w:pPr>
      <w:rPr>
        <w:rFonts w:asciiTheme="minorHAnsi" w:eastAsiaTheme="minorHAnsi" w:hAnsiTheme="minorHAnsi" w:cstheme="minorBidi"/>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53FA6DBA"/>
    <w:multiLevelType w:val="multilevel"/>
    <w:tmpl w:val="A1688C96"/>
    <w:styleLink w:val="CurrentList1"/>
    <w:lvl w:ilvl="0">
      <w:start w:val="1"/>
      <w:numFmt w:val="bullet"/>
      <w:lvlText w:val=""/>
      <w:lvlJc w:val="left"/>
      <w:pPr>
        <w:ind w:left="360" w:hanging="360"/>
      </w:pPr>
      <w:rPr>
        <w:rFonts w:ascii="Symbol" w:hAnsi="Symbol" w:hint="default"/>
        <w:color w:val="FFFFFF" w:themeColor="background2"/>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4D12BF8"/>
    <w:multiLevelType w:val="multilevel"/>
    <w:tmpl w:val="0CE89F04"/>
    <w:styleLink w:val="CurrentList2"/>
    <w:lvl w:ilvl="0">
      <w:start w:val="1"/>
      <w:numFmt w:val="bullet"/>
      <w:lvlText w:val=""/>
      <w:lvlJc w:val="left"/>
      <w:pPr>
        <w:ind w:left="644" w:hanging="360"/>
      </w:pPr>
      <w:rPr>
        <w:rFonts w:ascii="Symbol" w:hAnsi="Symbol" w:hint="default"/>
        <w:color w:val="FFFFFF" w:themeColor="background2"/>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0A30E89"/>
    <w:multiLevelType w:val="hybridMultilevel"/>
    <w:tmpl w:val="852200E8"/>
    <w:lvl w:ilvl="0">
      <w:start w:val="1"/>
      <w:numFmt w:val="decimal"/>
      <w:suff w:val="nothing"/>
      <w:lvlText w:val="%1."/>
      <w:lvlJc w:val="left"/>
      <w:pPr>
        <w:ind w:left="227" w:hanging="227"/>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259308C"/>
    <w:multiLevelType w:val="hybridMultilevel"/>
    <w:tmpl w:val="14D471A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E4C04D7"/>
    <w:multiLevelType w:val="hybridMultilevel"/>
    <w:tmpl w:val="0776B4D8"/>
    <w:lvl w:ilvl="0">
      <w:start w:val="1"/>
      <w:numFmt w:val="bullet"/>
      <w:pStyle w:val="ListBullet"/>
      <w:lvlText w:val=""/>
      <w:lvlJc w:val="left"/>
      <w:pPr>
        <w:ind w:left="284" w:hanging="284"/>
      </w:pPr>
      <w:rPr>
        <w:rFonts w:ascii="Symbol" w:hAnsi="Symbol" w:cs="Times New Roman" w:hint="default"/>
        <w:b w:val="0"/>
        <w:i w:val="0"/>
        <w:color w:val="000000"/>
        <w:sz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E5714A8"/>
    <w:multiLevelType w:val="hybridMultilevel"/>
    <w:tmpl w:val="6C9274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9"/>
  </w:num>
  <w:num w:numId="4">
    <w:abstractNumId w:val="10"/>
  </w:num>
  <w:num w:numId="5">
    <w:abstractNumId w:val="1"/>
  </w:num>
  <w:num w:numId="6">
    <w:abstractNumId w:val="4"/>
  </w:num>
  <w:num w:numId="7">
    <w:abstractNumId w:val="5"/>
  </w:num>
  <w:num w:numId="8">
    <w:abstractNumId w:val="6"/>
  </w:num>
  <w:num w:numId="9">
    <w:abstractNumId w:val="2"/>
  </w:num>
  <w:num w:numId="10">
    <w:abstractNumId w:val="3"/>
  </w:num>
  <w:num w:numId="11">
    <w:abstractNumId w:val="7"/>
  </w:num>
  <w:num w:numId="12">
    <w:abstractNumId w:val="11"/>
  </w:num>
  <w:num w:numId="13">
    <w:abstractNumId w:val="8"/>
  </w:num>
  <w:num w:numId="14">
    <w:abstractNumId w:val="11"/>
    <w:lvlOverride w:ilvl="0">
      <w:lvl w:ilvl="0">
        <w:start w:val="1"/>
        <w:numFmt w:val="decimal"/>
        <w:suff w:val="nothing"/>
        <w:lvlText w:val="%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5">
    <w:abstractNumId w:val="11"/>
    <w:lvlOverride w:ilvl="0">
      <w:lvl w:ilvl="0">
        <w:start w:val="1"/>
        <w:numFmt w:val="decimal"/>
        <w:suff w:val="nothing"/>
        <w:lvlText w:val="%1."/>
        <w:lvlJc w:val="left"/>
        <w:pPr>
          <w:ind w:left="227" w:hanging="22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6">
    <w:abstractNumId w:val="11"/>
    <w:lvlOverride w:ilvl="0">
      <w:lvl w:ilvl="0">
        <w:start w:val="1"/>
        <w:numFmt w:val="decimal"/>
        <w:suff w:val="nothing"/>
        <w:lvlText w:val="%1."/>
        <w:lvlJc w:val="left"/>
        <w:pPr>
          <w:ind w:left="227" w:hanging="22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abstractNumId w:val="11"/>
    <w:lvlOverride w:ilvl="0">
      <w:lvl w:ilvl="0">
        <w:start w:val="1"/>
        <w:numFmt w:val="decimal"/>
        <w:suff w:val="nothing"/>
        <w:lvlText w:val="%1."/>
        <w:lvlJc w:val="left"/>
        <w:pPr>
          <w:ind w:left="227" w:hanging="22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abstractNumId w:val="11"/>
    <w:lvlOverride w:ilvl="0">
      <w:lvl w:ilvl="0">
        <w:start w:val="1"/>
        <w:numFmt w:val="decimal"/>
        <w:suff w:val="nothing"/>
        <w:lvlText w:val="%1."/>
        <w:lvlJc w:val="left"/>
        <w:pPr>
          <w:ind w:left="227" w:hanging="22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abstractNumId w:val="11"/>
    <w:lvlOverride w:ilvl="0">
      <w:lvl w:ilvl="0">
        <w:start w:val="1"/>
        <w:numFmt w:val="decimal"/>
        <w:suff w:val="nothing"/>
        <w:lvlText w:val="%1."/>
        <w:lvlJc w:val="left"/>
        <w:pPr>
          <w:ind w:left="227" w:hanging="22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abstractNumId w:val="11"/>
    <w:lvlOverride w:ilvl="0">
      <w:lvl w:ilvl="0">
        <w:start w:val="1"/>
        <w:numFmt w:val="decimal"/>
        <w:suff w:val="nothing"/>
        <w:lvlText w:val="%1."/>
        <w:lvlJc w:val="left"/>
        <w:pPr>
          <w:ind w:left="227" w:hanging="22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abstractNumId w:val="14"/>
  </w:num>
  <w:num w:numId="22">
    <w:abstractNumId w:val="11"/>
    <w:lvlOverride w:ilvl="0">
      <w:lvl w:ilvl="0">
        <w:start w:val="1"/>
        <w:numFmt w:val="decimal"/>
        <w:suff w:val="nothing"/>
        <w:lvlText w:val="%1."/>
        <w:lvlJc w:val="left"/>
        <w:pPr>
          <w:ind w:left="227" w:hanging="22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abstractNumId w:val="12"/>
  </w:num>
  <w:num w:numId="24">
    <w:abstractNumId w:val="11"/>
    <w:lvlOverride w:ilvl="0">
      <w:lvl w:ilvl="0">
        <w:start w:val="1"/>
        <w:numFmt w:val="decimal"/>
        <w:suff w:val="nothing"/>
        <w:lvlText w:val="%1."/>
        <w:lvlJc w:val="left"/>
        <w:pPr>
          <w:ind w:left="227" w:hanging="22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5">
    <w:abstractNumId w:val="11"/>
    <w:lvlOverride w:ilvl="0">
      <w:lvl w:ilvl="0">
        <w:start w:val="1"/>
        <w:numFmt w:val="decimal"/>
        <w:suff w:val="nothing"/>
        <w:lvlText w:val="%1."/>
        <w:lvlJc w:val="left"/>
        <w:pPr>
          <w:ind w:left="227" w:hanging="22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color w:val="85CFE8" w:themeColor="accent1"/>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8EB"/>
    <w:pPr>
      <w:spacing w:after="160" w:line="259" w:lineRule="auto"/>
    </w:pPr>
    <w:rPr>
      <w:rFonts w:asciiTheme="minorHAnsi" w:hAnsiTheme="minorHAnsi" w:cstheme="minorBidi"/>
      <w:color w:val="auto"/>
      <w:kern w:val="2"/>
      <w:sz w:val="22"/>
      <w:szCs w:val="22"/>
    </w:rPr>
  </w:style>
  <w:style w:type="paragraph" w:styleId="Heading1">
    <w:name w:val="heading 1"/>
    <w:basedOn w:val="Normal"/>
    <w:next w:val="Normal"/>
    <w:link w:val="Heading1Char"/>
    <w:autoRedefine/>
    <w:uiPriority w:val="9"/>
    <w:qFormat/>
    <w:rsid w:val="00DC78BF"/>
    <w:pPr>
      <w:outlineLvl w:val="0"/>
    </w:pPr>
    <w:rPr>
      <w:rFonts w:ascii="Verdana" w:eastAsia="Arial" w:hAnsi="Verdana" w:cstheme="minorHAnsi"/>
      <w:b/>
      <w:bCs/>
      <w:kern w:val="0"/>
      <w:sz w:val="28"/>
      <w:szCs w:val="28"/>
    </w:rPr>
  </w:style>
  <w:style w:type="paragraph" w:styleId="Heading2">
    <w:name w:val="heading 2"/>
    <w:next w:val="Normal"/>
    <w:link w:val="Heading2Char"/>
    <w:autoRedefine/>
    <w:uiPriority w:val="9"/>
    <w:unhideWhenUsed/>
    <w:qFormat/>
    <w:rsid w:val="006A5C6A"/>
    <w:pPr>
      <w:spacing w:after="0" w:line="360" w:lineRule="auto"/>
      <w:outlineLvl w:val="1"/>
    </w:pPr>
    <w:rPr>
      <w:rFonts w:eastAsia="Arial" w:asciiTheme="minorHAnsi" w:hAnsiTheme="minorHAnsi" w:cstheme="minorHAnsi"/>
      <w:b/>
      <w:noProof/>
      <w:color w:val="002E63"/>
      <w:sz w:val="22"/>
      <w:szCs w:val="22"/>
      <w:lang w:eastAsia="en-GB"/>
    </w:rPr>
  </w:style>
  <w:style w:type="paragraph" w:styleId="Heading3">
    <w:name w:val="heading 3"/>
    <w:basedOn w:val="Normal"/>
    <w:next w:val="Normal"/>
    <w:link w:val="Heading3Char"/>
    <w:uiPriority w:val="9"/>
    <w:unhideWhenUsed/>
    <w:qFormat/>
    <w:rsid w:val="00416DD7"/>
    <w:pPr>
      <w:spacing w:after="400" w:line="360" w:lineRule="auto"/>
      <w:outlineLvl w:val="2"/>
    </w:pPr>
    <w:rPr>
      <w:rFonts w:ascii="Arial" w:hAnsi="Arial" w:cs="Arial"/>
      <w:b/>
      <w:color w:val="000000"/>
      <w:kern w:val="0"/>
      <w:sz w:val="24"/>
      <w:szCs w:val="24"/>
    </w:rPr>
  </w:style>
  <w:style w:type="paragraph" w:styleId="Heading4">
    <w:name w:val="heading 4"/>
    <w:aliases w:val="Heading 4 - white bold"/>
    <w:basedOn w:val="Heading3"/>
    <w:next w:val="Normal"/>
    <w:link w:val="Heading4Char"/>
    <w:uiPriority w:val="9"/>
    <w:unhideWhenUsed/>
    <w:qFormat/>
    <w:rsid w:val="00C26251"/>
    <w:pPr>
      <w:outlineLvl w:val="3"/>
    </w:pPr>
    <w:rPr>
      <w:color w:val="FFFFFF" w:themeColor="background2"/>
      <w:szCs w:val="20"/>
    </w:rPr>
  </w:style>
  <w:style w:type="paragraph" w:styleId="Heading5">
    <w:name w:val="heading 5"/>
    <w:aliases w:val="Heading 5 - Signatory's name"/>
    <w:basedOn w:val="Heading4"/>
    <w:next w:val="Normal"/>
    <w:link w:val="Heading5Char"/>
    <w:uiPriority w:val="9"/>
    <w:unhideWhenUsed/>
    <w:qFormat/>
    <w:rsid w:val="00AB7F74"/>
    <w:pPr>
      <w:spacing w:after="0"/>
      <w:outlineLvl w:val="4"/>
    </w:pPr>
    <w:rPr>
      <w:color w:val="000000"/>
    </w:rPr>
  </w:style>
  <w:style w:type="paragraph" w:styleId="Heading6">
    <w:name w:val="heading 6"/>
    <w:aliases w:val="Signatory position"/>
    <w:basedOn w:val="Normal"/>
    <w:next w:val="Normal"/>
    <w:link w:val="Heading6Char"/>
    <w:uiPriority w:val="9"/>
    <w:unhideWhenUsed/>
    <w:qFormat/>
    <w:rsid w:val="00A23C7C"/>
    <w:pPr>
      <w:keepNext/>
      <w:keepLines/>
      <w:spacing w:after="0" w:line="360" w:lineRule="auto"/>
      <w:outlineLvl w:val="5"/>
    </w:pPr>
    <w:rPr>
      <w:rFonts w:asciiTheme="majorHAnsi" w:eastAsiaTheme="majorEastAsia" w:hAnsiTheme="majorHAnsi" w:cs="Times New Roman (Headings CS)"/>
      <w:color w:val="000000"/>
      <w:kern w:val="0"/>
      <w:sz w:val="24"/>
      <w:szCs w:val="24"/>
    </w:rPr>
  </w:style>
  <w:style w:type="paragraph" w:styleId="Heading7">
    <w:name w:val="heading 7"/>
    <w:basedOn w:val="Normal"/>
    <w:next w:val="Normal"/>
    <w:link w:val="Heading7Char"/>
    <w:uiPriority w:val="9"/>
    <w:semiHidden/>
    <w:unhideWhenUsed/>
    <w:qFormat/>
    <w:rsid w:val="00D26549"/>
    <w:pPr>
      <w:keepNext/>
      <w:keepLines/>
      <w:snapToGrid w:val="0"/>
      <w:spacing w:after="0" w:line="360" w:lineRule="auto"/>
      <w:outlineLvl w:val="6"/>
    </w:pPr>
    <w:rPr>
      <w:rFonts w:asciiTheme="majorHAnsi" w:eastAsiaTheme="majorEastAsia" w:hAnsiTheme="majorHAnsi" w:cstheme="majorBidi"/>
      <w:iCs/>
      <w:color w:val="000000"/>
      <w:kern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B7F74"/>
    <w:pPr>
      <w:tabs>
        <w:tab w:val="center" w:pos="4513"/>
        <w:tab w:val="right" w:pos="9026"/>
      </w:tabs>
      <w:spacing w:after="0" w:line="360" w:lineRule="auto"/>
    </w:pPr>
    <w:rPr>
      <w:rFonts w:ascii="Arial" w:hAnsi="Arial" w:cs="Arial"/>
      <w:color w:val="002E63" w:themeColor="text1"/>
      <w:kern w:val="0"/>
      <w:sz w:val="24"/>
      <w:szCs w:val="24"/>
    </w:rPr>
  </w:style>
  <w:style w:type="character" w:customStyle="1" w:styleId="HeaderChar">
    <w:name w:val="Header Char"/>
    <w:basedOn w:val="DefaultParagraphFont"/>
    <w:link w:val="Header"/>
    <w:uiPriority w:val="99"/>
    <w:rsid w:val="00AB7F74"/>
    <w:rPr>
      <w:color w:val="002E63" w:themeColor="text1"/>
    </w:rPr>
  </w:style>
  <w:style w:type="paragraph" w:styleId="Footer">
    <w:name w:val="footer"/>
    <w:basedOn w:val="Normal"/>
    <w:link w:val="FooterChar"/>
    <w:uiPriority w:val="99"/>
    <w:unhideWhenUsed/>
    <w:rsid w:val="00416DD7"/>
    <w:pPr>
      <w:tabs>
        <w:tab w:val="center" w:pos="4513"/>
        <w:tab w:val="right" w:pos="9026"/>
      </w:tabs>
      <w:spacing w:after="0" w:line="360" w:lineRule="auto"/>
    </w:pPr>
    <w:rPr>
      <w:rFonts w:ascii="Arial" w:hAnsi="Arial" w:cs="Arial"/>
      <w:color w:val="002E63" w:themeColor="text1"/>
      <w:kern w:val="0"/>
      <w:sz w:val="16"/>
      <w:szCs w:val="24"/>
    </w:rPr>
  </w:style>
  <w:style w:type="character" w:customStyle="1" w:styleId="FooterChar">
    <w:name w:val="Footer Char"/>
    <w:basedOn w:val="DefaultParagraphFont"/>
    <w:link w:val="Footer"/>
    <w:uiPriority w:val="99"/>
    <w:rsid w:val="00416DD7"/>
    <w:rPr>
      <w:color w:val="002E63" w:themeColor="text1"/>
      <w:sz w:val="16"/>
    </w:rPr>
  </w:style>
  <w:style w:type="paragraph" w:styleId="BalloonText">
    <w:name w:val="Balloon Text"/>
    <w:basedOn w:val="Normal"/>
    <w:link w:val="BalloonTextChar"/>
    <w:uiPriority w:val="99"/>
    <w:semiHidden/>
    <w:unhideWhenUsed/>
    <w:rsid w:val="00386987"/>
    <w:pPr>
      <w:spacing w:after="0" w:line="360" w:lineRule="auto"/>
    </w:pPr>
    <w:rPr>
      <w:rFonts w:ascii="Tahoma" w:hAnsi="Tahoma" w:cs="Tahoma"/>
      <w:color w:val="000000"/>
      <w:kern w:val="0"/>
      <w:sz w:val="16"/>
      <w:szCs w:val="16"/>
    </w:rPr>
  </w:style>
  <w:style w:type="character" w:customStyle="1" w:styleId="BalloonTextChar">
    <w:name w:val="Balloon Text Char"/>
    <w:basedOn w:val="DefaultParagraphFont"/>
    <w:link w:val="BalloonText"/>
    <w:uiPriority w:val="99"/>
    <w:semiHidden/>
    <w:rsid w:val="00386987"/>
    <w:rPr>
      <w:rFonts w:ascii="Tahoma" w:hAnsi="Tahoma" w:cs="Tahoma"/>
      <w:sz w:val="16"/>
      <w:szCs w:val="16"/>
    </w:rPr>
  </w:style>
  <w:style w:type="table" w:styleId="TableGrid">
    <w:name w:val="Table Grid"/>
    <w:basedOn w:val="TableNormal"/>
    <w:uiPriority w:val="59"/>
    <w:rsid w:val="00386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C78BF"/>
    <w:rPr>
      <w:rFonts w:ascii="Verdana" w:eastAsia="Arial" w:hAnsi="Verdana" w:cstheme="minorHAnsi"/>
      <w:b/>
      <w:bCs/>
      <w:color w:val="auto"/>
      <w:sz w:val="28"/>
      <w:szCs w:val="28"/>
    </w:rPr>
  </w:style>
  <w:style w:type="character" w:customStyle="1" w:styleId="Heading3Char">
    <w:name w:val="Heading 3 Char"/>
    <w:basedOn w:val="DefaultParagraphFont"/>
    <w:link w:val="Heading3"/>
    <w:uiPriority w:val="9"/>
    <w:rsid w:val="00416DD7"/>
    <w:rPr>
      <w:b/>
      <w:color w:val="000000"/>
    </w:rPr>
  </w:style>
  <w:style w:type="character" w:customStyle="1" w:styleId="Heading2Char">
    <w:name w:val="Heading 2 Char"/>
    <w:basedOn w:val="DefaultParagraphFont"/>
    <w:link w:val="Heading2"/>
    <w:uiPriority w:val="9"/>
    <w:rsid w:val="006A5C6A"/>
    <w:rPr>
      <w:rFonts w:eastAsia="Arial" w:asciiTheme="minorHAnsi" w:hAnsiTheme="minorHAnsi" w:cstheme="minorHAnsi"/>
      <w:b/>
      <w:noProof/>
      <w:color w:val="002E63"/>
      <w:sz w:val="22"/>
      <w:szCs w:val="22"/>
      <w:lang w:eastAsia="en-GB"/>
    </w:rPr>
  </w:style>
  <w:style w:type="character" w:customStyle="1" w:styleId="Heading4Char">
    <w:name w:val="Heading 4 Char"/>
    <w:aliases w:val="Heading 4 - white bold Char"/>
    <w:basedOn w:val="DefaultParagraphFont"/>
    <w:link w:val="Heading4"/>
    <w:uiPriority w:val="9"/>
    <w:rsid w:val="00C26251"/>
    <w:rPr>
      <w:b/>
      <w:color w:val="FFFFFF" w:themeColor="background2"/>
      <w:szCs w:val="20"/>
    </w:rPr>
  </w:style>
  <w:style w:type="paragraph" w:styleId="ListParagraph">
    <w:name w:val="List Paragraph"/>
    <w:basedOn w:val="Normal"/>
    <w:uiPriority w:val="34"/>
    <w:qFormat/>
    <w:rsid w:val="002F44DC"/>
    <w:pPr>
      <w:spacing w:after="0" w:line="360" w:lineRule="auto"/>
      <w:ind w:left="720"/>
      <w:contextualSpacing/>
    </w:pPr>
    <w:rPr>
      <w:rFonts w:ascii="Arial" w:hAnsi="Arial" w:cs="Arial"/>
      <w:color w:val="002E63" w:themeColor="text1"/>
      <w:kern w:val="0"/>
      <w:sz w:val="24"/>
      <w:szCs w:val="24"/>
    </w:rPr>
  </w:style>
  <w:style w:type="paragraph" w:styleId="ListBullet">
    <w:name w:val="List Bullet"/>
    <w:basedOn w:val="List"/>
    <w:uiPriority w:val="99"/>
    <w:unhideWhenUsed/>
    <w:qFormat/>
    <w:rsid w:val="007A0022"/>
    <w:pPr>
      <w:numPr>
        <w:numId w:val="1"/>
      </w:numPr>
      <w:tabs>
        <w:tab w:val="left" w:pos="340"/>
        <w:tab w:val="left" w:pos="680"/>
        <w:tab w:val="left" w:pos="1021"/>
        <w:tab w:val="left" w:pos="1361"/>
      </w:tabs>
      <w:spacing w:after="400"/>
      <w:ind w:left="340" w:hanging="340"/>
      <w:contextualSpacing w:val="0"/>
    </w:pPr>
  </w:style>
  <w:style w:type="paragraph" w:styleId="ListBullet2">
    <w:name w:val="List Bullet 2"/>
    <w:basedOn w:val="Normal"/>
    <w:uiPriority w:val="99"/>
    <w:unhideWhenUsed/>
    <w:qFormat/>
    <w:rsid w:val="007A0022"/>
    <w:pPr>
      <w:numPr>
        <w:numId w:val="2"/>
      </w:numPr>
      <w:tabs>
        <w:tab w:val="left" w:pos="680"/>
        <w:tab w:val="left" w:pos="1021"/>
        <w:tab w:val="left" w:pos="1361"/>
        <w:tab w:val="left" w:pos="1701"/>
      </w:tabs>
      <w:spacing w:after="400" w:line="360" w:lineRule="auto"/>
      <w:ind w:left="680" w:right="340" w:hanging="340"/>
    </w:pPr>
    <w:rPr>
      <w:rFonts w:ascii="Arial" w:hAnsi="Arial" w:cs="Arial"/>
      <w:color w:val="000000"/>
      <w:kern w:val="0"/>
      <w:sz w:val="24"/>
      <w:szCs w:val="24"/>
    </w:rPr>
  </w:style>
  <w:style w:type="character" w:customStyle="1" w:styleId="Heading7Char">
    <w:name w:val="Heading 7 Char"/>
    <w:basedOn w:val="DefaultParagraphFont"/>
    <w:link w:val="Heading7"/>
    <w:uiPriority w:val="9"/>
    <w:semiHidden/>
    <w:rsid w:val="00D26549"/>
    <w:rPr>
      <w:rFonts w:asciiTheme="majorHAnsi" w:eastAsiaTheme="majorEastAsia" w:hAnsiTheme="majorHAnsi" w:cstheme="majorBidi"/>
      <w:iCs/>
      <w:color w:val="000000"/>
      <w:sz w:val="28"/>
    </w:rPr>
  </w:style>
  <w:style w:type="character" w:customStyle="1" w:styleId="Heading5Char">
    <w:name w:val="Heading 5 Char"/>
    <w:aliases w:val="Heading 5 - Signatory's name Char"/>
    <w:basedOn w:val="DefaultParagraphFont"/>
    <w:link w:val="Heading5"/>
    <w:uiPriority w:val="9"/>
    <w:rsid w:val="00AB7F74"/>
    <w:rPr>
      <w:b/>
      <w:color w:val="000000"/>
      <w:szCs w:val="20"/>
    </w:rPr>
  </w:style>
  <w:style w:type="paragraph" w:customStyle="1" w:styleId="BasicParagraph">
    <w:name w:val="[Basic Paragraph]"/>
    <w:basedOn w:val="Normal"/>
    <w:uiPriority w:val="99"/>
    <w:rsid w:val="0058240E"/>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paragraph" w:customStyle="1" w:styleId="BodyText1">
    <w:name w:val="Body Text1"/>
    <w:qFormat/>
    <w:rsid w:val="002F0156"/>
    <w:pPr>
      <w:spacing w:after="400" w:line="360" w:lineRule="auto"/>
    </w:pPr>
    <w:rPr>
      <w:rFonts w:eastAsiaTheme="minorEastAsia"/>
      <w:color w:val="000000"/>
    </w:rPr>
  </w:style>
  <w:style w:type="character" w:styleId="PageNumber">
    <w:name w:val="page number"/>
    <w:basedOn w:val="DefaultParagraphFont"/>
    <w:uiPriority w:val="99"/>
    <w:semiHidden/>
    <w:unhideWhenUsed/>
    <w:rsid w:val="00372A65"/>
  </w:style>
  <w:style w:type="numbering" w:customStyle="1" w:styleId="CurrentList1">
    <w:name w:val="Current List1"/>
    <w:uiPriority w:val="99"/>
    <w:rsid w:val="00093368"/>
    <w:pPr>
      <w:numPr>
        <w:numId w:val="3"/>
      </w:numPr>
    </w:pPr>
  </w:style>
  <w:style w:type="numbering" w:customStyle="1" w:styleId="CurrentList2">
    <w:name w:val="Current List2"/>
    <w:uiPriority w:val="99"/>
    <w:rsid w:val="00093368"/>
    <w:pPr>
      <w:numPr>
        <w:numId w:val="4"/>
      </w:numPr>
    </w:pPr>
  </w:style>
  <w:style w:type="numbering" w:customStyle="1" w:styleId="CurrentList3">
    <w:name w:val="Current List3"/>
    <w:uiPriority w:val="99"/>
    <w:rsid w:val="00093368"/>
    <w:pPr>
      <w:numPr>
        <w:numId w:val="5"/>
      </w:numPr>
    </w:pPr>
  </w:style>
  <w:style w:type="paragraph" w:styleId="List">
    <w:name w:val="List"/>
    <w:basedOn w:val="Normal"/>
    <w:uiPriority w:val="99"/>
    <w:semiHidden/>
    <w:unhideWhenUsed/>
    <w:rsid w:val="00093368"/>
    <w:pPr>
      <w:spacing w:after="0" w:line="360" w:lineRule="auto"/>
      <w:ind w:left="283" w:hanging="283"/>
      <w:contextualSpacing/>
    </w:pPr>
    <w:rPr>
      <w:rFonts w:ascii="Arial" w:hAnsi="Arial" w:cs="Arial"/>
      <w:color w:val="000000"/>
      <w:kern w:val="0"/>
      <w:sz w:val="24"/>
      <w:szCs w:val="24"/>
    </w:rPr>
  </w:style>
  <w:style w:type="numbering" w:customStyle="1" w:styleId="CurrentList4">
    <w:name w:val="Current List4"/>
    <w:uiPriority w:val="99"/>
    <w:rsid w:val="00AF11A6"/>
    <w:pPr>
      <w:numPr>
        <w:numId w:val="6"/>
      </w:numPr>
    </w:pPr>
  </w:style>
  <w:style w:type="numbering" w:customStyle="1" w:styleId="CurrentList5">
    <w:name w:val="Current List5"/>
    <w:uiPriority w:val="99"/>
    <w:rsid w:val="00422F77"/>
    <w:pPr>
      <w:numPr>
        <w:numId w:val="7"/>
      </w:numPr>
    </w:pPr>
  </w:style>
  <w:style w:type="numbering" w:customStyle="1" w:styleId="CurrentList6">
    <w:name w:val="Current List6"/>
    <w:uiPriority w:val="99"/>
    <w:rsid w:val="00422F77"/>
    <w:pPr>
      <w:numPr>
        <w:numId w:val="8"/>
      </w:numPr>
    </w:pPr>
  </w:style>
  <w:style w:type="numbering" w:customStyle="1" w:styleId="CurrentList7">
    <w:name w:val="Current List7"/>
    <w:uiPriority w:val="99"/>
    <w:rsid w:val="006A67EE"/>
    <w:pPr>
      <w:numPr>
        <w:numId w:val="9"/>
      </w:numPr>
    </w:pPr>
  </w:style>
  <w:style w:type="numbering" w:customStyle="1" w:styleId="CurrentList8">
    <w:name w:val="Current List8"/>
    <w:uiPriority w:val="99"/>
    <w:rsid w:val="006A67EE"/>
    <w:pPr>
      <w:numPr>
        <w:numId w:val="10"/>
      </w:numPr>
    </w:pPr>
  </w:style>
  <w:style w:type="numbering" w:customStyle="1" w:styleId="CurrentList9">
    <w:name w:val="Current List9"/>
    <w:uiPriority w:val="99"/>
    <w:rsid w:val="006A67EE"/>
    <w:pPr>
      <w:numPr>
        <w:numId w:val="11"/>
      </w:numPr>
    </w:pPr>
  </w:style>
  <w:style w:type="character" w:customStyle="1" w:styleId="Heading6Char">
    <w:name w:val="Heading 6 Char"/>
    <w:aliases w:val="Signatory position Char"/>
    <w:basedOn w:val="DefaultParagraphFont"/>
    <w:link w:val="Heading6"/>
    <w:uiPriority w:val="9"/>
    <w:rsid w:val="00A23C7C"/>
    <w:rPr>
      <w:rFonts w:asciiTheme="majorHAnsi" w:eastAsiaTheme="majorEastAsia" w:hAnsiTheme="majorHAnsi" w:cs="Times New Roman (Headings CS)"/>
      <w:color w:val="000000"/>
    </w:rPr>
  </w:style>
  <w:style w:type="paragraph" w:customStyle="1" w:styleId="Bodytextbold">
    <w:name w:val="Body text bold"/>
    <w:basedOn w:val="BodyText1"/>
    <w:qFormat/>
    <w:rsid w:val="00FB46CF"/>
    <w:rPr>
      <w:b/>
      <w:bCs/>
    </w:rPr>
  </w:style>
  <w:style w:type="paragraph" w:styleId="NormalWeb">
    <w:name w:val="Normal (Web)"/>
    <w:basedOn w:val="Normal"/>
    <w:uiPriority w:val="99"/>
    <w:semiHidden/>
    <w:unhideWhenUsed/>
    <w:rsid w:val="002F44DC"/>
    <w:pPr>
      <w:spacing w:before="100" w:beforeAutospacing="1" w:after="100" w:afterAutospacing="1" w:line="360" w:lineRule="auto"/>
    </w:pPr>
    <w:rPr>
      <w:rFonts w:ascii="Times New Roman" w:eastAsia="Times New Roman" w:hAnsi="Times New Roman" w:cs="Times New Roman"/>
      <w:kern w:val="0"/>
      <w:sz w:val="24"/>
      <w:szCs w:val="24"/>
      <w:lang w:eastAsia="en-GB"/>
    </w:rPr>
  </w:style>
  <w:style w:type="character" w:customStyle="1" w:styleId="apple-converted-space">
    <w:name w:val="apple-converted-space"/>
    <w:basedOn w:val="DefaultParagraphFont"/>
    <w:rsid w:val="002F44DC"/>
  </w:style>
  <w:style w:type="character" w:styleId="Hyperlink">
    <w:name w:val="Hyperlink"/>
    <w:basedOn w:val="DefaultParagraphFont"/>
    <w:uiPriority w:val="99"/>
    <w:unhideWhenUsed/>
    <w:rsid w:val="002F44DC"/>
    <w:rPr>
      <w:color w:val="0000FF"/>
      <w:u w:val="single"/>
    </w:rPr>
  </w:style>
  <w:style w:type="character" w:customStyle="1" w:styleId="UnresolvedMention1">
    <w:name w:val="Unresolved Mention1"/>
    <w:basedOn w:val="DefaultParagraphFont"/>
    <w:uiPriority w:val="99"/>
    <w:semiHidden/>
    <w:unhideWhenUsed/>
    <w:rsid w:val="002F44DC"/>
    <w:rPr>
      <w:color w:val="605E5C"/>
      <w:shd w:val="clear" w:color="auto" w:fill="E1DFDD"/>
    </w:rPr>
  </w:style>
  <w:style w:type="paragraph" w:customStyle="1" w:styleId="ListHeading">
    <w:name w:val="List Heading"/>
    <w:basedOn w:val="Header"/>
    <w:qFormat/>
    <w:rsid w:val="00AB7F74"/>
    <w:pPr>
      <w:tabs>
        <w:tab w:val="right" w:pos="340"/>
        <w:tab w:val="right" w:pos="680"/>
        <w:tab w:val="right" w:pos="1021"/>
        <w:tab w:val="right" w:pos="1361"/>
        <w:tab w:val="right" w:pos="1701"/>
        <w:tab w:val="clear" w:pos="4513"/>
        <w:tab w:val="clear" w:pos="9026"/>
      </w:tabs>
      <w:spacing w:after="400"/>
      <w:ind w:left="340" w:right="340"/>
    </w:pPr>
    <w:rPr>
      <w:color w:val="000000"/>
      <w:lang w:eastAsia="en-GB"/>
    </w:rPr>
  </w:style>
  <w:style w:type="character" w:styleId="CommentReference">
    <w:name w:val="annotation reference"/>
    <w:basedOn w:val="DefaultParagraphFont"/>
    <w:uiPriority w:val="99"/>
    <w:semiHidden/>
    <w:unhideWhenUsed/>
    <w:rsid w:val="00D634B8"/>
    <w:rPr>
      <w:sz w:val="16"/>
      <w:szCs w:val="16"/>
    </w:rPr>
  </w:style>
  <w:style w:type="paragraph" w:styleId="CommentText">
    <w:name w:val="annotation text"/>
    <w:basedOn w:val="Normal"/>
    <w:link w:val="CommentTextChar"/>
    <w:uiPriority w:val="99"/>
    <w:unhideWhenUsed/>
    <w:rsid w:val="00D634B8"/>
    <w:pPr>
      <w:spacing w:line="240" w:lineRule="auto"/>
    </w:pPr>
    <w:rPr>
      <w:rFonts w:eastAsiaTheme="minorEastAsia"/>
      <w:kern w:val="0"/>
      <w:sz w:val="20"/>
      <w:szCs w:val="20"/>
      <w:lang w:eastAsia="ja-JP"/>
    </w:rPr>
  </w:style>
  <w:style w:type="character" w:customStyle="1" w:styleId="CommentTextChar">
    <w:name w:val="Comment Text Char"/>
    <w:basedOn w:val="DefaultParagraphFont"/>
    <w:link w:val="CommentText"/>
    <w:uiPriority w:val="99"/>
    <w:rsid w:val="00D634B8"/>
    <w:rPr>
      <w:rFonts w:asciiTheme="minorHAnsi" w:eastAsiaTheme="minorEastAsia" w:hAnsiTheme="minorHAnsi" w:cstheme="minorBidi"/>
      <w:color w:val="auto"/>
      <w:sz w:val="20"/>
      <w:szCs w:val="20"/>
      <w:lang w:eastAsia="ja-JP"/>
    </w:rPr>
  </w:style>
  <w:style w:type="paragraph" w:styleId="TOCHeading">
    <w:name w:val="TOC Heading"/>
    <w:basedOn w:val="Heading1"/>
    <w:next w:val="Normal"/>
    <w:uiPriority w:val="39"/>
    <w:unhideWhenUsed/>
    <w:qFormat/>
    <w:rsid w:val="000375B3"/>
    <w:pPr>
      <w:keepNext/>
      <w:keepLines/>
      <w:spacing w:before="240"/>
      <w:outlineLvl w:val="9"/>
    </w:pPr>
    <w:rPr>
      <w:rFonts w:cstheme="majorBidi"/>
      <w:b w:val="0"/>
      <w:bCs w:val="0"/>
      <w:color w:val="37B0D9" w:themeColor="accent1" w:themeShade="BF"/>
      <w:sz w:val="32"/>
      <w:szCs w:val="32"/>
      <w:lang w:val="en-US"/>
    </w:rPr>
  </w:style>
  <w:style w:type="paragraph" w:styleId="TOC1">
    <w:name w:val="toc 1"/>
    <w:basedOn w:val="Normal"/>
    <w:next w:val="Normal"/>
    <w:autoRedefine/>
    <w:uiPriority w:val="39"/>
    <w:unhideWhenUsed/>
    <w:rsid w:val="000375B3"/>
    <w:pPr>
      <w:spacing w:after="100"/>
    </w:pPr>
  </w:style>
  <w:style w:type="paragraph" w:styleId="TOC2">
    <w:name w:val="toc 2"/>
    <w:basedOn w:val="Normal"/>
    <w:next w:val="Normal"/>
    <w:autoRedefine/>
    <w:uiPriority w:val="39"/>
    <w:unhideWhenUsed/>
    <w:rsid w:val="000375B3"/>
    <w:pPr>
      <w:spacing w:after="100"/>
      <w:ind w:left="220"/>
    </w:pPr>
  </w:style>
  <w:style w:type="paragraph" w:styleId="Revision">
    <w:name w:val="Revision"/>
    <w:hidden/>
    <w:uiPriority w:val="99"/>
    <w:semiHidden/>
    <w:rsid w:val="00924B10"/>
    <w:pPr>
      <w:spacing w:after="0" w:line="240" w:lineRule="auto"/>
    </w:pPr>
    <w:rPr>
      <w:rFonts w:asciiTheme="minorHAnsi" w:hAnsiTheme="minorHAnsi" w:cstheme="minorBidi"/>
      <w:color w:val="auto"/>
      <w:kern w:val="2"/>
      <w:sz w:val="22"/>
      <w:szCs w:val="22"/>
    </w:rPr>
  </w:style>
  <w:style w:type="paragraph" w:styleId="CommentSubject">
    <w:name w:val="annotation subject"/>
    <w:basedOn w:val="CommentText"/>
    <w:next w:val="CommentText"/>
    <w:link w:val="CommentSubjectChar"/>
    <w:uiPriority w:val="99"/>
    <w:semiHidden/>
    <w:unhideWhenUsed/>
    <w:rsid w:val="004C3C1C"/>
    <w:rPr>
      <w:rFonts w:eastAsiaTheme="minorHAnsi"/>
      <w:b/>
      <w:bCs/>
      <w:kern w:val="2"/>
      <w:lang w:eastAsia="en-US"/>
    </w:rPr>
  </w:style>
  <w:style w:type="character" w:customStyle="1" w:styleId="CommentSubjectChar">
    <w:name w:val="Comment Subject Char"/>
    <w:basedOn w:val="CommentTextChar"/>
    <w:link w:val="CommentSubject"/>
    <w:uiPriority w:val="99"/>
    <w:semiHidden/>
    <w:rsid w:val="004C3C1C"/>
    <w:rPr>
      <w:rFonts w:asciiTheme="minorHAnsi" w:eastAsiaTheme="minorEastAsia" w:hAnsiTheme="minorHAnsi" w:cstheme="minorBidi"/>
      <w:b/>
      <w:bCs/>
      <w:color w:val="auto"/>
      <w:kern w:val="2"/>
      <w:sz w:val="20"/>
      <w:szCs w:val="20"/>
      <w:lang w:eastAsia="ja-JP"/>
    </w:rPr>
  </w:style>
  <w:style w:type="character" w:styleId="FollowedHyperlink">
    <w:name w:val="FollowedHyperlink"/>
    <w:basedOn w:val="DefaultParagraphFont"/>
    <w:uiPriority w:val="99"/>
    <w:semiHidden/>
    <w:unhideWhenUsed/>
    <w:rsid w:val="00BD4A47"/>
    <w:rPr>
      <w:color w:val="8A0C49" w:themeColor="followedHyperlink"/>
      <w:u w:val="single"/>
    </w:rPr>
  </w:style>
  <w:style w:type="character" w:customStyle="1" w:styleId="Mention1">
    <w:name w:val="Mention1"/>
    <w:basedOn w:val="DefaultParagraphFont"/>
    <w:uiPriority w:val="99"/>
    <w:unhideWhenUsed/>
    <w:rsid w:val="00BA506C"/>
    <w:rPr>
      <w:color w:val="2B579A"/>
      <w:shd w:val="clear" w:color="auto" w:fill="E1DFDD"/>
    </w:rPr>
  </w:style>
  <w:style w:type="paragraph" w:styleId="EndnoteText">
    <w:name w:val="endnote text"/>
    <w:basedOn w:val="Normal"/>
    <w:link w:val="EndnoteTextChar"/>
    <w:uiPriority w:val="99"/>
    <w:semiHidden/>
    <w:unhideWhenUsed/>
    <w:rsid w:val="00694A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4A80"/>
    <w:rPr>
      <w:rFonts w:asciiTheme="minorHAnsi" w:hAnsiTheme="minorHAnsi" w:cstheme="minorBidi"/>
      <w:color w:val="auto"/>
      <w:kern w:val="2"/>
      <w:sz w:val="20"/>
      <w:szCs w:val="20"/>
    </w:rPr>
  </w:style>
  <w:style w:type="character" w:styleId="EndnoteReference">
    <w:name w:val="endnote reference"/>
    <w:basedOn w:val="DefaultParagraphFont"/>
    <w:uiPriority w:val="99"/>
    <w:semiHidden/>
    <w:unhideWhenUsed/>
    <w:rsid w:val="00694A80"/>
    <w:rPr>
      <w:vertAlign w:val="superscript"/>
    </w:rPr>
  </w:style>
  <w:style w:type="paragraph" w:styleId="FootnoteText">
    <w:name w:val="footnote text"/>
    <w:basedOn w:val="Normal"/>
    <w:link w:val="FootnoteTextChar"/>
    <w:uiPriority w:val="99"/>
    <w:semiHidden/>
    <w:unhideWhenUsed/>
    <w:rsid w:val="00694A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A80"/>
    <w:rPr>
      <w:rFonts w:asciiTheme="minorHAnsi" w:hAnsiTheme="minorHAnsi" w:cstheme="minorBidi"/>
      <w:color w:val="auto"/>
      <w:kern w:val="2"/>
      <w:sz w:val="20"/>
      <w:szCs w:val="20"/>
    </w:rPr>
  </w:style>
  <w:style w:type="character" w:styleId="FootnoteReference">
    <w:name w:val="footnote reference"/>
    <w:basedOn w:val="DefaultParagraphFont"/>
    <w:uiPriority w:val="99"/>
    <w:semiHidden/>
    <w:unhideWhenUsed/>
    <w:rsid w:val="00694A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1.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OliviaGibson\Downloads\The%20RTPI%20Word%20template%20with%20the%20primary%20logo.dotx" TargetMode="External" /></Relationships>
</file>

<file path=word/theme/theme1.xml><?xml version="1.0" encoding="utf-8"?>
<a:theme xmlns:a="http://schemas.openxmlformats.org/drawingml/2006/main" name="Office Theme">
  <a:themeElements>
    <a:clrScheme name="RTPI 2025 WordLH v1">
      <a:dk1>
        <a:srgbClr val="002E63"/>
      </a:dk1>
      <a:lt1>
        <a:srgbClr val="0A9CA8"/>
      </a:lt1>
      <a:dk2>
        <a:srgbClr val="00395B"/>
      </a:dk2>
      <a:lt2>
        <a:srgbClr val="FFFFFF"/>
      </a:lt2>
      <a:accent1>
        <a:srgbClr val="85CFE8"/>
      </a:accent1>
      <a:accent2>
        <a:srgbClr val="02B6DD"/>
      </a:accent2>
      <a:accent3>
        <a:srgbClr val="9CCEA0"/>
      </a:accent3>
      <a:accent4>
        <a:srgbClr val="FED378"/>
      </a:accent4>
      <a:accent5>
        <a:srgbClr val="EC5E68"/>
      </a:accent5>
      <a:accent6>
        <a:srgbClr val="2CB67F"/>
      </a:accent6>
      <a:hlink>
        <a:srgbClr val="0085C9"/>
      </a:hlink>
      <a:folHlink>
        <a:srgbClr val="8A0C49"/>
      </a:folHlink>
    </a:clrScheme>
    <a:fontScheme name="RTPI_v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0" cap="rnd">
          <a:solidFill>
            <a:schemeClr val="tx2"/>
          </a:solidFill>
          <a:prstDash val="sysDot"/>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5</Value>
      <Value>104</Value>
      <Value>73</Value>
      <Value>105</Value>
      <Value>2</Value>
      <Value>54</Value>
    </TaxCatchAll>
    <RecordNumber xmlns="4600776d-0a3c-44b4-bff2-0ceaafb13046" xsi:nil="true"/>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2026-07-20T23:00:00+00:00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JRFZP62N7HVT-2044078101-1579</_dlc_DocId>
    <_dlc_DocIdUrl xmlns="70d2f4a9-7027-4c8b-acc6-1861eab93b19">
      <Url>https://hopuk.sharepoint.com/sites/hlc-builtenviro/_layouts/15/DocIdRedir.aspx?ID=JRFZP62N7HVT-2044078101-1579</Url>
      <Description>JRFZP62N7HVT-2044078101-1579</Description>
    </_dlc_DocIdUrl>
  </documentManagement>
</p:properties>
</file>

<file path=customXml/itemProps1.xml><?xml version="1.0" encoding="utf-8"?>
<ds:datastoreItem xmlns:ds="http://schemas.openxmlformats.org/officeDocument/2006/customXml" ds:itemID="{B81094D3-086F-49C6-9CAE-9351DF7CDD46}">
  <ds:schemaRefs>
    <ds:schemaRef ds:uri="http://schemas.microsoft.com/sharepoint/events"/>
  </ds:schemaRefs>
</ds:datastoreItem>
</file>

<file path=customXml/itemProps2.xml><?xml version="1.0" encoding="utf-8"?>
<ds:datastoreItem xmlns:ds="http://schemas.openxmlformats.org/officeDocument/2006/customXml" ds:itemID="{045EE213-B2C4-4FD1-A452-C5910FD45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2A89E7-5D77-B741-A1A5-FEA9A10F87EF}">
  <ds:schemaRefs>
    <ds:schemaRef ds:uri="http://schemas.openxmlformats.org/officeDocument/2006/bibliography"/>
  </ds:schemaRefs>
</ds:datastoreItem>
</file>

<file path=customXml/itemProps4.xml><?xml version="1.0" encoding="utf-8"?>
<ds:datastoreItem xmlns:ds="http://schemas.openxmlformats.org/officeDocument/2006/customXml" ds:itemID="{DF051B2B-58A8-4AC4-9C7C-4E74D2A5CDFC}">
  <ds:schemaRefs>
    <ds:schemaRef ds:uri="http://schemas.microsoft.com/sharepoint/v3/contenttype/forms"/>
  </ds:schemaRefs>
</ds:datastoreItem>
</file>

<file path=customXml/itemProps5.xml><?xml version="1.0" encoding="utf-8"?>
<ds:datastoreItem xmlns:ds="http://schemas.openxmlformats.org/officeDocument/2006/customXml" ds:itemID="{C33DE927-81F0-42B9-BCF6-6D009982E76F}">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Metadata/LabelInfo.xml><?xml version="1.0" encoding="utf-8"?>
<clbl:labelList xmlns:clbl="http://schemas.microsoft.com/office/2020/mipLabelMetadata">
  <clbl:label id="{243d1329-c929-41c0-8d1a-c927908a2fbf}" enabled="0" method="" siteId="{243d1329-c929-41c0-8d1a-c927908a2fbf}" removed="1"/>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NTB0023</dc:title>
  <cp:revision>0</cp:revision>
</cp:coreProperties>
</file>