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7500B" w:rsidRPr="00317889" w:rsidP="00317889">
      <w:pPr>
        <w:pStyle w:val="ListParagraph"/>
        <w:spacing w:after="200"/>
        <w:ind w:left="0"/>
        <w:contextualSpacing w:val="0"/>
        <w:rPr>
          <w:rFonts w:ascii="Verdana" w:hAnsi="Verdana"/>
          <w:b/>
          <w:bCs/>
          <w:sz w:val="28"/>
          <w:szCs w:val="28"/>
        </w:rPr>
      </w:pPr>
      <w:r w:rsidRPr="00317889">
        <w:rPr>
          <w:rFonts w:ascii="Verdana" w:hAnsi="Verdana"/>
          <w:b/>
          <w:bCs/>
          <w:sz w:val="28"/>
          <w:szCs w:val="28"/>
        </w:rPr>
        <w:t>The Land Trust – Written evidence (NTB0022)</w:t>
      </w:r>
    </w:p>
    <w:p w:rsidR="003F1FB1" w:rsidRPr="00317889" w:rsidP="00BE7980">
      <w:pPr>
        <w:pStyle w:val="ListParagraph"/>
        <w:numPr>
          <w:ilvl w:val="1"/>
          <w:numId w:val="1"/>
        </w:numPr>
        <w:spacing w:line="259" w:lineRule="auto"/>
        <w:contextualSpacing w:val="0"/>
        <w:rPr>
          <w:rFonts w:ascii="Verdana" w:hAnsi="Verdana"/>
          <w:sz w:val="22"/>
          <w:szCs w:val="22"/>
        </w:rPr>
      </w:pPr>
      <w:r w:rsidRPr="00317889">
        <w:rPr>
          <w:rFonts w:ascii="Verdana" w:hAnsi="Verdana"/>
          <w:sz w:val="22"/>
          <w:szCs w:val="22"/>
        </w:rPr>
        <w:t>I am writing to you on behalf of the Land Trust, the UK's premier green space management charity. Our long-term approach to stewardship and management of nearly 90 sites across the country has delivered over £87m in social value, and we write to you to today response to your call for evidence.</w:t>
      </w:r>
    </w:p>
    <w:p w:rsidR="003F1FB1" w:rsidRPr="00317889" w:rsidP="00BE7980">
      <w:pPr>
        <w:pStyle w:val="ListParagraph"/>
        <w:numPr>
          <w:ilvl w:val="1"/>
          <w:numId w:val="1"/>
        </w:numPr>
        <w:spacing w:line="259" w:lineRule="auto"/>
        <w:contextualSpacing w:val="0"/>
        <w:rPr>
          <w:rFonts w:ascii="Verdana" w:hAnsi="Verdana"/>
          <w:sz w:val="22"/>
          <w:szCs w:val="22"/>
        </w:rPr>
      </w:pPr>
      <w:r w:rsidRPr="00317889">
        <w:rPr>
          <w:rFonts w:ascii="Verdana" w:hAnsi="Verdana"/>
          <w:sz w:val="22"/>
          <w:szCs w:val="22"/>
        </w:rPr>
        <w:t xml:space="preserve">At the Land Trust, we understand that the country faces a critical period for the housing sector, in terms of delivering the volume of development required to meet the Government's stated ambitions. We recognise the challenge that you are seeking to review in respect of what are the challenges facing the construction industry and believe that this will connect directly with your second module which focused on “community creation” as well as constructing homes. </w:t>
      </w:r>
    </w:p>
    <w:p w:rsidR="003F1FB1" w:rsidRPr="00317889" w:rsidP="00BE7980">
      <w:pPr>
        <w:pStyle w:val="ListParagraph"/>
        <w:numPr>
          <w:ilvl w:val="1"/>
          <w:numId w:val="1"/>
        </w:numPr>
        <w:spacing w:line="259" w:lineRule="auto"/>
        <w:contextualSpacing w:val="0"/>
        <w:rPr>
          <w:rFonts w:ascii="Verdana" w:hAnsi="Verdana"/>
          <w:sz w:val="22"/>
          <w:szCs w:val="22"/>
        </w:rPr>
      </w:pPr>
      <w:r w:rsidRPr="00317889">
        <w:rPr>
          <w:rFonts w:ascii="Verdana" w:hAnsi="Verdana"/>
          <w:sz w:val="22"/>
          <w:szCs w:val="22"/>
        </w:rPr>
        <w:t>We believe that the design of a place, with consideration for the long-term stewardship and management of the public realm will help to speed up the process of getting to the build phase. We call this taking a “place-keeping” approach and believe that greater transparency in designing the delivery of blue and green infrastructure and the wider public realm will encourage more local consent and bring about efficiencies in the planning process.</w:t>
      </w:r>
    </w:p>
    <w:p w:rsidR="003F1FB1" w:rsidRPr="00317889" w:rsidP="00BE7980">
      <w:pPr>
        <w:pStyle w:val="ListParagraph"/>
        <w:numPr>
          <w:ilvl w:val="1"/>
          <w:numId w:val="1"/>
        </w:numPr>
        <w:spacing w:line="259" w:lineRule="auto"/>
        <w:contextualSpacing w:val="0"/>
        <w:rPr>
          <w:rFonts w:ascii="Verdana" w:hAnsi="Verdana"/>
          <w:sz w:val="22"/>
          <w:szCs w:val="22"/>
        </w:rPr>
      </w:pPr>
      <w:r w:rsidRPr="00317889">
        <w:rPr>
          <w:rFonts w:ascii="Verdana" w:hAnsi="Verdana"/>
          <w:sz w:val="22"/>
          <w:szCs w:val="22"/>
        </w:rPr>
        <w:t xml:space="preserve">The Ministry for Housing, Communities and Local Government have made clear references to long-term Stewardship in the New Towns Placemaking Principles. We urge you to support to this approach in the strongest terms as you continue your inquiry. </w:t>
      </w:r>
    </w:p>
    <w:p w:rsidR="003F1FB1" w:rsidP="00BE7980">
      <w:pPr>
        <w:pStyle w:val="ListParagraph"/>
        <w:numPr>
          <w:ilvl w:val="1"/>
          <w:numId w:val="1"/>
        </w:numPr>
        <w:spacing w:line="259" w:lineRule="auto"/>
        <w:contextualSpacing w:val="0"/>
        <w:rPr>
          <w:rFonts w:ascii="Verdana" w:hAnsi="Verdana"/>
          <w:sz w:val="22"/>
          <w:szCs w:val="22"/>
        </w:rPr>
      </w:pPr>
      <w:r w:rsidRPr="00317889">
        <w:rPr>
          <w:rFonts w:ascii="Verdana" w:hAnsi="Verdana"/>
          <w:sz w:val="22"/>
          <w:szCs w:val="22"/>
        </w:rPr>
        <w:t>We believe that central to this is a consideration that should stewardship (or long-term management) become enacted in planning policy, it is vital that the genuine lifetime costs and requirements to maintain good public realm, biodiverse habits and environmentally responsible assets are also considered as central to all decisions made in respect of the New Towns. Yes, this may require scrutiny in terms of the viability considerations ahead of the build phase, but it will achieve better outcomes for the new communities and their neighbours in the longer-term.</w:t>
      </w:r>
    </w:p>
    <w:p w:rsidR="00B45CA7" w:rsidRPr="00F70545" w:rsidP="00F7450B">
      <w:pPr>
        <w:rPr>
          <w:rFonts w:ascii="Verdana" w:hAnsi="Verdana"/>
          <w:b/>
          <w:bCs/>
          <w:sz w:val="22"/>
          <w:szCs w:val="22"/>
        </w:rPr>
      </w:pPr>
      <w:r w:rsidRPr="00F70545">
        <w:rPr>
          <w:rFonts w:ascii="Verdana" w:hAnsi="Verdana"/>
          <w:b/>
          <w:bCs/>
          <w:sz w:val="22"/>
          <w:szCs w:val="22"/>
        </w:rPr>
        <w:t>Policy Ask 1: Embed an appraisal of stewardship options in the planning process</w:t>
      </w:r>
    </w:p>
    <w:p w:rsidR="003F1FB1" w:rsidRPr="00B705AE" w:rsidP="00B705AE">
      <w:pPr>
        <w:pStyle w:val="ListParagraph"/>
        <w:numPr>
          <w:ilvl w:val="1"/>
          <w:numId w:val="1"/>
        </w:numPr>
        <w:spacing w:line="259" w:lineRule="auto"/>
        <w:contextualSpacing w:val="0"/>
        <w:rPr>
          <w:rFonts w:ascii="Verdana" w:hAnsi="Verdana"/>
          <w:sz w:val="22"/>
          <w:szCs w:val="22"/>
        </w:rPr>
      </w:pPr>
      <w:r w:rsidRPr="00B705AE">
        <w:rPr>
          <w:rFonts w:ascii="Verdana" w:hAnsi="Verdana"/>
          <w:sz w:val="22"/>
          <w:szCs w:val="22"/>
        </w:rPr>
        <w:t>We recommend that a menu of stewardship options is included in the planning process of which, one menu option to be considered is the third sector provider. We feel that this approach could be piloted in the New Towns programme and would strengthen the Government’s commitment to stewardship in this development programme.</w:t>
      </w:r>
    </w:p>
    <w:p w:rsidR="003F1FB1" w:rsidRPr="00B705AE" w:rsidP="00B705AE">
      <w:pPr>
        <w:pStyle w:val="ListParagraph"/>
        <w:numPr>
          <w:ilvl w:val="1"/>
          <w:numId w:val="1"/>
        </w:numPr>
        <w:spacing w:line="259" w:lineRule="auto"/>
        <w:contextualSpacing w:val="0"/>
        <w:rPr>
          <w:rFonts w:ascii="Verdana" w:hAnsi="Verdana"/>
          <w:sz w:val="22"/>
          <w:szCs w:val="22"/>
        </w:rPr>
      </w:pPr>
      <w:r w:rsidRPr="00B705AE">
        <w:rPr>
          <w:rFonts w:ascii="Verdana" w:hAnsi="Verdana"/>
          <w:sz w:val="22"/>
          <w:szCs w:val="22"/>
        </w:rPr>
        <w:t xml:space="preserve">The Land Trust believes that a ‘menu’ of options should be appraised by Local Planning Authorities, developers, landowners, management / stewardship organisations and local communities so that the long-term stewardship, or management of amenities and assets associated with the development of New Towns can be agreed and set at planning approval stage and be included as part of the community consultation associated with the planning process. The process </w:t>
      </w:r>
      <w:r w:rsidRPr="00B705AE">
        <w:rPr>
          <w:rFonts w:ascii="Verdana" w:hAnsi="Verdana"/>
          <w:sz w:val="22"/>
          <w:szCs w:val="22"/>
        </w:rPr>
        <w:t xml:space="preserve">should consider the environmental and community benefits of each option, as well as review the context of ‘place’ in an LPA area. </w:t>
      </w:r>
    </w:p>
    <w:p w:rsidR="0050313A" w:rsidRPr="00F70545" w:rsidP="00DB3945">
      <w:pPr>
        <w:pStyle w:val="ListParagraph"/>
        <w:numPr>
          <w:ilvl w:val="1"/>
          <w:numId w:val="1"/>
        </w:numPr>
        <w:spacing w:line="259" w:lineRule="auto"/>
        <w:contextualSpacing w:val="0"/>
        <w:rPr>
          <w:rFonts w:ascii="Verdana" w:hAnsi="Verdana"/>
          <w:sz w:val="22"/>
          <w:szCs w:val="22"/>
        </w:rPr>
      </w:pPr>
      <w:r w:rsidRPr="00B705AE">
        <w:rPr>
          <w:rFonts w:ascii="Verdana" w:hAnsi="Verdana"/>
          <w:sz w:val="22"/>
          <w:szCs w:val="22"/>
        </w:rPr>
        <w:t>It is hoped that by proactively encouraging early engagement with the local and neighbouring communities, regarding the long-term management and maintenance of the public realm and other associated amenities, that stronger community consent and support for appropriate development will become more common. Thus, speeding up the construction phase thereafter.</w:t>
      </w:r>
    </w:p>
    <w:p w:rsidR="00DB3945" w:rsidRPr="00DB3945" w:rsidP="00DB3945">
      <w:pPr>
        <w:spacing w:line="259" w:lineRule="auto"/>
        <w:rPr>
          <w:rFonts w:ascii="Verdana" w:hAnsi="Verdana"/>
          <w:b/>
          <w:bCs/>
          <w:sz w:val="22"/>
          <w:szCs w:val="22"/>
        </w:rPr>
      </w:pPr>
      <w:r w:rsidRPr="00DB3945">
        <w:rPr>
          <w:rFonts w:ascii="Verdana" w:hAnsi="Verdana"/>
          <w:b/>
          <w:bCs/>
          <w:sz w:val="22"/>
          <w:szCs w:val="22"/>
        </w:rPr>
        <w:t>Policy As</w:t>
      </w:r>
      <w:r w:rsidR="000E32A2">
        <w:rPr>
          <w:rFonts w:ascii="Verdana" w:hAnsi="Verdana"/>
          <w:b/>
          <w:bCs/>
          <w:sz w:val="22"/>
          <w:szCs w:val="22"/>
        </w:rPr>
        <w:t>k</w:t>
      </w:r>
      <w:r w:rsidR="00B42E95">
        <w:rPr>
          <w:rFonts w:ascii="Verdana" w:hAnsi="Verdana"/>
          <w:b/>
          <w:bCs/>
          <w:sz w:val="22"/>
          <w:szCs w:val="22"/>
        </w:rPr>
        <w:t xml:space="preserve"> </w:t>
      </w:r>
      <w:r w:rsidR="000E32A2">
        <w:rPr>
          <w:rFonts w:ascii="Verdana" w:hAnsi="Verdana"/>
          <w:b/>
          <w:bCs/>
          <w:sz w:val="22"/>
          <w:szCs w:val="22"/>
        </w:rPr>
        <w:t xml:space="preserve">2: </w:t>
      </w:r>
      <w:r w:rsidRPr="00DB3945">
        <w:rPr>
          <w:rFonts w:ascii="Verdana" w:hAnsi="Verdana"/>
          <w:b/>
          <w:bCs/>
          <w:sz w:val="22"/>
          <w:szCs w:val="22"/>
        </w:rPr>
        <w:t>Recognise whole-life cost of place-keeping, not just the cost of place-creation</w:t>
      </w:r>
    </w:p>
    <w:p w:rsidR="003F1FB1" w:rsidRPr="00DB3945" w:rsidP="00DB3945">
      <w:pPr>
        <w:pStyle w:val="ListParagraph"/>
        <w:numPr>
          <w:ilvl w:val="0"/>
          <w:numId w:val="31"/>
        </w:numPr>
        <w:spacing w:line="259" w:lineRule="auto"/>
        <w:ind w:left="357" w:hanging="357"/>
        <w:contextualSpacing w:val="0"/>
        <w:rPr>
          <w:rFonts w:ascii="Verdana" w:hAnsi="Verdana"/>
          <w:sz w:val="22"/>
          <w:szCs w:val="22"/>
        </w:rPr>
      </w:pPr>
      <w:r w:rsidRPr="00DB3945">
        <w:rPr>
          <w:rFonts w:ascii="Verdana" w:hAnsi="Verdana"/>
          <w:sz w:val="22"/>
          <w:szCs w:val="22"/>
        </w:rPr>
        <w:t xml:space="preserve">Included in our proposed appraisal of stewardship and management solutions should be a formal review of all current and future costs associated with each long-term option (including capital replacement costs). This will promote greater transparency for long-term budgeting and inform whether it is appropriate for a site to be adopted by a local authority, be managed by a third-party estate manager utilising a service charge model, by way of an endowment to support a long-term stewardship approach, or some other approach. It may also be appropriate for a blended model to be agreed, which utilises a range of stewardship and management approaches. </w:t>
      </w:r>
    </w:p>
    <w:p w:rsidR="003F1FB1" w:rsidRPr="00DB3945" w:rsidP="00DB3945">
      <w:pPr>
        <w:pStyle w:val="ListParagraph"/>
        <w:numPr>
          <w:ilvl w:val="0"/>
          <w:numId w:val="31"/>
        </w:numPr>
        <w:spacing w:line="259" w:lineRule="auto"/>
        <w:ind w:left="357" w:hanging="357"/>
        <w:contextualSpacing w:val="0"/>
        <w:rPr>
          <w:rFonts w:ascii="Verdana" w:hAnsi="Verdana"/>
          <w:sz w:val="22"/>
          <w:szCs w:val="22"/>
        </w:rPr>
      </w:pPr>
      <w:r w:rsidRPr="00DB3945">
        <w:rPr>
          <w:rFonts w:ascii="Verdana" w:hAnsi="Verdana"/>
          <w:sz w:val="22"/>
          <w:szCs w:val="22"/>
        </w:rPr>
        <w:t>In the context of New Towns, the Land Trust advocates for a single responsible body to be appointed to be responsible for the greenspace and public realm within each New Town, to promote continuity and to secure genuine long-term benefits for the existing and new community.</w:t>
      </w:r>
    </w:p>
    <w:p w:rsidR="003F1FB1" w:rsidRPr="00DB3945" w:rsidP="00DB3945">
      <w:pPr>
        <w:pStyle w:val="ListParagraph"/>
        <w:numPr>
          <w:ilvl w:val="0"/>
          <w:numId w:val="31"/>
        </w:numPr>
        <w:spacing w:line="259" w:lineRule="auto"/>
        <w:ind w:left="357" w:hanging="357"/>
        <w:contextualSpacing w:val="0"/>
        <w:rPr>
          <w:rFonts w:ascii="Verdana" w:hAnsi="Verdana"/>
          <w:sz w:val="22"/>
          <w:szCs w:val="22"/>
        </w:rPr>
      </w:pPr>
      <w:r w:rsidRPr="00DB3945">
        <w:rPr>
          <w:rFonts w:ascii="Verdana" w:hAnsi="Verdana"/>
          <w:sz w:val="22"/>
          <w:szCs w:val="22"/>
        </w:rPr>
        <w:t xml:space="preserve">The Land Trust promotes the use of a menu of stewardship options as a way of realising the Trust’s ambition to see long-term ‘place-keeping’, and not just place making or creation, being commonplace in the planning process. </w:t>
      </w:r>
    </w:p>
    <w:p w:rsidR="003F1FB1" w:rsidRPr="00DB3945" w:rsidP="00DB3945">
      <w:pPr>
        <w:pStyle w:val="ListParagraph"/>
        <w:numPr>
          <w:ilvl w:val="0"/>
          <w:numId w:val="31"/>
        </w:numPr>
        <w:spacing w:line="259" w:lineRule="auto"/>
        <w:ind w:left="357" w:hanging="357"/>
        <w:contextualSpacing w:val="0"/>
        <w:rPr>
          <w:rFonts w:ascii="Verdana" w:hAnsi="Verdana"/>
          <w:sz w:val="22"/>
          <w:szCs w:val="22"/>
        </w:rPr>
      </w:pPr>
      <w:r w:rsidRPr="00DB3945">
        <w:rPr>
          <w:rFonts w:ascii="Verdana" w:hAnsi="Verdana"/>
          <w:sz w:val="22"/>
          <w:szCs w:val="22"/>
        </w:rPr>
        <w:t xml:space="preserve">The intention is to provide greater clarity about the likely whole-life costs (as well as identifying value for money) of maintaining amenities and assets and to consider the needs of multiple generations of residents from the outset of any new development. </w:t>
      </w:r>
    </w:p>
    <w:p w:rsidR="003F1FB1" w:rsidRPr="00DB3945" w:rsidP="00DB3945">
      <w:pPr>
        <w:pStyle w:val="ListParagraph"/>
        <w:numPr>
          <w:ilvl w:val="0"/>
          <w:numId w:val="31"/>
        </w:numPr>
        <w:spacing w:line="259" w:lineRule="auto"/>
        <w:ind w:left="357" w:hanging="357"/>
        <w:contextualSpacing w:val="0"/>
        <w:rPr>
          <w:rFonts w:ascii="Verdana" w:hAnsi="Verdana"/>
          <w:sz w:val="22"/>
          <w:szCs w:val="22"/>
        </w:rPr>
      </w:pPr>
      <w:r w:rsidRPr="00DB3945">
        <w:rPr>
          <w:rFonts w:ascii="Verdana" w:hAnsi="Verdana"/>
          <w:sz w:val="22"/>
          <w:szCs w:val="22"/>
        </w:rPr>
        <w:t xml:space="preserve">We know from extensive experience that when open spaces, </w:t>
      </w:r>
      <w:r w:rsidRPr="00DB3945">
        <w:rPr>
          <w:rFonts w:ascii="Verdana" w:hAnsi="Verdana"/>
          <w:sz w:val="22"/>
          <w:szCs w:val="22"/>
        </w:rPr>
        <w:t>SuDS</w:t>
      </w:r>
      <w:r w:rsidRPr="00DB3945">
        <w:rPr>
          <w:rFonts w:ascii="Verdana" w:hAnsi="Verdana"/>
          <w:sz w:val="22"/>
          <w:szCs w:val="22"/>
        </w:rPr>
        <w:t xml:space="preserve">, SANGs, habitats, and wider public realm are planned, funded, and managed with a long-term view from the outset, they also deliver substantial benefits for biodiversity, climate resilience, and community wellbeing. </w:t>
      </w:r>
    </w:p>
    <w:p w:rsidR="003F1FB1" w:rsidRPr="00FD5193" w:rsidP="00677A0D">
      <w:pPr>
        <w:pStyle w:val="ListParagraph"/>
        <w:numPr>
          <w:ilvl w:val="0"/>
          <w:numId w:val="43"/>
        </w:numPr>
        <w:spacing w:line="259" w:lineRule="auto"/>
        <w:ind w:left="357" w:hanging="357"/>
        <w:contextualSpacing w:val="0"/>
        <w:rPr>
          <w:rFonts w:ascii="Verdana" w:hAnsi="Verdana"/>
          <w:sz w:val="22"/>
          <w:szCs w:val="22"/>
        </w:rPr>
      </w:pPr>
      <w:r w:rsidRPr="00FD5193">
        <w:rPr>
          <w:rFonts w:ascii="Verdana" w:hAnsi="Verdana"/>
          <w:sz w:val="22"/>
          <w:szCs w:val="22"/>
        </w:rPr>
        <w:t>The Land Trust’s ‘Future Scoping: Tomorrow’s World’ report (2024) reinforces this point. The report highlights the growing importance of:</w:t>
      </w:r>
    </w:p>
    <w:p w:rsidR="003F1FB1" w:rsidRPr="00FD5193" w:rsidP="00677A0D">
      <w:pPr>
        <w:pStyle w:val="ListParagraph"/>
        <w:numPr>
          <w:ilvl w:val="1"/>
          <w:numId w:val="31"/>
        </w:numPr>
        <w:spacing w:line="259" w:lineRule="auto"/>
        <w:contextualSpacing w:val="0"/>
        <w:rPr>
          <w:rFonts w:ascii="Verdana" w:hAnsi="Verdana"/>
          <w:sz w:val="22"/>
          <w:szCs w:val="22"/>
        </w:rPr>
      </w:pPr>
      <w:r w:rsidRPr="00FD5193">
        <w:rPr>
          <w:rFonts w:ascii="Verdana" w:hAnsi="Verdana"/>
          <w:sz w:val="22"/>
          <w:szCs w:val="22"/>
        </w:rPr>
        <w:t>Climate change adaption</w:t>
      </w:r>
    </w:p>
    <w:p w:rsidR="003F1FB1" w:rsidRPr="00FD5193" w:rsidP="00677A0D">
      <w:pPr>
        <w:pStyle w:val="ListParagraph"/>
        <w:numPr>
          <w:ilvl w:val="1"/>
          <w:numId w:val="31"/>
        </w:numPr>
        <w:spacing w:line="259" w:lineRule="auto"/>
        <w:contextualSpacing w:val="0"/>
        <w:rPr>
          <w:rFonts w:ascii="Verdana" w:hAnsi="Verdana"/>
          <w:sz w:val="22"/>
          <w:szCs w:val="22"/>
        </w:rPr>
      </w:pPr>
      <w:r w:rsidRPr="00FD5193">
        <w:rPr>
          <w:rFonts w:ascii="Verdana" w:hAnsi="Verdana"/>
          <w:sz w:val="22"/>
          <w:szCs w:val="22"/>
        </w:rPr>
        <w:t>Flood and water management</w:t>
      </w:r>
    </w:p>
    <w:p w:rsidR="003F1FB1" w:rsidRPr="00FD5193" w:rsidP="00677A0D">
      <w:pPr>
        <w:pStyle w:val="ListParagraph"/>
        <w:numPr>
          <w:ilvl w:val="1"/>
          <w:numId w:val="31"/>
        </w:numPr>
        <w:spacing w:line="259" w:lineRule="auto"/>
        <w:contextualSpacing w:val="0"/>
        <w:rPr>
          <w:rFonts w:ascii="Verdana" w:hAnsi="Verdana"/>
          <w:sz w:val="22"/>
          <w:szCs w:val="22"/>
        </w:rPr>
      </w:pPr>
      <w:r w:rsidRPr="00FD5193">
        <w:rPr>
          <w:rFonts w:ascii="Verdana" w:hAnsi="Verdana"/>
          <w:sz w:val="22"/>
          <w:szCs w:val="22"/>
        </w:rPr>
        <w:t>Community education and engagement</w:t>
      </w:r>
    </w:p>
    <w:p w:rsidR="003F1FB1" w:rsidRPr="00FD5193" w:rsidP="00677A0D">
      <w:pPr>
        <w:pStyle w:val="ListParagraph"/>
        <w:numPr>
          <w:ilvl w:val="1"/>
          <w:numId w:val="31"/>
        </w:numPr>
        <w:spacing w:line="259" w:lineRule="auto"/>
        <w:contextualSpacing w:val="0"/>
        <w:rPr>
          <w:rFonts w:ascii="Verdana" w:hAnsi="Verdana"/>
          <w:sz w:val="22"/>
          <w:szCs w:val="22"/>
        </w:rPr>
      </w:pPr>
      <w:r w:rsidRPr="00FD5193">
        <w:rPr>
          <w:rFonts w:ascii="Verdana" w:hAnsi="Verdana"/>
          <w:sz w:val="22"/>
          <w:szCs w:val="22"/>
        </w:rPr>
        <w:t>Biodiversity enhancement and habitat protection</w:t>
      </w:r>
    </w:p>
    <w:p w:rsidR="0050313A" w:rsidRPr="00FD5193" w:rsidP="00677A0D">
      <w:pPr>
        <w:pStyle w:val="ListParagraph"/>
        <w:numPr>
          <w:ilvl w:val="0"/>
          <w:numId w:val="31"/>
        </w:numPr>
        <w:spacing w:line="259" w:lineRule="auto"/>
        <w:ind w:left="357" w:hanging="357"/>
        <w:contextualSpacing w:val="0"/>
        <w:rPr>
          <w:rFonts w:ascii="Verdana" w:hAnsi="Verdana"/>
          <w:sz w:val="22"/>
          <w:szCs w:val="22"/>
        </w:rPr>
      </w:pPr>
      <w:r w:rsidRPr="00FD5193">
        <w:rPr>
          <w:rFonts w:ascii="Verdana" w:hAnsi="Verdana"/>
          <w:sz w:val="22"/>
          <w:szCs w:val="22"/>
        </w:rPr>
        <w:t xml:space="preserve">These themes collectively demonstrate why single operators – or long-term stewardship partners – are best placed to manage the complex infrastructure </w:t>
      </w:r>
      <w:r w:rsidRPr="00FD5193">
        <w:rPr>
          <w:rFonts w:ascii="Verdana" w:hAnsi="Verdana"/>
          <w:sz w:val="22"/>
          <w:szCs w:val="22"/>
        </w:rPr>
        <w:t>associated with the New Town developments. With fully costed, long-term management plans, that have been agreed at planning stage and following an appraisal of stewardship options, will ensure that local and community assets are not only protected but actively improved over time, delivering public value far beyond the initial construction phase.</w:t>
      </w:r>
    </w:p>
    <w:p w:rsidR="003F1FB1" w:rsidRPr="00677A0D" w:rsidP="00677A0D">
      <w:pPr>
        <w:spacing w:line="259" w:lineRule="auto"/>
        <w:rPr>
          <w:rFonts w:ascii="Verdana" w:hAnsi="Verdana"/>
          <w:b/>
          <w:bCs/>
          <w:sz w:val="22"/>
          <w:szCs w:val="22"/>
        </w:rPr>
      </w:pPr>
      <w:r w:rsidRPr="00677A0D">
        <w:rPr>
          <w:rFonts w:ascii="Verdana" w:hAnsi="Verdana"/>
          <w:b/>
          <w:bCs/>
          <w:sz w:val="22"/>
          <w:szCs w:val="22"/>
        </w:rPr>
        <w:t>Policy Ask 3: Promote long-term financial responsibilities and utilise sinking funds where appropriate</w:t>
      </w:r>
    </w:p>
    <w:p w:rsidR="003F1FB1" w:rsidRPr="00FD5193" w:rsidP="00677A0D">
      <w:pPr>
        <w:pStyle w:val="ListParagraph"/>
        <w:numPr>
          <w:ilvl w:val="0"/>
          <w:numId w:val="31"/>
        </w:numPr>
        <w:spacing w:line="259" w:lineRule="auto"/>
        <w:ind w:left="357" w:hanging="357"/>
        <w:contextualSpacing w:val="0"/>
        <w:rPr>
          <w:rFonts w:ascii="Verdana" w:hAnsi="Verdana"/>
          <w:sz w:val="22"/>
          <w:szCs w:val="22"/>
        </w:rPr>
      </w:pPr>
      <w:r w:rsidRPr="00FD5193">
        <w:rPr>
          <w:rFonts w:ascii="Verdana" w:hAnsi="Verdana"/>
          <w:sz w:val="22"/>
          <w:szCs w:val="22"/>
        </w:rPr>
        <w:t xml:space="preserve">In the Government’s own consultation on New Towns, they recognise that a mixture of financial instruments will be required to deliver the new communities. We are concerned that there is not explicit reference in the developing plans to the costs associated with the long-term stewardship of the public realm, as well as the blue and green infrastructure. </w:t>
      </w:r>
    </w:p>
    <w:p w:rsidR="003F1FB1" w:rsidRPr="00DB3945" w:rsidP="00677A0D">
      <w:pPr>
        <w:pStyle w:val="ListParagraph"/>
        <w:numPr>
          <w:ilvl w:val="0"/>
          <w:numId w:val="31"/>
        </w:numPr>
        <w:spacing w:line="259" w:lineRule="auto"/>
        <w:ind w:left="357" w:hanging="357"/>
        <w:contextualSpacing w:val="0"/>
        <w:rPr>
          <w:rFonts w:ascii="Verdana" w:hAnsi="Verdana"/>
          <w:sz w:val="22"/>
          <w:szCs w:val="22"/>
        </w:rPr>
      </w:pPr>
      <w:r w:rsidRPr="00DB3945">
        <w:rPr>
          <w:rFonts w:ascii="Verdana" w:hAnsi="Verdana"/>
          <w:sz w:val="22"/>
          <w:szCs w:val="22"/>
        </w:rPr>
        <w:t>It is understandable that the finances required to build New Towns is a priority for yourselves and the Government, but the funding model required to maintain this green space, public realm, play areas and other community infrastructure for the long-term must also be considered equally important. It is likely that a range of sources of finance will be required in this regard, and we ask that any budgeting considers local labour and supply costs, to ensure that the regional variances are embedded in this process.</w:t>
      </w:r>
    </w:p>
    <w:p w:rsidR="003F1FB1" w:rsidRPr="00DB3945" w:rsidP="00677A0D">
      <w:pPr>
        <w:pStyle w:val="ListParagraph"/>
        <w:numPr>
          <w:ilvl w:val="0"/>
          <w:numId w:val="31"/>
        </w:numPr>
        <w:spacing w:line="259" w:lineRule="auto"/>
        <w:ind w:left="357" w:hanging="357"/>
        <w:contextualSpacing w:val="0"/>
        <w:rPr>
          <w:rFonts w:ascii="Verdana" w:hAnsi="Verdana"/>
          <w:sz w:val="22"/>
          <w:szCs w:val="22"/>
        </w:rPr>
      </w:pPr>
      <w:r w:rsidRPr="00DB3945">
        <w:rPr>
          <w:rFonts w:ascii="Verdana" w:hAnsi="Verdana"/>
          <w:sz w:val="22"/>
          <w:szCs w:val="22"/>
        </w:rPr>
        <w:t xml:space="preserve">It is imperative that whole life costs of maintaining blue and green infrastructure, and public open spaces are calculated early in the planning process, through an appraisal of stewardship and management options. Furthermore, when reviewing the options, affordability tests must be carried out. For example, if it is intended that one of the New Towns will utilise (fully or in part) a private service charge model which has the potential to become unaffordable for residents’, then the Land Trust approach is to insist that part of the scheme should be funded by an endowment, or commuted sum, so that the burden does not unfairly fall on residents. </w:t>
      </w:r>
    </w:p>
    <w:p w:rsidR="003F1FB1" w:rsidRPr="00DB3945" w:rsidP="00677A0D">
      <w:pPr>
        <w:pStyle w:val="ListParagraph"/>
        <w:numPr>
          <w:ilvl w:val="0"/>
          <w:numId w:val="31"/>
        </w:numPr>
        <w:spacing w:line="259" w:lineRule="auto"/>
        <w:ind w:left="357" w:hanging="357"/>
        <w:contextualSpacing w:val="0"/>
        <w:rPr>
          <w:rFonts w:ascii="Verdana" w:hAnsi="Verdana"/>
          <w:sz w:val="22"/>
          <w:szCs w:val="22"/>
        </w:rPr>
      </w:pPr>
      <w:r w:rsidRPr="00DB3945">
        <w:rPr>
          <w:rFonts w:ascii="Verdana" w:hAnsi="Verdana"/>
          <w:sz w:val="22"/>
          <w:szCs w:val="22"/>
        </w:rPr>
        <w:t>The Land Trust can demonstrate how this balanced and blended approach works well at our Whitehill and Bordon development, in Hampshire, the SANG (</w:t>
      </w:r>
      <w:r w:rsidRPr="00DB3945">
        <w:rPr>
          <w:rFonts w:ascii="Verdana" w:hAnsi="Verdana"/>
          <w:sz w:val="22"/>
          <w:szCs w:val="22"/>
        </w:rPr>
        <w:t>Hogmoor</w:t>
      </w:r>
      <w:r w:rsidRPr="00DB3945">
        <w:rPr>
          <w:rFonts w:ascii="Verdana" w:hAnsi="Verdana"/>
          <w:sz w:val="22"/>
          <w:szCs w:val="22"/>
        </w:rPr>
        <w:t xml:space="preserve"> </w:t>
      </w:r>
      <w:r w:rsidRPr="00DB3945">
        <w:rPr>
          <w:rFonts w:ascii="Verdana" w:hAnsi="Verdana"/>
          <w:sz w:val="22"/>
          <w:szCs w:val="22"/>
        </w:rPr>
        <w:t>Inclosure</w:t>
      </w:r>
      <w:r w:rsidRPr="00DB3945">
        <w:rPr>
          <w:rFonts w:ascii="Verdana" w:hAnsi="Verdana"/>
          <w:sz w:val="22"/>
          <w:szCs w:val="22"/>
        </w:rPr>
        <w:t>) is funded by endowment, whilst the rest of the site (Prince Phillip Park) is funded by service charge.</w:t>
      </w:r>
    </w:p>
    <w:p w:rsidR="003F1FB1" w:rsidRPr="00DB3945" w:rsidP="00677A0D">
      <w:pPr>
        <w:pStyle w:val="ListParagraph"/>
        <w:numPr>
          <w:ilvl w:val="0"/>
          <w:numId w:val="31"/>
        </w:numPr>
        <w:spacing w:line="259" w:lineRule="auto"/>
        <w:ind w:left="357" w:hanging="357"/>
        <w:contextualSpacing w:val="0"/>
        <w:rPr>
          <w:rFonts w:ascii="Verdana" w:hAnsi="Verdana"/>
          <w:sz w:val="22"/>
          <w:szCs w:val="22"/>
        </w:rPr>
      </w:pPr>
      <w:r w:rsidRPr="00DB3945">
        <w:rPr>
          <w:rFonts w:ascii="Verdana" w:hAnsi="Verdana"/>
          <w:sz w:val="22"/>
          <w:szCs w:val="22"/>
        </w:rPr>
        <w:t xml:space="preserve">We recognise that it is not possible, due to budgetary and/or capacity limitations, for the public realms within all new developments to be adopted by local authorities, parish and town councils or resident management companies. Whilst adoption will be important, the Land Trust believes that private estate management models, including managed by third sector bodies like </w:t>
      </w:r>
      <w:r w:rsidRPr="00DB3945">
        <w:rPr>
          <w:rFonts w:ascii="Verdana" w:hAnsi="Verdana"/>
          <w:sz w:val="22"/>
          <w:szCs w:val="22"/>
        </w:rPr>
        <w:t>ourselves</w:t>
      </w:r>
      <w:r w:rsidRPr="00DB3945">
        <w:rPr>
          <w:rFonts w:ascii="Verdana" w:hAnsi="Verdana"/>
          <w:sz w:val="22"/>
          <w:szCs w:val="22"/>
        </w:rPr>
        <w:t xml:space="preserve">, will be required for the foreseeable future. </w:t>
      </w:r>
    </w:p>
    <w:p w:rsidR="0050313A" w:rsidRPr="00677A0D" w:rsidP="00677A0D">
      <w:pPr>
        <w:pStyle w:val="ListParagraph"/>
        <w:numPr>
          <w:ilvl w:val="0"/>
          <w:numId w:val="31"/>
        </w:numPr>
        <w:spacing w:line="259" w:lineRule="auto"/>
        <w:ind w:left="357" w:hanging="357"/>
        <w:contextualSpacing w:val="0"/>
        <w:rPr>
          <w:rFonts w:ascii="Verdana" w:hAnsi="Verdana"/>
          <w:sz w:val="22"/>
          <w:szCs w:val="22"/>
        </w:rPr>
      </w:pPr>
      <w:r w:rsidRPr="00DB3945">
        <w:rPr>
          <w:rFonts w:ascii="Verdana" w:hAnsi="Verdana"/>
          <w:sz w:val="22"/>
          <w:szCs w:val="22"/>
        </w:rPr>
        <w:t xml:space="preserve">On sites, which could include New Towns, with estate management charges, the Land Trust advocates for open, transparent and accountable management solutions being implemented, with genuine involvement of the local community, alongside the use of sinking funds on these developments. This approach is in line with the industry recommended best practice presented by the Royal Institute of Chartered Surveyors (RICS). It is our belief that this approach will </w:t>
      </w:r>
      <w:r w:rsidRPr="00DB3945">
        <w:rPr>
          <w:rFonts w:ascii="Verdana" w:hAnsi="Verdana"/>
          <w:sz w:val="22"/>
          <w:szCs w:val="22"/>
        </w:rPr>
        <w:t xml:space="preserve">support the New Town Placemaking Principles of supporting strong social infrastructure and promoting environment sustainability, through recognising the likely life-time costs that will be required to manage the assets which will be central to building community cohesion and local connection. </w:t>
      </w:r>
    </w:p>
    <w:p w:rsidR="003F1FB1" w:rsidRPr="00677A0D" w:rsidP="00677A0D">
      <w:pPr>
        <w:spacing w:line="259" w:lineRule="auto"/>
        <w:rPr>
          <w:rFonts w:ascii="Verdana" w:hAnsi="Verdana"/>
          <w:b/>
          <w:bCs/>
          <w:sz w:val="22"/>
          <w:szCs w:val="22"/>
        </w:rPr>
      </w:pPr>
      <w:r w:rsidRPr="00677A0D">
        <w:rPr>
          <w:rFonts w:ascii="Verdana" w:hAnsi="Verdana"/>
          <w:b/>
          <w:bCs/>
          <w:sz w:val="22"/>
          <w:szCs w:val="22"/>
        </w:rPr>
        <w:t>Policy Ask 4: Work with the third sector, social enterprises and charitable organisations</w:t>
      </w:r>
    </w:p>
    <w:p w:rsidR="003F1FB1" w:rsidRPr="00DB3945" w:rsidP="00677A0D">
      <w:pPr>
        <w:pStyle w:val="ListParagraph"/>
        <w:numPr>
          <w:ilvl w:val="0"/>
          <w:numId w:val="31"/>
        </w:numPr>
        <w:spacing w:line="259" w:lineRule="auto"/>
        <w:ind w:left="357" w:hanging="357"/>
        <w:contextualSpacing w:val="0"/>
        <w:rPr>
          <w:rFonts w:ascii="Verdana" w:hAnsi="Verdana"/>
          <w:sz w:val="22"/>
          <w:szCs w:val="22"/>
        </w:rPr>
      </w:pPr>
      <w:r w:rsidRPr="00DB3945">
        <w:rPr>
          <w:rFonts w:ascii="Verdana" w:hAnsi="Verdana"/>
          <w:sz w:val="22"/>
          <w:szCs w:val="22"/>
        </w:rPr>
        <w:t>We recognise that the built environment sector is diverse, with many key and important partners required to realise the Government’s ambition to deliver 1.5m homes in this parliamentary term. We ask that as part of the process of investing in the sector that third sector organisations are proactively considered and recognised as strong and appropriate partners to work with. This would also support the intentions of the Public Procurement Act 2024, with a greater emphasis placed on securing social value through procured services.</w:t>
      </w:r>
    </w:p>
    <w:p w:rsidR="003F1FB1" w:rsidRPr="00DB3945" w:rsidP="00677A0D">
      <w:pPr>
        <w:pStyle w:val="ListParagraph"/>
        <w:numPr>
          <w:ilvl w:val="0"/>
          <w:numId w:val="31"/>
        </w:numPr>
        <w:spacing w:line="259" w:lineRule="auto"/>
        <w:ind w:left="357" w:hanging="357"/>
        <w:contextualSpacing w:val="0"/>
        <w:rPr>
          <w:rFonts w:ascii="Verdana" w:hAnsi="Verdana"/>
          <w:sz w:val="22"/>
          <w:szCs w:val="22"/>
        </w:rPr>
      </w:pPr>
      <w:r w:rsidRPr="00DB3945">
        <w:rPr>
          <w:rFonts w:ascii="Verdana" w:hAnsi="Verdana"/>
          <w:sz w:val="22"/>
          <w:szCs w:val="22"/>
        </w:rPr>
        <w:t xml:space="preserve">The Land Trust is a long-standing charitable organisation dedicated to delivering social impact through the sustainable management and enhancement of land. Established approx. 22 years ago, the Trust has developed a reputation for innovation and reliability in the stewardship of green and open spaces, particularly within the fields of contaminated land and more recently, residential developments. </w:t>
      </w:r>
    </w:p>
    <w:p w:rsidR="003F1FB1" w:rsidRPr="00DB3945" w:rsidP="00677A0D">
      <w:pPr>
        <w:pStyle w:val="ListParagraph"/>
        <w:numPr>
          <w:ilvl w:val="0"/>
          <w:numId w:val="31"/>
        </w:numPr>
        <w:spacing w:line="259" w:lineRule="auto"/>
        <w:ind w:left="357" w:hanging="357"/>
        <w:contextualSpacing w:val="0"/>
        <w:rPr>
          <w:rFonts w:ascii="Verdana" w:hAnsi="Verdana"/>
          <w:sz w:val="22"/>
          <w:szCs w:val="22"/>
        </w:rPr>
      </w:pPr>
      <w:r w:rsidRPr="00DB3945">
        <w:rPr>
          <w:rFonts w:ascii="Verdana" w:hAnsi="Verdana"/>
          <w:sz w:val="22"/>
          <w:szCs w:val="22"/>
        </w:rPr>
        <w:t xml:space="preserve">Our charitable mission is to create and maintain environments where communities can thrive, contributing to both health and wellbeing, and wider societal value. We stand ready to work with Government to realise its ambition of creating seven New Towns. </w:t>
      </w:r>
    </w:p>
    <w:p w:rsidR="003F1FB1" w:rsidRPr="00DB3945" w:rsidP="00DB3945">
      <w:pPr>
        <w:rPr>
          <w:rFonts w:ascii="Verdana" w:hAnsi="Verdana"/>
          <w:i/>
          <w:iCs/>
          <w:sz w:val="22"/>
          <w:szCs w:val="22"/>
        </w:rPr>
      </w:pPr>
      <w:r w:rsidRPr="00DB3945">
        <w:rPr>
          <w:rFonts w:ascii="Verdana" w:hAnsi="Verdana"/>
          <w:i/>
          <w:iCs/>
          <w:sz w:val="22"/>
          <w:szCs w:val="22"/>
        </w:rPr>
        <w:t>13 July 2026</w:t>
      </w:r>
    </w:p>
    <w:sectPr w:rsidSect="001874EF">
      <w:headerReference w:type="even" r:id="rId8"/>
      <w:footerReference w:type="default" r:id="rId9"/>
      <w:headerReference w:type="first" r:id="rId10"/>
      <w:pgSz w:w="11906" w:h="16838"/>
      <w:pgMar w:top="1440" w:right="1133" w:bottom="1440"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1FB1" w:rsidP="001854AE">
    <w:pPr>
      <w:pStyle w:val="Footer"/>
    </w:pPr>
  </w:p>
  <w:p w:rsidR="003F1FB1" w:rsidP="001854AE">
    <w:pPr>
      <w:pStyle w:val="Footer"/>
    </w:pPr>
  </w:p>
  <w:p w:rsidR="003F1FB1" w:rsidP="001854A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1F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60763" o:spid="_x0000_s2049" type="#_x0000_t75" style="height:834.9pt;margin-left:0;margin-top:0;mso-height-percent:0;mso-position-horizontal:center;mso-position-horizontal-relative:margin;mso-position-vertical:center;mso-position-vertical-relative:margin;mso-width-percent:0;mso-wrap-edited:f;position:absolute;width:590.35pt;z-index:-251658240" o:allowincell="f">
          <v:imagedata r:id="rId1" o:title="10343k The Land Trust L_head background v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1F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60762" o:spid="_x0000_s2050" type="#_x0000_t75" style="height:834.9pt;margin-left:0;margin-top:0;mso-height-percent:0;mso-position-horizontal:center;mso-position-horizontal-relative:margin;mso-position-vertical:center;mso-position-vertical-relative:margin;mso-width-percent:0;mso-wrap-edited:f;position:absolute;width:590.35pt;z-index:-251657216" o:allowincell="f">
          <v:imagedata r:id="rId1" o:title="10343k The Land Trust L_head background v2"/>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EB4CC8"/>
    <w:multiLevelType w:val="hybridMultilevel"/>
    <w:tmpl w:val="C838B94E"/>
    <w:lvl w:ilvl="0">
      <w:start w:val="1"/>
      <w:numFmt w:val="decimal"/>
      <w:lvlText w:val="%1."/>
      <w:lvlJc w:val="left"/>
      <w:pPr>
        <w:ind w:left="288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02DB4B50"/>
    <w:multiLevelType w:val="hybridMultilevel"/>
    <w:tmpl w:val="0DEA0AAE"/>
    <w:lvl w:ilvl="0">
      <w:start w:val="1"/>
      <w:numFmt w:val="decimal"/>
      <w:lvlText w:val="%1."/>
      <w:lvlJc w:val="left"/>
      <w:pPr>
        <w:ind w:left="2781"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05E2663D"/>
    <w:multiLevelType w:val="hybridMultilevel"/>
    <w:tmpl w:val="E21499BE"/>
    <w:lvl w:ilvl="0">
      <w:start w:val="1"/>
      <w:numFmt w:val="decimal"/>
      <w:suff w:val="nothing"/>
      <w:lvlText w:val="%1."/>
      <w:lvlJc w:val="left"/>
      <w:pPr>
        <w:ind w:left="227" w:hanging="227"/>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2B85730"/>
    <w:multiLevelType w:val="hybridMultilevel"/>
    <w:tmpl w:val="FB2A3162"/>
    <w:lvl w:ilvl="0">
      <w:start w:val="10"/>
      <w:numFmt w:val="decimal"/>
      <w:suff w:val="nothing"/>
      <w:lvlText w:val="%1."/>
      <w:lvlJc w:val="left"/>
      <w:pPr>
        <w:ind w:left="653" w:hanging="227"/>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4485395"/>
    <w:multiLevelType w:val="hybridMultilevel"/>
    <w:tmpl w:val="895E7E7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5521C96"/>
    <w:multiLevelType w:val="hybridMultilevel"/>
    <w:tmpl w:val="AB069AB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68B1982"/>
    <w:multiLevelType w:val="hybridMultilevel"/>
    <w:tmpl w:val="9D1EF1B6"/>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7DA3683"/>
    <w:multiLevelType w:val="hybridMultilevel"/>
    <w:tmpl w:val="05CCA18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B8F74D5"/>
    <w:multiLevelType w:val="hybridMultilevel"/>
    <w:tmpl w:val="BA2A7436"/>
    <w:lvl w:ilvl="0">
      <w:start w:val="1"/>
      <w:numFmt w:val="decimal"/>
      <w:lvlText w:val="%1."/>
      <w:lvlJc w:val="left"/>
      <w:pPr>
        <w:ind w:left="25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D700545"/>
    <w:multiLevelType w:val="hybridMultilevel"/>
    <w:tmpl w:val="AAAAAE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EA5452E"/>
    <w:multiLevelType w:val="hybridMultilevel"/>
    <w:tmpl w:val="8DD6CB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F6A5077"/>
    <w:multiLevelType w:val="hybridMultilevel"/>
    <w:tmpl w:val="DA5A5E38"/>
    <w:lvl w:ilvl="0">
      <w:start w:val="1"/>
      <w:numFmt w:val="decimal"/>
      <w:lvlText w:val="%1."/>
      <w:lvlJc w:val="left"/>
      <w:pPr>
        <w:ind w:left="2520" w:hanging="360"/>
      </w:pPr>
      <w:rPr>
        <w:rFonts w:hint="default"/>
      </w:rPr>
    </w:lvl>
    <w:lvl w:ilvl="1">
      <w:start w:val="1"/>
      <w:numFmt w:val="decimal"/>
      <w:lvlText w:val="%2."/>
      <w:lvlJc w:val="left"/>
      <w:pPr>
        <w:ind w:left="1179" w:hanging="360"/>
      </w:pPr>
      <w:rPr>
        <w:rFonts w:hint="default"/>
      </w:rPr>
    </w:lvl>
    <w:lvl w:ilvl="2" w:tentative="1">
      <w:start w:val="1"/>
      <w:numFmt w:val="lowerRoman"/>
      <w:lvlText w:val="%3."/>
      <w:lvlJc w:val="right"/>
      <w:pPr>
        <w:ind w:left="2619" w:hanging="180"/>
      </w:pPr>
    </w:lvl>
    <w:lvl w:ilvl="3" w:tentative="1">
      <w:start w:val="1"/>
      <w:numFmt w:val="decimal"/>
      <w:lvlText w:val="%4."/>
      <w:lvlJc w:val="left"/>
      <w:pPr>
        <w:ind w:left="3339" w:hanging="360"/>
      </w:pPr>
    </w:lvl>
    <w:lvl w:ilvl="4" w:tentative="1">
      <w:start w:val="1"/>
      <w:numFmt w:val="lowerLetter"/>
      <w:lvlText w:val="%5."/>
      <w:lvlJc w:val="left"/>
      <w:pPr>
        <w:ind w:left="4059" w:hanging="360"/>
      </w:pPr>
    </w:lvl>
    <w:lvl w:ilvl="5" w:tentative="1">
      <w:start w:val="1"/>
      <w:numFmt w:val="lowerRoman"/>
      <w:lvlText w:val="%6."/>
      <w:lvlJc w:val="right"/>
      <w:pPr>
        <w:ind w:left="4779" w:hanging="180"/>
      </w:pPr>
    </w:lvl>
    <w:lvl w:ilvl="6" w:tentative="1">
      <w:start w:val="1"/>
      <w:numFmt w:val="decimal"/>
      <w:lvlText w:val="%7."/>
      <w:lvlJc w:val="left"/>
      <w:pPr>
        <w:ind w:left="5499" w:hanging="360"/>
      </w:pPr>
    </w:lvl>
    <w:lvl w:ilvl="7" w:tentative="1">
      <w:start w:val="1"/>
      <w:numFmt w:val="lowerLetter"/>
      <w:lvlText w:val="%8."/>
      <w:lvlJc w:val="left"/>
      <w:pPr>
        <w:ind w:left="6219" w:hanging="360"/>
      </w:pPr>
    </w:lvl>
    <w:lvl w:ilvl="8" w:tentative="1">
      <w:start w:val="1"/>
      <w:numFmt w:val="lowerRoman"/>
      <w:lvlText w:val="%9."/>
      <w:lvlJc w:val="right"/>
      <w:pPr>
        <w:ind w:left="6939" w:hanging="180"/>
      </w:pPr>
    </w:lvl>
  </w:abstractNum>
  <w:abstractNum w:abstractNumId="12">
    <w:nsid w:val="21C009F1"/>
    <w:multiLevelType w:val="hybridMultilevel"/>
    <w:tmpl w:val="3B324D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BD969EB"/>
    <w:multiLevelType w:val="hybridMultilevel"/>
    <w:tmpl w:val="4236A570"/>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2EBE6EDD"/>
    <w:multiLevelType w:val="hybridMultilevel"/>
    <w:tmpl w:val="A730807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0850816"/>
    <w:multiLevelType w:val="hybridMultilevel"/>
    <w:tmpl w:val="299A42BC"/>
    <w:lvl w:ilvl="0">
      <w:start w:val="1"/>
      <w:numFmt w:val="decimal"/>
      <w:lvlText w:val="%1."/>
      <w:lvlJc w:val="left"/>
      <w:pPr>
        <w:ind w:left="2781" w:hanging="360"/>
      </w:pPr>
      <w:rPr>
        <w:rFonts w:hint="default"/>
      </w:rPr>
    </w:lvl>
    <w:lvl w:ilvl="1">
      <w:start w:val="1"/>
      <w:numFmt w:val="decimal"/>
      <w:suff w:val="nothing"/>
      <w:lvlText w:val="%2."/>
      <w:lvlJc w:val="left"/>
      <w:pPr>
        <w:ind w:left="227" w:hanging="227"/>
      </w:pPr>
      <w:rPr>
        <w:rFonts w:hint="default"/>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6">
    <w:nsid w:val="314A2C53"/>
    <w:multiLevelType w:val="hybridMultilevel"/>
    <w:tmpl w:val="39387C4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58D2610"/>
    <w:multiLevelType w:val="hybridMultilevel"/>
    <w:tmpl w:val="F6DAB1CE"/>
    <w:lvl w:ilvl="0">
      <w:start w:val="1"/>
      <w:numFmt w:val="decimal"/>
      <w:lvlText w:val="%1."/>
      <w:lvlJc w:val="left"/>
      <w:pPr>
        <w:ind w:left="2520" w:hanging="360"/>
      </w:p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18">
    <w:nsid w:val="3BCD6BEA"/>
    <w:multiLevelType w:val="hybridMultilevel"/>
    <w:tmpl w:val="90769BB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167425B"/>
    <w:multiLevelType w:val="hybridMultilevel"/>
    <w:tmpl w:val="4FAE5B18"/>
    <w:lvl w:ilvl="0">
      <w:start w:val="1"/>
      <w:numFmt w:val="decimal"/>
      <w:lvlText w:val="%1."/>
      <w:lvlJc w:val="left"/>
      <w:pPr>
        <w:ind w:left="2880" w:hanging="360"/>
      </w:pPr>
    </w:lvl>
    <w:lvl w:ilvl="1">
      <w:start w:val="1"/>
      <w:numFmt w:val="decimal"/>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0">
    <w:nsid w:val="47DB54BA"/>
    <w:multiLevelType w:val="hybridMultilevel"/>
    <w:tmpl w:val="47EC8DEC"/>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1">
    <w:nsid w:val="518928AE"/>
    <w:multiLevelType w:val="hybridMultilevel"/>
    <w:tmpl w:val="ECB0E008"/>
    <w:lvl w:ilvl="0">
      <w:start w:val="1"/>
      <w:numFmt w:val="decimal"/>
      <w:lvlText w:val="%1."/>
      <w:lvlJc w:val="left"/>
      <w:pPr>
        <w:ind w:left="2781"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2">
    <w:nsid w:val="523A3890"/>
    <w:multiLevelType w:val="hybridMultilevel"/>
    <w:tmpl w:val="4494720E"/>
    <w:lvl w:ilvl="0">
      <w:start w:val="1"/>
      <w:numFmt w:val="decimal"/>
      <w:lvlText w:val="%1."/>
      <w:lvlJc w:val="left"/>
      <w:pPr>
        <w:ind w:left="25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42969EE"/>
    <w:multiLevelType w:val="hybridMultilevel"/>
    <w:tmpl w:val="44BE77E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B8A10AA"/>
    <w:multiLevelType w:val="hybridMultilevel"/>
    <w:tmpl w:val="09B00B6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9716BFA"/>
    <w:multiLevelType w:val="hybridMultilevel"/>
    <w:tmpl w:val="3B90641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FDD30F2"/>
    <w:multiLevelType w:val="hybridMultilevel"/>
    <w:tmpl w:val="94B8C30C"/>
    <w:lvl w:ilvl="0">
      <w:start w:val="1"/>
      <w:numFmt w:val="decimal"/>
      <w:lvlText w:val="%1."/>
      <w:lvlJc w:val="left"/>
      <w:pPr>
        <w:ind w:left="2781" w:hanging="360"/>
      </w:pPr>
      <w:rPr>
        <w:rFonts w:hint="default"/>
      </w:rPr>
    </w:lvl>
    <w:lvl w:ilvl="1">
      <w:start w:val="1"/>
      <w:numFmt w:val="decimal"/>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7">
    <w:nsid w:val="71C97AEC"/>
    <w:multiLevelType w:val="hybridMultilevel"/>
    <w:tmpl w:val="87009964"/>
    <w:lvl w:ilvl="0">
      <w:start w:val="1"/>
      <w:numFmt w:val="decimal"/>
      <w:lvlText w:val="%1."/>
      <w:lvlJc w:val="left"/>
      <w:pPr>
        <w:ind w:left="2781"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8">
    <w:nsid w:val="780952C1"/>
    <w:multiLevelType w:val="hybridMultilevel"/>
    <w:tmpl w:val="23B2E6A8"/>
    <w:lvl w:ilvl="0">
      <w:start w:val="1"/>
      <w:numFmt w:val="decimal"/>
      <w:lvlText w:val="%1."/>
      <w:lvlJc w:val="left"/>
      <w:pPr>
        <w:ind w:left="2781"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9">
    <w:nsid w:val="7A1A1B31"/>
    <w:multiLevelType w:val="hybridMultilevel"/>
    <w:tmpl w:val="B2805E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BDC0B0F"/>
    <w:multiLevelType w:val="hybridMultilevel"/>
    <w:tmpl w:val="138094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C936352"/>
    <w:multiLevelType w:val="hybridMultilevel"/>
    <w:tmpl w:val="517EBC32"/>
    <w:lvl w:ilvl="0">
      <w:start w:val="1"/>
      <w:numFmt w:val="decimal"/>
      <w:lvlText w:val="%1."/>
      <w:lvlJc w:val="left"/>
      <w:pPr>
        <w:ind w:left="2781" w:hanging="360"/>
      </w:pPr>
      <w:rPr>
        <w:rFonts w:hint="default"/>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15"/>
  </w:num>
  <w:num w:numId="2">
    <w:abstractNumId w:val="31"/>
  </w:num>
  <w:num w:numId="3">
    <w:abstractNumId w:val="15"/>
    <w:lvlOverride w:ilvl="0">
      <w:lvl w:ilvl="0">
        <w:start w:val="1"/>
        <w:numFmt w:val="decimal"/>
        <w:lvlText w:val="%1."/>
        <w:lvlJc w:val="left"/>
        <w:pPr>
          <w:ind w:left="284" w:firstLine="1516"/>
        </w:pPr>
        <w:rPr>
          <w:rFonts w:hint="default"/>
        </w:r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4">
    <w:abstractNumId w:val="27"/>
  </w:num>
  <w:num w:numId="5">
    <w:abstractNumId w:val="15"/>
    <w:lvlOverride w:ilvl="0">
      <w:lvl w:ilvl="0">
        <w:start w:val="1"/>
        <w:numFmt w:val="decimal"/>
        <w:lvlText w:val="%1."/>
        <w:lvlJc w:val="left"/>
        <w:pPr>
          <w:ind w:left="0" w:firstLine="1800"/>
        </w:pPr>
        <w:rPr>
          <w:rFonts w:hint="default"/>
        </w:r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6">
    <w:abstractNumId w:val="24"/>
  </w:num>
  <w:num w:numId="7">
    <w:abstractNumId w:val="15"/>
    <w:lvlOverride w:ilvl="0">
      <w:lvl w:ilvl="0">
        <w:start w:val="1"/>
        <w:numFmt w:val="lowerLetter"/>
        <w:lvlText w:val="%1."/>
        <w:lvlJc w:val="left"/>
        <w:pPr>
          <w:ind w:left="1440" w:hanging="1156"/>
        </w:pPr>
        <w:rPr>
          <w:rFonts w:hint="default"/>
        </w:r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8">
    <w:abstractNumId w:val="15"/>
    <w:lvlOverride w:ilvl="0">
      <w:lvl w:ilvl="0">
        <w:start w:val="1"/>
        <w:numFmt w:val="lowerLetter"/>
        <w:lvlText w:val="%1."/>
        <w:lvlJc w:val="left"/>
        <w:pPr>
          <w:ind w:left="340" w:hanging="56"/>
        </w:pPr>
        <w:rPr>
          <w:rFonts w:hint="default"/>
        </w:r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9">
    <w:abstractNumId w:val="10"/>
  </w:num>
  <w:num w:numId="10">
    <w:abstractNumId w:val="6"/>
  </w:num>
  <w:num w:numId="11">
    <w:abstractNumId w:val="26"/>
  </w:num>
  <w:num w:numId="12">
    <w:abstractNumId w:val="18"/>
  </w:num>
  <w:num w:numId="13">
    <w:abstractNumId w:val="4"/>
  </w:num>
  <w:num w:numId="14">
    <w:abstractNumId w:val="16"/>
  </w:num>
  <w:num w:numId="15">
    <w:abstractNumId w:val="13"/>
  </w:num>
  <w:num w:numId="16">
    <w:abstractNumId w:val="14"/>
  </w:num>
  <w:num w:numId="17">
    <w:abstractNumId w:val="25"/>
  </w:num>
  <w:num w:numId="18">
    <w:abstractNumId w:val="20"/>
  </w:num>
  <w:num w:numId="19">
    <w:abstractNumId w:val="5"/>
  </w:num>
  <w:num w:numId="20">
    <w:abstractNumId w:val="0"/>
  </w:num>
  <w:num w:numId="21">
    <w:abstractNumId w:val="19"/>
  </w:num>
  <w:num w:numId="22">
    <w:abstractNumId w:val="7"/>
  </w:num>
  <w:num w:numId="23">
    <w:abstractNumId w:val="15"/>
    <w:lvlOverride w:ilvl="0">
      <w:lvl w:ilvl="0">
        <w:start w:val="1"/>
        <w:numFmt w:val="decimal"/>
        <w:lvlText w:val="%1."/>
        <w:lvlJc w:val="left"/>
        <w:pPr>
          <w:ind w:left="360" w:hanging="360"/>
        </w:pPr>
        <w:rPr>
          <w:rFonts w:hint="default"/>
        </w:r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24">
    <w:abstractNumId w:val="21"/>
  </w:num>
  <w:num w:numId="25">
    <w:abstractNumId w:val="15"/>
    <w:lvlOverride w:ilvl="0">
      <w:lvl w:ilvl="0">
        <w:start w:val="1"/>
        <w:numFmt w:val="decimal"/>
        <w:suff w:val="nothing"/>
        <w:lvlText w:val="%1."/>
        <w:lvlJc w:val="left"/>
        <w:pPr>
          <w:ind w:left="227" w:hanging="227"/>
        </w:pPr>
        <w:rPr>
          <w:rFonts w:hint="default"/>
        </w:r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26">
    <w:abstractNumId w:val="15"/>
    <w:lvlOverride w:ilvl="0">
      <w:lvl w:ilvl="0">
        <w:start w:val="1"/>
        <w:numFmt w:val="decimal"/>
        <w:suff w:val="nothing"/>
        <w:lvlText w:val="%1."/>
        <w:lvlJc w:val="left"/>
        <w:pPr>
          <w:ind w:left="227" w:hanging="227"/>
        </w:pPr>
        <w:rPr>
          <w:rFonts w:hint="default"/>
        </w:r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27">
    <w:abstractNumId w:val="17"/>
  </w:num>
  <w:num w:numId="28">
    <w:abstractNumId w:val="15"/>
    <w:lvlOverride w:ilvl="0">
      <w:lvl w:ilvl="0">
        <w:start w:val="1"/>
        <w:numFmt w:val="decimal"/>
        <w:suff w:val="nothing"/>
        <w:lvlText w:val="%1."/>
        <w:lvlJc w:val="left"/>
        <w:pPr>
          <w:ind w:left="227" w:hanging="227"/>
        </w:pPr>
        <w:rPr>
          <w:rFonts w:hint="default"/>
        </w:r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29">
    <w:abstractNumId w:val="1"/>
  </w:num>
  <w:num w:numId="30">
    <w:abstractNumId w:val="30"/>
  </w:num>
  <w:num w:numId="31">
    <w:abstractNumId w:val="3"/>
  </w:num>
  <w:num w:numId="32">
    <w:abstractNumId w:val="15"/>
    <w:lvlOverride w:ilvl="0">
      <w:lvl w:ilvl="0">
        <w:start w:val="1"/>
        <w:numFmt w:val="decimal"/>
        <w:suff w:val="space"/>
        <w:lvlText w:val="%1."/>
        <w:lvlJc w:val="left"/>
        <w:pPr>
          <w:ind w:left="227" w:hanging="227"/>
        </w:pPr>
        <w:rPr>
          <w:rFonts w:hint="default"/>
        </w:r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33">
    <w:abstractNumId w:val="28"/>
  </w:num>
  <w:num w:numId="34">
    <w:abstractNumId w:val="15"/>
    <w:lvlOverride w:ilvl="0">
      <w:lvl w:ilvl="0">
        <w:start w:val="1"/>
        <w:numFmt w:val="decimal"/>
        <w:suff w:val="nothing"/>
        <w:lvlText w:val="%1."/>
        <w:lvlJc w:val="left"/>
        <w:pPr>
          <w:ind w:left="227" w:hanging="227"/>
        </w:pPr>
        <w:rPr>
          <w:rFonts w:hint="default"/>
        </w:r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35">
    <w:abstractNumId w:val="11"/>
  </w:num>
  <w:num w:numId="36">
    <w:abstractNumId w:val="8"/>
  </w:num>
  <w:num w:numId="37">
    <w:abstractNumId w:val="22"/>
  </w:num>
  <w:num w:numId="38">
    <w:abstractNumId w:val="9"/>
  </w:num>
  <w:num w:numId="39">
    <w:abstractNumId w:val="2"/>
  </w:num>
  <w:num w:numId="40">
    <w:abstractNumId w:val="12"/>
  </w:num>
  <w:num w:numId="41">
    <w:abstractNumId w:val="23"/>
  </w:num>
  <w:num w:numId="42">
    <w:abstractNumId w:val="29"/>
  </w:num>
  <w:num w:numId="43">
    <w:abstractNumId w:val="3"/>
    <w:lvlOverride w:ilvl="0">
      <w:lvl w:ilvl="0">
        <w:start w:val="10"/>
        <w:numFmt w:val="decimal"/>
        <w:suff w:val="nothing"/>
        <w:lvlText w:val="%1."/>
        <w:lvlJc w:val="left"/>
        <w:pPr>
          <w:ind w:left="227" w:hanging="227"/>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874EF"/>
    <w:rPr>
      <w:rFonts w:eastAsiaTheme="minorEastAsia"/>
    </w:rPr>
  </w:style>
  <w:style w:type="paragraph" w:styleId="Heading1">
    <w:name w:val="heading 1"/>
    <w:basedOn w:val="Normal"/>
    <w:next w:val="Normal"/>
    <w:link w:val="Heading1Char"/>
    <w:uiPriority w:val="9"/>
    <w:qFormat/>
    <w:rsid w:val="00187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7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7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7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7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74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74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74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74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7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7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7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7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7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7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7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74EF"/>
    <w:rPr>
      <w:rFonts w:eastAsiaTheme="majorEastAsia" w:cstheme="majorBidi"/>
      <w:color w:val="272727" w:themeColor="text1" w:themeTint="D8"/>
    </w:rPr>
  </w:style>
  <w:style w:type="paragraph" w:styleId="Title">
    <w:name w:val="Title"/>
    <w:basedOn w:val="Normal"/>
    <w:next w:val="Normal"/>
    <w:link w:val="TitleChar"/>
    <w:uiPriority w:val="10"/>
    <w:qFormat/>
    <w:rsid w:val="00187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7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74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7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74EF"/>
    <w:pPr>
      <w:spacing w:before="160"/>
      <w:jc w:val="center"/>
    </w:pPr>
    <w:rPr>
      <w:i/>
      <w:iCs/>
      <w:color w:val="404040" w:themeColor="text1" w:themeTint="BF"/>
    </w:rPr>
  </w:style>
  <w:style w:type="character" w:customStyle="1" w:styleId="QuoteChar">
    <w:name w:val="Quote Char"/>
    <w:basedOn w:val="DefaultParagraphFont"/>
    <w:link w:val="Quote"/>
    <w:uiPriority w:val="29"/>
    <w:rsid w:val="001874EF"/>
    <w:rPr>
      <w:i/>
      <w:iCs/>
      <w:color w:val="404040" w:themeColor="text1" w:themeTint="BF"/>
    </w:rPr>
  </w:style>
  <w:style w:type="paragraph" w:styleId="ListParagraph">
    <w:name w:val="List Paragraph"/>
    <w:basedOn w:val="Normal"/>
    <w:uiPriority w:val="34"/>
    <w:qFormat/>
    <w:rsid w:val="001874EF"/>
    <w:pPr>
      <w:ind w:left="720"/>
      <w:contextualSpacing/>
    </w:pPr>
  </w:style>
  <w:style w:type="character" w:styleId="IntenseEmphasis">
    <w:name w:val="Intense Emphasis"/>
    <w:basedOn w:val="DefaultParagraphFont"/>
    <w:uiPriority w:val="21"/>
    <w:qFormat/>
    <w:rsid w:val="001874EF"/>
    <w:rPr>
      <w:i/>
      <w:iCs/>
      <w:color w:val="0F4761" w:themeColor="accent1" w:themeShade="BF"/>
    </w:rPr>
  </w:style>
  <w:style w:type="paragraph" w:styleId="IntenseQuote">
    <w:name w:val="Intense Quote"/>
    <w:basedOn w:val="Normal"/>
    <w:next w:val="Normal"/>
    <w:link w:val="IntenseQuoteChar"/>
    <w:uiPriority w:val="30"/>
    <w:qFormat/>
    <w:rsid w:val="00187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74EF"/>
    <w:rPr>
      <w:i/>
      <w:iCs/>
      <w:color w:val="0F4761" w:themeColor="accent1" w:themeShade="BF"/>
    </w:rPr>
  </w:style>
  <w:style w:type="character" w:styleId="IntenseReference">
    <w:name w:val="Intense Reference"/>
    <w:basedOn w:val="DefaultParagraphFont"/>
    <w:uiPriority w:val="32"/>
    <w:qFormat/>
    <w:rsid w:val="001874EF"/>
    <w:rPr>
      <w:b/>
      <w:bCs/>
      <w:smallCaps/>
      <w:color w:val="0F4761" w:themeColor="accent1" w:themeShade="BF"/>
      <w:spacing w:val="5"/>
    </w:rPr>
  </w:style>
  <w:style w:type="paragraph" w:styleId="Header">
    <w:name w:val="header"/>
    <w:basedOn w:val="Normal"/>
    <w:link w:val="HeaderChar"/>
    <w:uiPriority w:val="99"/>
    <w:unhideWhenUsed/>
    <w:rsid w:val="001874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74EF"/>
    <w:rPr>
      <w:rFonts w:eastAsiaTheme="minorEastAsia"/>
    </w:rPr>
  </w:style>
  <w:style w:type="paragraph" w:styleId="Footer">
    <w:name w:val="footer"/>
    <w:basedOn w:val="Normal"/>
    <w:link w:val="FooterChar"/>
    <w:uiPriority w:val="99"/>
    <w:unhideWhenUsed/>
    <w:rsid w:val="001874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74EF"/>
    <w:rPr>
      <w:rFonts w:eastAsiaTheme="minorEastAsia"/>
    </w:rPr>
  </w:style>
  <w:style w:type="paragraph" w:styleId="NoSpacing">
    <w:name w:val="No Spacing"/>
    <w:uiPriority w:val="1"/>
    <w:qFormat/>
    <w:rsid w:val="001874EF"/>
    <w:pPr>
      <w:spacing w:after="0" w:line="240" w:lineRule="auto"/>
      <w:jc w:val="both"/>
    </w:pPr>
    <w:rPr>
      <w:rFonts w:ascii="Calibri" w:eastAsia="Times New Roman" w:hAnsi="Calibri" w:cs="Calibri"/>
      <w:kern w:val="0"/>
      <w:sz w:val="22"/>
      <w:szCs w:val="22"/>
      <w:lang w:eastAsia="en-GB"/>
    </w:rPr>
  </w:style>
  <w:style w:type="character" w:styleId="Hyperlink">
    <w:name w:val="Hyperlink"/>
    <w:basedOn w:val="DefaultParagraphFont"/>
    <w:uiPriority w:val="99"/>
    <w:unhideWhenUsed/>
    <w:rsid w:val="001874EF"/>
    <w:rPr>
      <w:color w:val="467886" w:themeColor="hyperlink"/>
      <w:u w:val="single"/>
    </w:rPr>
  </w:style>
  <w:style w:type="character" w:customStyle="1" w:styleId="UnresolvedMention1">
    <w:name w:val="Unresolved Mention1"/>
    <w:basedOn w:val="DefaultParagraphFont"/>
    <w:uiPriority w:val="99"/>
    <w:semiHidden/>
    <w:unhideWhenUsed/>
    <w:rsid w:val="001874EF"/>
    <w:rPr>
      <w:color w:val="605E5C"/>
      <w:shd w:val="clear" w:color="auto" w:fill="E1DFDD"/>
    </w:rPr>
  </w:style>
  <w:style w:type="character" w:styleId="CommentReference">
    <w:name w:val="annotation reference"/>
    <w:basedOn w:val="DefaultParagraphFont"/>
    <w:uiPriority w:val="99"/>
    <w:semiHidden/>
    <w:unhideWhenUsed/>
    <w:rsid w:val="0050313A"/>
    <w:rPr>
      <w:sz w:val="16"/>
      <w:szCs w:val="16"/>
    </w:rPr>
  </w:style>
  <w:style w:type="paragraph" w:styleId="CommentText">
    <w:name w:val="annotation text"/>
    <w:basedOn w:val="Normal"/>
    <w:link w:val="CommentTextChar"/>
    <w:uiPriority w:val="99"/>
    <w:unhideWhenUsed/>
    <w:rsid w:val="0050313A"/>
    <w:pPr>
      <w:spacing w:line="240" w:lineRule="auto"/>
    </w:pPr>
    <w:rPr>
      <w:sz w:val="20"/>
      <w:szCs w:val="20"/>
    </w:rPr>
  </w:style>
  <w:style w:type="character" w:customStyle="1" w:styleId="CommentTextChar">
    <w:name w:val="Comment Text Char"/>
    <w:basedOn w:val="DefaultParagraphFont"/>
    <w:link w:val="CommentText"/>
    <w:uiPriority w:val="99"/>
    <w:rsid w:val="0050313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0313A"/>
    <w:rPr>
      <w:b/>
      <w:bCs/>
    </w:rPr>
  </w:style>
  <w:style w:type="character" w:customStyle="1" w:styleId="CommentSubjectChar">
    <w:name w:val="Comment Subject Char"/>
    <w:basedOn w:val="CommentTextChar"/>
    <w:link w:val="CommentSubject"/>
    <w:uiPriority w:val="99"/>
    <w:semiHidden/>
    <w:rsid w:val="0050313A"/>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_dlc_DocId xmlns="70d2f4a9-7027-4c8b-acc6-1861eab93b19">JRFZP62N7HVT-2044078101-1580</_dlc_DocId>
    <TransfertoArchives xmlns="4600776d-0a3c-44b4-bff2-0ceaafb13046">false</TransfertoArchives>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Written Evidence - Unpublished</TermName>
          <TermId xmlns="http://schemas.microsoft.com/office/infopath/2007/PartnerControls">0be253cd-a155-4ec9-872a-26fd359e68f0</TermId>
        </TermInfo>
      </Terms>
    </c10fc15a1e374d7faacfa4b870e47730>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New Towns: Bricks and Mortar</TermName>
          <TermId xmlns="http://schemas.microsoft.com/office/infopath/2007/PartnerControls">f8c7e7a8-34b4-42c2-8a32-8ac970a121ac</TermId>
        </TermInfo>
      </Terms>
    </edc898bf3bb343549b83ac391d519ef2>
    <k5b153ee974a4a57a7568e533217f2cb xmlns="4600776d-0a3c-44b4-bff2-0ceaafb13046">
      <Terms xmlns="http://schemas.microsoft.com/office/infopath/2007/PartnerControls"/>
    </k5b153ee974a4a57a7568e533217f2cb>
    <Meeting_x0020_Date xmlns="70d2f4a9-7027-4c8b-acc6-1861eab93b19">2026-07-20T23:00:00+00:00</Meeting_x0020_Date>
    <RetentionTriggerDate xmlns="4600776d-0a3c-44b4-bff2-0ceaafb1304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70d2f4a9-7027-4c8b-acc6-1861eab93b19">
      <Url>https://hopuk.sharepoint.com/sites/hlc-builtenviro/_layouts/15/DocIdRedir.aspx?ID=JRFZP62N7HVT-2044078101-1580</Url>
      <Description>JRFZP62N7HVT-2044078101-1580</Description>
    </_dlc_DocIdUrl>
    <RecordNumber xmlns="4600776d-0a3c-44b4-bff2-0ceaafb13046" xsi:nil="true"/>
    <Document_x0020_Status1 xmlns="70d2f4a9-7027-4c8b-acc6-1861eab93b19">N/A</Document_x0020_Status1>
    <g3ef09377e3444258679b6035a1ff93a xmlns="4600776d-0a3c-44b4-bff2-0ceaafb13046">
      <Terms xmlns="http://schemas.microsoft.com/office/infopath/2007/PartnerControls"/>
    </g3ef09377e3444258679b6035a1ff93a>
    <TaxCatchAll xmlns="4600776d-0a3c-44b4-bff2-0ceaafb13046">
      <Value>104</Value>
      <Value>54</Value>
      <Value>5</Value>
      <Value>2</Value>
      <Value>105</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2" ma:contentTypeDescription="Create a new document." ma:contentTypeScope="" ma:versionID="bede8a6e59b9cf804aae913f3ec8a661">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ca367f0a5b7fc8a502817a0af1300ca0"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104;#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CFFFBA3A-582E-4E39-9781-416CBA8CA5F7}">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2.xml><?xml version="1.0" encoding="utf-8"?>
<ds:datastoreItem xmlns:ds="http://schemas.openxmlformats.org/officeDocument/2006/customXml" ds:itemID="{15EF915D-3171-437E-B977-1EA816651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D4FA3C-FF4F-44E7-B291-BF399C5AC696}">
  <ds:schemaRefs>
    <ds:schemaRef ds:uri="http://schemas.microsoft.com/sharepoint/events"/>
  </ds:schemaRefs>
</ds:datastoreItem>
</file>

<file path=customXml/itemProps4.xml><?xml version="1.0" encoding="utf-8"?>
<ds:datastoreItem xmlns:ds="http://schemas.openxmlformats.org/officeDocument/2006/customXml" ds:itemID="{3B178A56-D73D-4F81-8A74-6EF6B481EBA4}">
  <ds:schemaRefs>
    <ds:schemaRef ds:uri="http://schemas.microsoft.com/sharepoint/v3/contenttype/forms"/>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NTB0022</dc:title>
  <cp:revision>0</cp:revision>
</cp:coreProperties>
</file>