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7E8D" w:rsidRPr="00A97E8D" w:rsidP="009D0ABB">
      <w:pPr>
        <w:ind w:left="357" w:hanging="357"/>
        <w:rPr>
          <w:rFonts w:ascii="Verdana" w:hAnsi="Verdana" w:cs="Arial"/>
          <w:b/>
          <w:bCs/>
          <w:sz w:val="28"/>
          <w:szCs w:val="28"/>
        </w:rPr>
      </w:pPr>
      <w:r w:rsidRPr="00A97E8D">
        <w:rPr>
          <w:rFonts w:ascii="Verdana" w:hAnsi="Verdana" w:cs="Arial"/>
          <w:b/>
          <w:bCs/>
          <w:sz w:val="28"/>
          <w:szCs w:val="28"/>
        </w:rPr>
        <w:t>BioClock</w:t>
      </w:r>
      <w:r w:rsidR="00C103A5">
        <w:rPr>
          <w:rFonts w:ascii="Verdana" w:hAnsi="Verdana" w:cs="Arial"/>
          <w:b/>
          <w:bCs/>
          <w:sz w:val="28"/>
          <w:szCs w:val="28"/>
        </w:rPr>
        <w:t>s</w:t>
      </w:r>
      <w:r w:rsidR="00943568">
        <w:rPr>
          <w:rFonts w:ascii="Verdana" w:hAnsi="Verdana" w:cs="Arial"/>
          <w:b/>
          <w:bCs/>
          <w:sz w:val="28"/>
          <w:szCs w:val="28"/>
        </w:rPr>
        <w:t xml:space="preserve"> UK </w:t>
      </w:r>
      <w:r w:rsidRPr="00A97E8D">
        <w:rPr>
          <w:rFonts w:ascii="Verdana" w:hAnsi="Verdana" w:cs="Arial"/>
          <w:b/>
          <w:bCs/>
          <w:sz w:val="28"/>
          <w:szCs w:val="28"/>
        </w:rPr>
        <w:t xml:space="preserve"> – Written evidence (NTB0019)</w:t>
      </w:r>
    </w:p>
    <w:p w:rsidR="002175C0" w:rsidRPr="00A97E8D" w:rsidP="009D0ABB">
      <w:pPr>
        <w:ind w:left="357" w:hanging="357"/>
        <w:rPr>
          <w:rFonts w:ascii="Verdana" w:hAnsi="Verdana" w:cs="Arial"/>
        </w:rPr>
      </w:pPr>
      <w:r w:rsidRPr="00A97E8D">
        <w:rPr>
          <w:rFonts w:ascii="Verdana" w:hAnsi="Verdana" w:cs="Arial"/>
          <w:b/>
          <w:bCs/>
        </w:rPr>
        <w:t>Introduction</w:t>
      </w:r>
    </w:p>
    <w:p w:rsidR="002175C0" w:rsidRPr="00A97E8D" w:rsidP="009D0ABB">
      <w:pPr>
        <w:pStyle w:val="ListParagraph"/>
        <w:numPr>
          <w:ilvl w:val="0"/>
          <w:numId w:val="3"/>
        </w:numPr>
        <w:ind w:left="357" w:hanging="357"/>
        <w:contextualSpacing w:val="0"/>
        <w:rPr>
          <w:rFonts w:ascii="Verdana" w:hAnsi="Verdana" w:cs="Arial"/>
        </w:rPr>
      </w:pPr>
      <w:r w:rsidRPr="00A97E8D">
        <w:rPr>
          <w:rFonts w:ascii="Verdana" w:hAnsi="Verdana" w:cs="Arial"/>
        </w:rPr>
        <w:t>BioClocks UK is a UKRI-BBSRC funded network of UK scientists working on biological rhythms. These rhythms are relevant to the health and survival of all organisms, including human beings and wildlife in ecosystems that we depend upon. The evidence submitted here reflects relevant evidence from across the field of chronobiology.</w:t>
      </w:r>
    </w:p>
    <w:p w:rsidR="002175C0" w:rsidRPr="00A97E8D" w:rsidP="009D0ABB">
      <w:pPr>
        <w:ind w:left="357" w:hanging="357"/>
        <w:rPr>
          <w:rFonts w:ascii="Verdana" w:hAnsi="Verdana" w:cs="Arial"/>
          <w:b/>
          <w:bCs/>
        </w:rPr>
      </w:pPr>
      <w:r w:rsidRPr="00A97E8D">
        <w:rPr>
          <w:rFonts w:ascii="Verdana" w:hAnsi="Verdana" w:cs="Arial"/>
          <w:b/>
          <w:bCs/>
        </w:rPr>
        <w:t>Contributions</w:t>
      </w:r>
    </w:p>
    <w:p w:rsidR="002175C0" w:rsidRPr="00A97E8D" w:rsidP="009D0ABB">
      <w:pPr>
        <w:pStyle w:val="ListParagraph"/>
        <w:numPr>
          <w:ilvl w:val="0"/>
          <w:numId w:val="3"/>
        </w:numPr>
        <w:ind w:left="357" w:hanging="357"/>
        <w:contextualSpacing w:val="0"/>
        <w:rPr>
          <w:rFonts w:ascii="Verdana" w:hAnsi="Verdana" w:cs="Arial"/>
        </w:rPr>
      </w:pPr>
      <w:r w:rsidRPr="00A97E8D">
        <w:rPr>
          <w:rFonts w:ascii="Verdana" w:hAnsi="Verdana" w:cs="Arial"/>
        </w:rPr>
        <w:t>Special thanks to Professor Robert Lucas and the Centre for Biological Timing at the University of Manchester for guidance and contribution to this submission.</w:t>
      </w:r>
    </w:p>
    <w:p w:rsidR="002175C0" w:rsidRPr="00A97E8D" w:rsidP="00071561">
      <w:pPr>
        <w:rPr>
          <w:rFonts w:ascii="Verdana" w:hAnsi="Verdana" w:cs="Arial"/>
          <w:b/>
          <w:bCs/>
        </w:rPr>
      </w:pPr>
      <w:r w:rsidRPr="00A97E8D">
        <w:rPr>
          <w:rFonts w:ascii="Verdana" w:hAnsi="Verdana" w:cs="Arial"/>
          <w:b/>
          <w:bCs/>
        </w:rPr>
        <w:t>Response to Question 6</w:t>
      </w:r>
      <w:r w:rsidRPr="00A97E8D">
        <w:rPr>
          <w:rFonts w:ascii="Verdana" w:hAnsi="Verdana" w:cs="Arial"/>
          <w:b/>
          <w:bCs/>
        </w:rPr>
        <w:br/>
        <w:t>How can we ensure that new towns and expanded settlements are delivered to a high-quality standard that go beyond minimum expectations for construction and demonstrates best practice for sustainability, aesthetics and place-making?</w:t>
      </w:r>
    </w:p>
    <w:p w:rsidR="002175C0" w:rsidRPr="00A97E8D" w:rsidP="009D0ABB">
      <w:pPr>
        <w:ind w:left="357" w:hanging="357"/>
        <w:rPr>
          <w:rFonts w:ascii="Verdana" w:hAnsi="Verdana" w:cs="Arial"/>
          <w:b/>
          <w:bCs/>
        </w:rPr>
      </w:pPr>
      <w:r w:rsidRPr="00A97E8D">
        <w:rPr>
          <w:rFonts w:ascii="Verdana" w:hAnsi="Verdana" w:cs="Arial"/>
          <w:b/>
          <w:bCs/>
        </w:rPr>
        <w:t>Summary Response</w:t>
      </w:r>
    </w:p>
    <w:p w:rsidR="00071561" w:rsidRPr="00E1383A" w:rsidP="00071561">
      <w:pPr>
        <w:pStyle w:val="ListParagraph"/>
        <w:numPr>
          <w:ilvl w:val="0"/>
          <w:numId w:val="3"/>
        </w:numPr>
        <w:ind w:left="357" w:hanging="357"/>
        <w:contextualSpacing w:val="0"/>
        <w:rPr>
          <w:rFonts w:ascii="Verdana" w:hAnsi="Verdana"/>
        </w:rPr>
      </w:pPr>
      <w:r w:rsidRPr="00E1383A">
        <w:rPr>
          <w:rFonts w:ascii="Verdana" w:hAnsi="Verdana"/>
        </w:rPr>
        <w:t>BioClocks UK recommends that lighting in new towns be deliberately designed and utilised to improve health and reduce effects on local ecosystems. Guidance for this is already published and experts are open to consultation on devising new frameworks and recommendations.</w:t>
      </w:r>
    </w:p>
    <w:p w:rsidR="002175C0" w:rsidRPr="00071561" w:rsidP="00071561">
      <w:pPr>
        <w:ind w:left="357" w:hanging="357"/>
        <w:rPr>
          <w:rFonts w:ascii="Verdana" w:hAnsi="Verdana"/>
          <w:b/>
        </w:rPr>
      </w:pPr>
      <w:r w:rsidRPr="00071561">
        <w:rPr>
          <w:rFonts w:ascii="Verdana" w:hAnsi="Verdana"/>
          <w:b/>
        </w:rPr>
        <w:t>Full Response</w:t>
      </w:r>
    </w:p>
    <w:p w:rsidR="002175C0" w:rsidRPr="00071561" w:rsidP="00514658">
      <w:pPr>
        <w:pStyle w:val="ListParagraph"/>
        <w:ind w:left="0"/>
        <w:contextualSpacing w:val="0"/>
        <w:rPr>
          <w:rFonts w:ascii="Verdana" w:hAnsi="Verdana"/>
          <w:i/>
        </w:rPr>
      </w:pPr>
      <w:r w:rsidRPr="00514658">
        <w:rPr>
          <w:rFonts w:ascii="Verdana" w:hAnsi="Verdana" w:cs="Arial"/>
          <w:i/>
        </w:rPr>
        <w:t>Lighting</w:t>
      </w:r>
      <w:r w:rsidRPr="00071561">
        <w:rPr>
          <w:rFonts w:ascii="Verdana" w:hAnsi="Verdana"/>
          <w:i/>
        </w:rPr>
        <w:t xml:space="preserve"> has biological effects.</w:t>
      </w:r>
    </w:p>
    <w:p w:rsidR="002175C0" w:rsidRPr="00A97E8D" w:rsidP="00071561">
      <w:pPr>
        <w:pStyle w:val="ListParagraph"/>
        <w:numPr>
          <w:ilvl w:val="0"/>
          <w:numId w:val="3"/>
        </w:numPr>
        <w:ind w:left="357" w:hanging="357"/>
        <w:contextualSpacing w:val="0"/>
        <w:rPr>
          <w:rFonts w:ascii="Verdana" w:hAnsi="Verdana" w:cs="Arial"/>
        </w:rPr>
      </w:pPr>
      <w:r w:rsidRPr="00A97E8D">
        <w:rPr>
          <w:rFonts w:ascii="Verdana" w:hAnsi="Verdana" w:cs="Arial"/>
        </w:rPr>
        <w:t>Lighting is an integral part of urban planning: it plays a role in health, security, aesthetics and sustainability. Light pollution, on the other hand, is a growing issue of international concern</w:t>
      </w:r>
      <w:r>
        <w:rPr>
          <w:rStyle w:val="FootnoteReference"/>
          <w:rFonts w:ascii="Verdana" w:hAnsi="Verdana" w:cs="Arial"/>
        </w:rPr>
        <w:footnoteReference w:id="2"/>
      </w:r>
      <w:r w:rsidRPr="00A97E8D">
        <w:rPr>
          <w:rFonts w:ascii="Verdana" w:hAnsi="Verdana" w:cs="Arial"/>
        </w:rPr>
        <w:t xml:space="preserve"> Striking the right balance is not straightforward, but it is achievable with careful consideration.</w:t>
      </w:r>
    </w:p>
    <w:p w:rsidR="002175C0" w:rsidRPr="00A97E8D" w:rsidP="00071561">
      <w:pPr>
        <w:pStyle w:val="ListParagraph"/>
        <w:numPr>
          <w:ilvl w:val="0"/>
          <w:numId w:val="3"/>
        </w:numPr>
        <w:ind w:left="357" w:hanging="357"/>
        <w:contextualSpacing w:val="0"/>
        <w:rPr>
          <w:rFonts w:ascii="Verdana" w:hAnsi="Verdana" w:cs="Arial"/>
        </w:rPr>
      </w:pPr>
      <w:r w:rsidRPr="00A97E8D">
        <w:rPr>
          <w:rFonts w:ascii="Verdana" w:hAnsi="Verdana" w:cs="Arial"/>
        </w:rPr>
        <w:t xml:space="preserve">Good lighting is not simply a matter of brightness, wavelength is equally important </w:t>
      </w:r>
      <w:r>
        <w:rPr>
          <w:rStyle w:val="FootnoteReference"/>
          <w:rFonts w:ascii="Verdana" w:hAnsi="Verdana" w:cs="Arial"/>
        </w:rPr>
        <w:footnoteReference w:id="3"/>
      </w:r>
      <w:r w:rsidRPr="00500E7B">
        <w:rPr>
          <w:rFonts w:ascii="Verdana" w:hAnsi="Verdana" w:cs="Arial"/>
        </w:rPr>
        <w:t>,</w:t>
      </w:r>
      <w:r w:rsidRPr="00A97E8D">
        <w:rPr>
          <w:rFonts w:ascii="Verdana" w:hAnsi="Verdana" w:cs="Arial"/>
        </w:rPr>
        <w:t xml:space="preserve"> as it determines how light is perceived and how the body responds to it. As well as looking good and enabling us to see at night, light has an incredible impact upon the biological rhythms of humans and wildlife. Humans are equipped with multiple receptors in our eyes which receive light; some of these are involved in vision, while others are transmitting this </w:t>
      </w:r>
      <w:r w:rsidRPr="00A97E8D">
        <w:rPr>
          <w:rFonts w:ascii="Verdana" w:hAnsi="Verdana" w:cs="Arial"/>
        </w:rPr>
        <w:t>lighting information to a part of the brain that is then responsible for regulating our entire physiology. This biological response to lighting is such a fundamental feature of life that it can be seen in almost all living organisms. In recent years, the scientific understanding of how light affects these rhythms has advanced considerably, placing the UK in a strong position to align its building practices with the evidence. It is essential that lighting in new towns is designed to be fit for purpose from both a health and sustainability perspective. Failing to do so would represent an avoidable and preventable hazard to both human residents and local ecosystems.</w:t>
      </w:r>
    </w:p>
    <w:p w:rsidR="002175C0" w:rsidRPr="00500E7B" w:rsidP="00514658">
      <w:pPr>
        <w:pStyle w:val="ListParagraph"/>
        <w:ind w:left="0"/>
        <w:contextualSpacing w:val="0"/>
        <w:rPr>
          <w:rFonts w:ascii="Verdana" w:hAnsi="Verdana" w:cs="Arial"/>
          <w:i/>
        </w:rPr>
      </w:pPr>
      <w:r w:rsidRPr="00500E7B">
        <w:rPr>
          <w:rFonts w:ascii="Verdana" w:hAnsi="Verdana" w:cs="Arial"/>
          <w:i/>
        </w:rPr>
        <w:t>Light impacts whole ecosystems.</w:t>
      </w:r>
    </w:p>
    <w:p w:rsidR="002175C0" w:rsidRPr="00A97E8D" w:rsidP="00500E7B">
      <w:pPr>
        <w:pStyle w:val="ListParagraph"/>
        <w:numPr>
          <w:ilvl w:val="0"/>
          <w:numId w:val="3"/>
        </w:numPr>
        <w:contextualSpacing w:val="0"/>
        <w:rPr>
          <w:rFonts w:ascii="Verdana" w:hAnsi="Verdana" w:cs="Arial"/>
        </w:rPr>
      </w:pPr>
      <w:r w:rsidRPr="00A97E8D">
        <w:rPr>
          <w:rFonts w:ascii="Verdana" w:hAnsi="Verdana" w:cs="Arial"/>
        </w:rPr>
        <w:t xml:space="preserve">The impact on ecosystems is particularly widespread. Many species depend on biological rhythms for processes essential to their survival. For wildlife, artificial light at night is not a minor issue, it is a significant disruptor, capable of impairing navigation, changing reproductive behaviour, and altering the composition of entire communities </w:t>
      </w:r>
      <w:r>
        <w:rPr>
          <w:rStyle w:val="FootnoteReference"/>
          <w:rFonts w:ascii="Verdana" w:hAnsi="Verdana" w:cs="Arial"/>
        </w:rPr>
        <w:footnoteReference w:id="4"/>
      </w:r>
    </w:p>
    <w:p w:rsidR="002175C0" w:rsidRPr="00500E7B" w:rsidP="00514658">
      <w:pPr>
        <w:pStyle w:val="ListParagraph"/>
        <w:ind w:left="0"/>
        <w:contextualSpacing w:val="0"/>
        <w:rPr>
          <w:rFonts w:ascii="Verdana" w:hAnsi="Verdana" w:cs="Arial"/>
          <w:i/>
        </w:rPr>
      </w:pPr>
      <w:r w:rsidRPr="00500E7B">
        <w:rPr>
          <w:rFonts w:ascii="Verdana" w:hAnsi="Verdana" w:cs="Arial"/>
          <w:i/>
        </w:rPr>
        <w:t>Light impacts human health.</w:t>
      </w:r>
    </w:p>
    <w:p w:rsidR="002175C0" w:rsidRPr="00A97E8D" w:rsidP="00E81862">
      <w:pPr>
        <w:pStyle w:val="ListParagraph"/>
        <w:numPr>
          <w:ilvl w:val="0"/>
          <w:numId w:val="3"/>
        </w:numPr>
        <w:ind w:left="357" w:hanging="357"/>
        <w:contextualSpacing w:val="0"/>
        <w:rPr>
          <w:rFonts w:ascii="Verdana" w:hAnsi="Verdana" w:cs="Arial"/>
        </w:rPr>
      </w:pPr>
      <w:r w:rsidRPr="00A97E8D">
        <w:rPr>
          <w:rFonts w:ascii="Verdana" w:hAnsi="Verdana" w:cs="Arial"/>
        </w:rPr>
        <w:t xml:space="preserve">In humans, the precise impact of outdoor light at night is difficult to quantify, but a substantial body of epidemiological evidence links night-time light exposure to a range of adverse health outcomes including certain cancers </w:t>
      </w:r>
      <w:r>
        <w:rPr>
          <w:rStyle w:val="FootnoteReference"/>
          <w:rFonts w:ascii="Verdana" w:hAnsi="Verdana" w:cs="Arial"/>
        </w:rPr>
        <w:footnoteReference w:id="5"/>
      </w:r>
      <w:r w:rsidRPr="00500E7B">
        <w:rPr>
          <w:rFonts w:ascii="Verdana" w:hAnsi="Verdana" w:cs="Arial"/>
        </w:rPr>
        <w:t xml:space="preserve">, </w:t>
      </w:r>
      <w:r w:rsidRPr="00FB1567">
        <w:rPr>
          <w:rFonts w:ascii="Verdana" w:hAnsi="Verdana" w:cs="Arial"/>
        </w:rPr>
        <w:t>diometabolic</w:t>
      </w:r>
      <w:r w:rsidRPr="00A97E8D">
        <w:rPr>
          <w:rFonts w:ascii="Verdana" w:hAnsi="Verdana" w:cs="Arial"/>
        </w:rPr>
        <w:t xml:space="preserve"> disease </w:t>
      </w:r>
      <w:r>
        <w:rPr>
          <w:rStyle w:val="FootnoteReference"/>
          <w:rFonts w:ascii="Verdana" w:hAnsi="Verdana" w:cs="Arial"/>
        </w:rPr>
        <w:footnoteReference w:id="6"/>
      </w:r>
      <w:r w:rsidRPr="00FB1567">
        <w:rPr>
          <w:rFonts w:ascii="Verdana" w:hAnsi="Verdana" w:cs="Arial"/>
        </w:rPr>
        <w:t>,</w:t>
      </w:r>
      <w:r w:rsidRPr="00A97E8D">
        <w:rPr>
          <w:rFonts w:ascii="Verdana" w:hAnsi="Verdana" w:cs="Arial"/>
        </w:rPr>
        <w:t xml:space="preserve"> and poor sleep </w:t>
      </w:r>
      <w:r>
        <w:rPr>
          <w:rStyle w:val="FootnoteReference"/>
          <w:rFonts w:ascii="Verdana" w:hAnsi="Verdana" w:cs="Arial"/>
        </w:rPr>
        <w:footnoteReference w:id="7"/>
      </w:r>
      <w:r w:rsidRPr="00FB1567">
        <w:rPr>
          <w:rFonts w:ascii="Verdana" w:hAnsi="Verdana" w:cs="Arial"/>
        </w:rPr>
        <w:t>.</w:t>
      </w:r>
      <w:r w:rsidRPr="00A97E8D">
        <w:rPr>
          <w:rFonts w:ascii="Verdana" w:hAnsi="Verdana" w:cs="Arial"/>
        </w:rPr>
        <w:t xml:space="preserve"> More widely, there appears to be a correlation linking ‘brighter nights and darker days’ to overall mortality </w:t>
      </w:r>
      <w:r>
        <w:rPr>
          <w:rStyle w:val="FootnoteReference"/>
          <w:rFonts w:ascii="Verdana" w:hAnsi="Verdana" w:cs="Arial"/>
        </w:rPr>
        <w:footnoteReference w:id="8"/>
      </w:r>
    </w:p>
    <w:p w:rsidR="002175C0" w:rsidRPr="00A97E8D" w:rsidP="00D26A22">
      <w:pPr>
        <w:pStyle w:val="ListParagraph"/>
        <w:numPr>
          <w:ilvl w:val="0"/>
          <w:numId w:val="3"/>
        </w:numPr>
        <w:ind w:left="357" w:hanging="357"/>
        <w:contextualSpacing w:val="0"/>
        <w:rPr>
          <w:rFonts w:ascii="Verdana" w:hAnsi="Verdana" w:cs="Arial"/>
        </w:rPr>
      </w:pPr>
      <w:r w:rsidRPr="00A97E8D">
        <w:rPr>
          <w:rFonts w:ascii="Verdana" w:hAnsi="Verdana" w:cs="Arial"/>
        </w:rPr>
        <w:t>Good lighting practices should extend into the day. Buildings designed to let in natural light indoors and at street-level complement our biological rhythms, promote healthy internal timing, and reduce some of the effects associated with night-time light exposure. As such, ensuring that new towns are constructed with natural light in mind is another major consideration in the drive to build good health into the community.</w:t>
      </w:r>
    </w:p>
    <w:p w:rsidR="002175C0" w:rsidP="00D26A22">
      <w:pPr>
        <w:pStyle w:val="ListParagraph"/>
        <w:ind w:left="357" w:hanging="357"/>
        <w:contextualSpacing w:val="0"/>
        <w:rPr>
          <w:rFonts w:ascii="Verdana" w:hAnsi="Verdana" w:cs="Arial"/>
          <w:i/>
        </w:rPr>
      </w:pPr>
      <w:r w:rsidRPr="00500E7B">
        <w:rPr>
          <w:rFonts w:ascii="Verdana" w:hAnsi="Verdana" w:cs="Arial"/>
          <w:i/>
        </w:rPr>
        <w:t>Light is a well-established national concern.</w:t>
      </w:r>
    </w:p>
    <w:p w:rsidR="002175C0" w:rsidRPr="00A97E8D" w:rsidP="00D26A22">
      <w:pPr>
        <w:pStyle w:val="ListParagraph"/>
        <w:numPr>
          <w:ilvl w:val="0"/>
          <w:numId w:val="3"/>
        </w:numPr>
        <w:ind w:left="357" w:hanging="357"/>
        <w:contextualSpacing w:val="0"/>
        <w:rPr>
          <w:rFonts w:ascii="Verdana" w:hAnsi="Verdana" w:cs="Arial"/>
        </w:rPr>
      </w:pPr>
      <w:r w:rsidRPr="00A97E8D">
        <w:rPr>
          <w:rFonts w:ascii="Verdana" w:hAnsi="Verdana" w:cs="Arial"/>
        </w:rPr>
        <w:t xml:space="preserve">Notably, artificial light at night has been discussed as a hazard of concern in a recent House of Lords inquiry </w:t>
      </w:r>
      <w:r>
        <w:rPr>
          <w:rStyle w:val="FootnoteReference"/>
          <w:rFonts w:ascii="Verdana" w:hAnsi="Verdana" w:cs="Arial"/>
        </w:rPr>
        <w:footnoteReference w:id="9"/>
      </w:r>
      <w:r w:rsidRPr="00A97E8D">
        <w:rPr>
          <w:rFonts w:ascii="Verdana" w:hAnsi="Verdana" w:cs="Arial"/>
        </w:rPr>
        <w:t xml:space="preserve"> The building of new towns is a timely opportunity to ensure current practices go on to reflect the evidence.</w:t>
      </w:r>
    </w:p>
    <w:p w:rsidR="002175C0" w:rsidRPr="00A97E8D" w:rsidP="00D26A22">
      <w:pPr>
        <w:pStyle w:val="ListParagraph"/>
        <w:ind w:left="357" w:hanging="357"/>
        <w:contextualSpacing w:val="0"/>
        <w:rPr>
          <w:rFonts w:ascii="Verdana" w:hAnsi="Verdana" w:cs="Arial"/>
        </w:rPr>
      </w:pPr>
      <w:r w:rsidRPr="00A97E8D">
        <w:rPr>
          <w:rFonts w:ascii="Verdana" w:hAnsi="Verdana" w:cs="Arial"/>
          <w:b/>
          <w:bCs/>
        </w:rPr>
        <w:t>Actionable Steps</w:t>
      </w:r>
    </w:p>
    <w:p w:rsidR="002175C0" w:rsidRPr="00A97E8D" w:rsidP="00D26A22">
      <w:pPr>
        <w:pStyle w:val="ListParagraph"/>
        <w:numPr>
          <w:ilvl w:val="0"/>
          <w:numId w:val="17"/>
        </w:numPr>
        <w:ind w:left="357" w:hanging="357"/>
        <w:contextualSpacing w:val="0"/>
        <w:rPr>
          <w:rFonts w:ascii="Verdana" w:hAnsi="Verdana" w:cs="Arial"/>
        </w:rPr>
      </w:pPr>
      <w:r w:rsidRPr="00A97E8D">
        <w:rPr>
          <w:rFonts w:ascii="Verdana" w:hAnsi="Verdana" w:cs="Arial"/>
        </w:rPr>
        <w:t>Formally recognise artificial light at night and light pollution as a harm to be mitigated in the building of new towns.</w:t>
      </w:r>
    </w:p>
    <w:p w:rsidR="002175C0" w:rsidRPr="00A97E8D" w:rsidP="00D26A22">
      <w:pPr>
        <w:pStyle w:val="ListParagraph"/>
        <w:numPr>
          <w:ilvl w:val="0"/>
          <w:numId w:val="17"/>
        </w:numPr>
        <w:ind w:left="357" w:hanging="357"/>
        <w:contextualSpacing w:val="0"/>
        <w:rPr>
          <w:rFonts w:ascii="Verdana" w:hAnsi="Verdana" w:cs="Arial"/>
        </w:rPr>
      </w:pPr>
      <w:r w:rsidRPr="00A97E8D">
        <w:rPr>
          <w:rFonts w:ascii="Verdana" w:hAnsi="Verdana" w:cs="Arial"/>
        </w:rPr>
        <w:t>Consult lighting and biological rhythm experts in the development of guidance, frameworks and recommendations involved in building new towns.</w:t>
      </w:r>
    </w:p>
    <w:p w:rsidR="002175C0" w:rsidRPr="00A97E8D" w:rsidP="00D26A22">
      <w:pPr>
        <w:pStyle w:val="ListParagraph"/>
        <w:numPr>
          <w:ilvl w:val="0"/>
          <w:numId w:val="17"/>
        </w:numPr>
        <w:ind w:left="357" w:hanging="357"/>
        <w:contextualSpacing w:val="0"/>
        <w:rPr>
          <w:rFonts w:ascii="Verdana" w:hAnsi="Verdana" w:cs="Arial"/>
        </w:rPr>
      </w:pPr>
      <w:r w:rsidRPr="00A97E8D">
        <w:rPr>
          <w:rFonts w:ascii="Verdana" w:hAnsi="Verdana" w:cs="Arial"/>
        </w:rPr>
        <w:t xml:space="preserve">Utilise recently developed international standards and guidance </w:t>
      </w:r>
      <w:r w:rsidRPr="00B011C6" w:rsidR="008702A2">
        <w:rPr>
          <w:rFonts w:ascii="Verdana" w:hAnsi="Verdana" w:cs="Arial"/>
        </w:rPr>
        <w:t xml:space="preserve"> </w:t>
      </w:r>
      <w:r w:rsidRPr="00A97E8D">
        <w:rPr>
          <w:rFonts w:ascii="Verdana" w:hAnsi="Verdana" w:cs="Arial"/>
        </w:rPr>
        <w:t xml:space="preserve"> to actively consider the biological effects of different </w:t>
      </w:r>
      <w:r w:rsidRPr="00A97E8D">
        <w:rPr>
          <w:rFonts w:ascii="Verdana" w:hAnsi="Verdana" w:cs="Arial"/>
        </w:rPr>
        <w:t>lighting, and</w:t>
      </w:r>
      <w:r w:rsidRPr="00A97E8D">
        <w:rPr>
          <w:rFonts w:ascii="Verdana" w:hAnsi="Verdana" w:cs="Arial"/>
        </w:rPr>
        <w:t xml:space="preserve"> take a deliberate harm-reduction approach to light selection.</w:t>
      </w:r>
    </w:p>
    <w:p w:rsidR="002175C0" w:rsidRPr="00A97E8D" w:rsidP="00D26A22">
      <w:pPr>
        <w:pStyle w:val="ListParagraph"/>
        <w:numPr>
          <w:ilvl w:val="0"/>
          <w:numId w:val="17"/>
        </w:numPr>
        <w:ind w:left="357" w:hanging="357"/>
        <w:contextualSpacing w:val="0"/>
        <w:rPr>
          <w:rFonts w:ascii="Verdana" w:hAnsi="Verdana" w:cs="Arial"/>
        </w:rPr>
      </w:pPr>
      <w:r w:rsidRPr="00A97E8D">
        <w:rPr>
          <w:rFonts w:ascii="Verdana" w:hAnsi="Verdana" w:cs="Arial"/>
        </w:rPr>
        <w:t>Introduce strict guidance on artificial light at night as a further harm-reduction measure, prioritising the restriction of light to the places and times where it is required.</w:t>
      </w:r>
    </w:p>
    <w:p w:rsidR="002175C0" w:rsidRPr="00FB1567" w:rsidP="00FB1567">
      <w:pPr>
        <w:ind w:left="357" w:hanging="357"/>
        <w:rPr>
          <w:rFonts w:ascii="Verdana" w:hAnsi="Verdana" w:cs="Arial"/>
          <w:b/>
        </w:rPr>
      </w:pPr>
      <w:r w:rsidRPr="00A67A01">
        <w:rPr>
          <w:rFonts w:ascii="Verdana" w:hAnsi="Verdana" w:cs="Arial"/>
          <w:i/>
          <w:iCs/>
        </w:rPr>
        <w:t>13 July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F4C09">
      <w:pPr>
        <w:spacing w:after="0" w:line="240" w:lineRule="auto"/>
      </w:pPr>
      <w:r>
        <w:separator/>
      </w:r>
    </w:p>
  </w:footnote>
  <w:footnote w:type="continuationSeparator" w:id="1">
    <w:p w:rsidR="001F4C09">
      <w:pPr>
        <w:spacing w:after="0" w:line="240" w:lineRule="auto"/>
      </w:pPr>
      <w:r>
        <w:continuationSeparator/>
      </w:r>
    </w:p>
  </w:footnote>
  <w:footnote w:id="2">
    <w:p w:rsidR="005908CF" w:rsidRPr="00B437FF" w:rsidP="00B437FF">
      <w:pPr>
        <w:spacing w:after="40"/>
        <w:rPr>
          <w:rFonts w:ascii="Verdana" w:hAnsi="Verdana" w:cs="Arial"/>
          <w:sz w:val="18"/>
          <w:szCs w:val="18"/>
        </w:rPr>
      </w:pPr>
      <w:r w:rsidRPr="00BB75FE">
        <w:rPr>
          <w:rStyle w:val="FootnoteReference"/>
          <w:rFonts w:ascii="Verdana" w:hAnsi="Verdana"/>
          <w:sz w:val="18"/>
          <w:szCs w:val="18"/>
        </w:rPr>
        <w:footnoteRef/>
      </w:r>
      <w:r w:rsidRPr="00B437FF">
        <w:rPr>
          <w:rFonts w:ascii="Verdana" w:hAnsi="Verdana"/>
          <w:sz w:val="18"/>
          <w:szCs w:val="18"/>
        </w:rPr>
        <w:t xml:space="preserve"> </w:t>
      </w:r>
      <w:r w:rsidRPr="00B437FF">
        <w:rPr>
          <w:rFonts w:ascii="Verdana" w:hAnsi="Verdana" w:cs="Arial"/>
          <w:sz w:val="18"/>
          <w:szCs w:val="18"/>
        </w:rPr>
        <w:t xml:space="preserve">Linares Arroyo H, Abascal A, Degen T, </w:t>
      </w:r>
      <w:r w:rsidRPr="00B437FF">
        <w:rPr>
          <w:rFonts w:ascii="Verdana" w:hAnsi="Verdana" w:cs="Arial"/>
          <w:sz w:val="18"/>
          <w:szCs w:val="18"/>
        </w:rPr>
        <w:t>Aubé</w:t>
      </w:r>
      <w:r w:rsidRPr="00B437FF">
        <w:rPr>
          <w:rFonts w:ascii="Verdana" w:hAnsi="Verdana" w:cs="Arial"/>
          <w:sz w:val="18"/>
          <w:szCs w:val="18"/>
        </w:rPr>
        <w:t xml:space="preserve"> M, Espey BR, Gyuk G, </w:t>
      </w:r>
      <w:r w:rsidRPr="00B437FF">
        <w:rPr>
          <w:rFonts w:ascii="Verdana" w:hAnsi="Verdana" w:cs="Arial"/>
          <w:sz w:val="18"/>
          <w:szCs w:val="18"/>
        </w:rPr>
        <w:t>Hölker</w:t>
      </w:r>
      <w:r w:rsidRPr="00B437FF">
        <w:rPr>
          <w:rFonts w:ascii="Verdana" w:hAnsi="Verdana" w:cs="Arial"/>
          <w:sz w:val="18"/>
          <w:szCs w:val="18"/>
        </w:rPr>
        <w:t xml:space="preserve"> F, </w:t>
      </w:r>
      <w:r w:rsidRPr="00B437FF">
        <w:rPr>
          <w:rFonts w:ascii="Verdana" w:hAnsi="Verdana" w:cs="Arial"/>
          <w:sz w:val="18"/>
          <w:szCs w:val="18"/>
        </w:rPr>
        <w:t>Jechow</w:t>
      </w:r>
      <w:r w:rsidRPr="00B437FF">
        <w:rPr>
          <w:rFonts w:ascii="Verdana" w:hAnsi="Verdana" w:cs="Arial"/>
          <w:sz w:val="18"/>
          <w:szCs w:val="18"/>
        </w:rPr>
        <w:t xml:space="preserve"> A, Kuffer M, Sánchez De Miguel A, Simoneau A, Walczak K, Kyba CCM. Monitoring, trends and impacts of light pollution. </w:t>
      </w:r>
      <w:r w:rsidRPr="00B437FF">
        <w:rPr>
          <w:rFonts w:ascii="Verdana" w:hAnsi="Verdana" w:cs="Arial"/>
          <w:i/>
          <w:iCs/>
          <w:sz w:val="18"/>
          <w:szCs w:val="18"/>
        </w:rPr>
        <w:t>Nat Rev Earth Environ</w:t>
      </w:r>
      <w:r w:rsidRPr="00B437FF">
        <w:rPr>
          <w:rFonts w:ascii="Verdana" w:hAnsi="Verdana" w:cs="Arial"/>
          <w:sz w:val="18"/>
          <w:szCs w:val="18"/>
        </w:rPr>
        <w:t xml:space="preserve">. 2024;5(6):417-430. doi:10.1038/s43017-024-00555-9 </w:t>
      </w:r>
    </w:p>
  </w:footnote>
  <w:footnote w:id="3">
    <w:p w:rsidR="006030DE" w:rsidRPr="00B437FF" w:rsidP="00B437FF">
      <w:pPr>
        <w:spacing w:after="40"/>
        <w:rPr>
          <w:rFonts w:ascii="Verdana" w:hAnsi="Verdana" w:cs="Arial"/>
          <w:sz w:val="18"/>
          <w:szCs w:val="18"/>
        </w:rPr>
      </w:pPr>
      <w:r w:rsidRPr="00BB75FE">
        <w:rPr>
          <w:rStyle w:val="FootnoteReference"/>
          <w:rFonts w:ascii="Verdana" w:hAnsi="Verdana"/>
          <w:sz w:val="18"/>
          <w:szCs w:val="18"/>
        </w:rPr>
        <w:footnoteRef/>
      </w:r>
      <w:r w:rsidRPr="00B437FF">
        <w:rPr>
          <w:rFonts w:ascii="Verdana" w:hAnsi="Verdana"/>
          <w:sz w:val="18"/>
          <w:szCs w:val="18"/>
        </w:rPr>
        <w:t xml:space="preserve"> </w:t>
      </w:r>
      <w:r w:rsidRPr="00B437FF">
        <w:rPr>
          <w:rFonts w:ascii="Verdana" w:hAnsi="Verdana" w:cs="Arial"/>
          <w:sz w:val="18"/>
          <w:szCs w:val="18"/>
        </w:rPr>
        <w:t xml:space="preserve">Lucas RJ, Brown TM, Brainard G, </w:t>
      </w:r>
      <w:r w:rsidRPr="00B437FF">
        <w:rPr>
          <w:rFonts w:ascii="Verdana" w:hAnsi="Verdana" w:cs="Arial"/>
          <w:sz w:val="18"/>
          <w:szCs w:val="18"/>
        </w:rPr>
        <w:t>Didikoglu</w:t>
      </w:r>
      <w:r w:rsidRPr="00B437FF">
        <w:rPr>
          <w:rFonts w:ascii="Verdana" w:hAnsi="Verdana" w:cs="Arial"/>
          <w:sz w:val="18"/>
          <w:szCs w:val="18"/>
        </w:rPr>
        <w:t xml:space="preserve"> A, </w:t>
      </w:r>
      <w:r w:rsidRPr="00B437FF">
        <w:rPr>
          <w:rFonts w:ascii="Verdana" w:hAnsi="Verdana" w:cs="Arial"/>
          <w:sz w:val="18"/>
          <w:szCs w:val="18"/>
        </w:rPr>
        <w:t>Dominoni</w:t>
      </w:r>
      <w:r w:rsidRPr="00B437FF">
        <w:rPr>
          <w:rFonts w:ascii="Verdana" w:hAnsi="Verdana" w:cs="Arial"/>
          <w:sz w:val="18"/>
          <w:szCs w:val="18"/>
        </w:rPr>
        <w:t xml:space="preserve"> DM, Franklin KA, Gaston KJ, Hegemann P, </w:t>
      </w:r>
      <w:r w:rsidRPr="00B437FF">
        <w:rPr>
          <w:rFonts w:ascii="Verdana" w:hAnsi="Verdana" w:cs="Arial"/>
          <w:sz w:val="18"/>
          <w:szCs w:val="18"/>
        </w:rPr>
        <w:t>Hölker</w:t>
      </w:r>
      <w:r w:rsidRPr="00B437FF">
        <w:rPr>
          <w:rFonts w:ascii="Verdana" w:hAnsi="Verdana" w:cs="Arial"/>
          <w:sz w:val="18"/>
          <w:szCs w:val="18"/>
        </w:rPr>
        <w:t xml:space="preserve"> F, </w:t>
      </w:r>
      <w:r w:rsidRPr="00B437FF">
        <w:rPr>
          <w:rFonts w:ascii="Verdana" w:hAnsi="Verdana" w:cs="Arial"/>
          <w:sz w:val="18"/>
          <w:szCs w:val="18"/>
        </w:rPr>
        <w:t>Jechow</w:t>
      </w:r>
      <w:r w:rsidRPr="00B437FF">
        <w:rPr>
          <w:rFonts w:ascii="Verdana" w:hAnsi="Verdana" w:cs="Arial"/>
          <w:sz w:val="18"/>
          <w:szCs w:val="18"/>
        </w:rPr>
        <w:t xml:space="preserve"> A, Knopp E, Kyba CM, Longcore T, Maggi E, Nilsson DE, </w:t>
      </w:r>
      <w:r w:rsidRPr="00B437FF">
        <w:rPr>
          <w:rFonts w:ascii="Verdana" w:hAnsi="Verdana" w:cs="Arial"/>
          <w:sz w:val="18"/>
          <w:szCs w:val="18"/>
        </w:rPr>
        <w:t>Obein</w:t>
      </w:r>
      <w:r w:rsidRPr="00B437FF">
        <w:rPr>
          <w:rFonts w:ascii="Verdana" w:hAnsi="Verdana" w:cs="Arial"/>
          <w:sz w:val="18"/>
          <w:szCs w:val="18"/>
        </w:rPr>
        <w:t xml:space="preserve"> G, Roberts NW, Seymoure B, Spoelstra K, Thorns P, Hut RA. Biological spectral sensitivity functions for measuring and managing light at night. Preprint posted online April 21, 2026. doi:10.20944/preprints</w:t>
      </w:r>
      <w:r w:rsidRPr="00B437FF">
        <w:rPr>
          <w:rFonts w:ascii="Verdana" w:hAnsi="Verdana" w:cs="Arial"/>
          <w:sz w:val="18"/>
          <w:szCs w:val="18"/>
        </w:rPr>
        <w:t>202604.1368.v</w:t>
      </w:r>
      <w:r w:rsidRPr="00B437FF">
        <w:rPr>
          <w:rFonts w:ascii="Verdana" w:hAnsi="Verdana" w:cs="Arial"/>
          <w:sz w:val="18"/>
          <w:szCs w:val="18"/>
        </w:rPr>
        <w:t>1</w:t>
      </w:r>
    </w:p>
    <w:p w:rsidR="006030DE">
      <w:pPr>
        <w:pStyle w:val="FootnoteText"/>
      </w:pPr>
    </w:p>
  </w:footnote>
  <w:footnote w:id="4">
    <w:p w:rsidR="00435AB4" w:rsidRPr="00AF0121" w:rsidP="0070258E">
      <w:pPr>
        <w:pStyle w:val="FootnoteText"/>
        <w:spacing w:after="144" w:afterLines="60" w:line="259" w:lineRule="auto"/>
        <w:rPr>
          <w:rFonts w:ascii="Verdana" w:hAnsi="Verdana"/>
          <w:sz w:val="18"/>
          <w:szCs w:val="18"/>
        </w:rPr>
      </w:pPr>
      <w:r w:rsidRPr="00AF0121">
        <w:rPr>
          <w:rStyle w:val="FootnoteReference"/>
          <w:rFonts w:ascii="Verdana" w:hAnsi="Verdana"/>
          <w:sz w:val="18"/>
          <w:szCs w:val="18"/>
        </w:rPr>
        <w:footnoteRef/>
      </w:r>
      <w:r w:rsidRPr="00AF0121">
        <w:rPr>
          <w:rFonts w:ascii="Verdana" w:hAnsi="Verdana"/>
          <w:sz w:val="18"/>
          <w:szCs w:val="18"/>
        </w:rPr>
        <w:t>Sanders D, Frago E, Kehoe R, Patterson C, Gaston KJ. A meta-analysis of biological impacts of artificial light at night. Nat Ecol Evol. 2020;5(1):74-81. doi:10.1038/s41559-020-01322-x</w:t>
      </w:r>
      <w:r w:rsidRPr="00AF0121" w:rsidR="007A38B6">
        <w:rPr>
          <w:rFonts w:ascii="Verdana" w:hAnsi="Verdana"/>
          <w:sz w:val="18"/>
          <w:szCs w:val="18"/>
        </w:rPr>
        <w:t xml:space="preserve"> and </w:t>
      </w:r>
      <w:r w:rsidRPr="00AF0121" w:rsidR="000976C4">
        <w:rPr>
          <w:rFonts w:ascii="Verdana" w:hAnsi="Verdana"/>
          <w:sz w:val="18"/>
          <w:szCs w:val="18"/>
        </w:rPr>
        <w:t xml:space="preserve">Meah RJ, Sumner-Rooney L, Venables SV, Lloyd-How ST, Massy R, Hawkes WLS, Daly IM, Smithers SP, Wotton KR, Roberts NW. Light pollution creates multiple threats to the movement ecology of nocturnal arthropod taxa. Current Biology. 2026;36(2):541-548.e4. </w:t>
      </w:r>
      <w:r w:rsidRPr="00AF0121" w:rsidR="000976C4">
        <w:rPr>
          <w:rFonts w:ascii="Verdana" w:hAnsi="Verdana"/>
          <w:sz w:val="18"/>
          <w:szCs w:val="18"/>
        </w:rPr>
        <w:t>doi:10.1016/j.cub</w:t>
      </w:r>
      <w:r w:rsidRPr="00AF0121" w:rsidR="000976C4">
        <w:rPr>
          <w:rFonts w:ascii="Verdana" w:hAnsi="Verdana"/>
          <w:sz w:val="18"/>
          <w:szCs w:val="18"/>
        </w:rPr>
        <w:t>.2025.11.055.</w:t>
      </w:r>
    </w:p>
  </w:footnote>
  <w:footnote w:id="5">
    <w:p w:rsidR="000E3A95" w:rsidRPr="00AF0121" w:rsidP="0070258E">
      <w:pPr>
        <w:pStyle w:val="FootnoteText"/>
        <w:spacing w:after="144" w:afterLines="60" w:line="259" w:lineRule="auto"/>
        <w:rPr>
          <w:rFonts w:ascii="Verdana" w:hAnsi="Verdana"/>
          <w:sz w:val="18"/>
          <w:szCs w:val="18"/>
        </w:rPr>
      </w:pPr>
      <w:r w:rsidRPr="00AF0121">
        <w:rPr>
          <w:rFonts w:ascii="Verdana" w:hAnsi="Verdana"/>
          <w:sz w:val="18"/>
          <w:szCs w:val="18"/>
          <w:vertAlign w:val="superscript"/>
        </w:rPr>
        <w:footnoteRef/>
      </w:r>
      <w:r w:rsidRPr="00AF0121">
        <w:rPr>
          <w:rFonts w:ascii="Verdana" w:hAnsi="Verdana"/>
          <w:sz w:val="18"/>
          <w:szCs w:val="18"/>
        </w:rPr>
        <w:t xml:space="preserve"> Palomar-Cros A, Deprato A, Papantoniou K, Straif K, Lacy P, Maidstone R, Adan A, Haldar P, Moitra S, Navarro JF, Durrington H, Moitra S, </w:t>
      </w:r>
      <w:r w:rsidRPr="00AF0121">
        <w:rPr>
          <w:rFonts w:ascii="Verdana" w:hAnsi="Verdana"/>
          <w:sz w:val="18"/>
          <w:szCs w:val="18"/>
        </w:rPr>
        <w:t>Kogevinas</w:t>
      </w:r>
      <w:r w:rsidRPr="00AF0121">
        <w:rPr>
          <w:rFonts w:ascii="Verdana" w:hAnsi="Verdana"/>
          <w:sz w:val="18"/>
          <w:szCs w:val="18"/>
        </w:rPr>
        <w:t xml:space="preserve"> M, Harding BN. Indoor and outdoor artificial light-at-night (Alan) and cancer risk: A systematic review and meta-analysis of multiple cancer sites and with a critical appraisal of exposure assessment. Science of The Total Environment. </w:t>
      </w:r>
      <w:r w:rsidRPr="00AF0121">
        <w:rPr>
          <w:rFonts w:ascii="Verdana" w:hAnsi="Verdana"/>
          <w:sz w:val="18"/>
          <w:szCs w:val="18"/>
        </w:rPr>
        <w:t>2024;955:177059</w:t>
      </w:r>
      <w:r w:rsidRPr="00AF0121">
        <w:rPr>
          <w:rFonts w:ascii="Verdana" w:hAnsi="Verdana"/>
          <w:sz w:val="18"/>
          <w:szCs w:val="18"/>
        </w:rPr>
        <w:t xml:space="preserve">. </w:t>
      </w:r>
      <w:r w:rsidRPr="00AF0121">
        <w:rPr>
          <w:rFonts w:ascii="Verdana" w:hAnsi="Verdana"/>
          <w:sz w:val="18"/>
          <w:szCs w:val="18"/>
        </w:rPr>
        <w:t>doi:10.1016/j.scitotenv</w:t>
      </w:r>
      <w:r w:rsidRPr="00AF0121">
        <w:rPr>
          <w:rFonts w:ascii="Verdana" w:hAnsi="Verdana"/>
          <w:sz w:val="18"/>
          <w:szCs w:val="18"/>
        </w:rPr>
        <w:t>.2024.177059</w:t>
      </w:r>
      <w:r w:rsidRPr="00AF0121" w:rsidR="00652356">
        <w:rPr>
          <w:rFonts w:ascii="Verdana" w:hAnsi="Verdana"/>
          <w:sz w:val="18"/>
          <w:szCs w:val="18"/>
        </w:rPr>
        <w:t xml:space="preserve"> and</w:t>
      </w:r>
      <w:r w:rsidRPr="00AF0121" w:rsidR="00E91602">
        <w:rPr>
          <w:rFonts w:ascii="Verdana" w:hAnsi="Verdana"/>
          <w:sz w:val="18"/>
          <w:szCs w:val="18"/>
        </w:rPr>
        <w:t xml:space="preserve"> see</w:t>
      </w:r>
      <w:r w:rsidRPr="00AF0121" w:rsidR="00652356">
        <w:rPr>
          <w:rFonts w:ascii="Verdana" w:hAnsi="Verdana"/>
          <w:sz w:val="18"/>
          <w:szCs w:val="18"/>
        </w:rPr>
        <w:t xml:space="preserve"> </w:t>
      </w:r>
      <w:r w:rsidRPr="00AF0121" w:rsidR="008362A8">
        <w:rPr>
          <w:rFonts w:ascii="Verdana" w:hAnsi="Verdana"/>
          <w:sz w:val="18"/>
          <w:szCs w:val="18"/>
        </w:rPr>
        <w:t xml:space="preserve">Ma S, </w:t>
      </w:r>
      <w:r w:rsidRPr="00AF0121" w:rsidR="008362A8">
        <w:rPr>
          <w:rFonts w:ascii="Verdana" w:hAnsi="Verdana"/>
          <w:sz w:val="18"/>
          <w:szCs w:val="18"/>
        </w:rPr>
        <w:t>Alsabawi</w:t>
      </w:r>
      <w:r w:rsidRPr="00AF0121" w:rsidR="008362A8">
        <w:rPr>
          <w:rFonts w:ascii="Verdana" w:hAnsi="Verdana"/>
          <w:sz w:val="18"/>
          <w:szCs w:val="18"/>
        </w:rPr>
        <w:t xml:space="preserve"> Y, El-Serag HB, Thrift AP. Exposure to light at night and risk of cancer: a systematic review, meta-analysis, and data synthesis. Cancers. 2024;16(15):2653. doi:10.3390/cancers16152653</w:t>
      </w:r>
    </w:p>
  </w:footnote>
  <w:footnote w:id="6">
    <w:p w:rsidR="001A24AE" w:rsidRPr="00AF0121" w:rsidP="0070258E">
      <w:pPr>
        <w:spacing w:after="60"/>
        <w:rPr>
          <w:rFonts w:ascii="Verdana" w:hAnsi="Verdana" w:cs="Arial"/>
          <w:noProof/>
          <w:sz w:val="18"/>
          <w:szCs w:val="18"/>
        </w:rPr>
      </w:pPr>
      <w:r w:rsidRPr="00AF0121">
        <w:rPr>
          <w:rStyle w:val="FootnoteReference"/>
          <w:rFonts w:ascii="Verdana" w:hAnsi="Verdana"/>
          <w:sz w:val="18"/>
          <w:szCs w:val="18"/>
        </w:rPr>
        <w:footnoteRef/>
      </w:r>
      <w:r w:rsidRPr="00AF0121">
        <w:rPr>
          <w:rFonts w:ascii="Verdana" w:hAnsi="Verdana"/>
          <w:sz w:val="18"/>
          <w:szCs w:val="18"/>
        </w:rPr>
        <w:t xml:space="preserve"> </w:t>
      </w:r>
      <w:r w:rsidRPr="00AF0121">
        <w:rPr>
          <w:rFonts w:ascii="Verdana" w:hAnsi="Verdana" w:cs="Arial"/>
          <w:noProof/>
          <w:sz w:val="18"/>
          <w:szCs w:val="18"/>
        </w:rPr>
        <w:t>Palomar-Cros A, Espinosa A, Bará S, Sánchez A, Valentín A, Cirach M, Castaño-Vinyals G, Papantoniou K, Blay N, De Cid R, Romaguera D, Kogevinas M, Harding BN. Outdoor artificial light-at-night and cardiometabolic disease risk: an urban perspective from the Catalan GCAT cohort study. </w:t>
      </w:r>
      <w:r w:rsidRPr="00AF0121">
        <w:rPr>
          <w:rFonts w:ascii="Verdana" w:hAnsi="Verdana" w:cs="Arial"/>
          <w:i/>
          <w:iCs/>
          <w:noProof/>
          <w:sz w:val="18"/>
          <w:szCs w:val="18"/>
        </w:rPr>
        <w:t>American Journal of Epidemiology</w:t>
      </w:r>
      <w:r w:rsidRPr="00AF0121">
        <w:rPr>
          <w:rFonts w:ascii="Verdana" w:hAnsi="Verdana" w:cs="Arial"/>
          <w:noProof/>
          <w:sz w:val="18"/>
          <w:szCs w:val="18"/>
        </w:rPr>
        <w:t xml:space="preserve">. 2025;194(4):963-974. doi:10.1093/aje/kwae269 </w:t>
      </w:r>
      <w:r w:rsidRPr="00AF0121" w:rsidR="00830646">
        <w:rPr>
          <w:rFonts w:ascii="Verdana" w:hAnsi="Verdana" w:cs="Arial"/>
          <w:noProof/>
          <w:sz w:val="18"/>
          <w:szCs w:val="18"/>
        </w:rPr>
        <w:t xml:space="preserve"> and </w:t>
      </w:r>
      <w:r w:rsidRPr="00AF0121" w:rsidR="00E91602">
        <w:rPr>
          <w:rFonts w:ascii="Verdana" w:hAnsi="Verdana" w:cs="Arial"/>
          <w:noProof/>
          <w:sz w:val="18"/>
          <w:szCs w:val="18"/>
        </w:rPr>
        <w:t>see</w:t>
      </w:r>
      <w:r w:rsidRPr="00AF0121" w:rsidR="00231835">
        <w:rPr>
          <w:rFonts w:ascii="Verdana" w:hAnsi="Verdana" w:cs="Arial"/>
          <w:noProof/>
          <w:sz w:val="18"/>
          <w:szCs w:val="18"/>
        </w:rPr>
        <w:t xml:space="preserve"> Fan M, Yuan J, Zhang S, Fu Q, Lu D, Wang Q, Xie H, Gao H. Association between outdoor artificial light at night and metabolic diseases in middle-aged to older adults—the CHARLS survey. </w:t>
      </w:r>
      <w:r w:rsidRPr="00AF0121" w:rsidR="00231835">
        <w:rPr>
          <w:rFonts w:ascii="Verdana" w:hAnsi="Verdana" w:cs="Arial"/>
          <w:i/>
          <w:iCs/>
          <w:noProof/>
          <w:sz w:val="18"/>
          <w:szCs w:val="18"/>
        </w:rPr>
        <w:t>Front Public Health</w:t>
      </w:r>
      <w:r w:rsidRPr="00AF0121" w:rsidR="00231835">
        <w:rPr>
          <w:rFonts w:ascii="Verdana" w:hAnsi="Verdana" w:cs="Arial"/>
          <w:noProof/>
          <w:sz w:val="18"/>
          <w:szCs w:val="18"/>
        </w:rPr>
        <w:t>. 2025;13:1515597. doi:10.3389/fpubh.2025.1515597.</w:t>
      </w:r>
    </w:p>
  </w:footnote>
  <w:footnote w:id="7">
    <w:p w:rsidR="00882F48" w:rsidRPr="00AF0121" w:rsidP="00D26A22">
      <w:pPr>
        <w:spacing w:after="60"/>
        <w:rPr>
          <w:rFonts w:ascii="Verdana" w:hAnsi="Verdana" w:cs="Arial"/>
          <w:noProof/>
          <w:sz w:val="18"/>
          <w:szCs w:val="18"/>
        </w:rPr>
      </w:pPr>
      <w:r w:rsidRPr="00AF0121">
        <w:rPr>
          <w:rStyle w:val="FootnoteReference"/>
          <w:rFonts w:ascii="Verdana" w:hAnsi="Verdana"/>
          <w:sz w:val="18"/>
          <w:szCs w:val="18"/>
        </w:rPr>
        <w:footnoteRef/>
      </w:r>
      <w:r w:rsidRPr="00AF0121">
        <w:rPr>
          <w:rFonts w:ascii="Verdana" w:hAnsi="Verdana" w:cs="Arial"/>
          <w:noProof/>
          <w:sz w:val="18"/>
          <w:szCs w:val="18"/>
        </w:rPr>
        <w:t>Zare Sakhvidi MJ, Mehrparvar A, Zare F, Rahmanian M, Yang J, Ebrahimi A, Fallah Aliabadi S, Tirgar A, Mirjalili MR, Dadvand P. Association between exposure to outdoor light at night and sleep habits in Shahedieh Cohort Study: A cross-sectional analysis. </w:t>
      </w:r>
      <w:r w:rsidRPr="00AF0121">
        <w:rPr>
          <w:rFonts w:ascii="Verdana" w:hAnsi="Verdana" w:cs="Arial"/>
          <w:i/>
          <w:iCs/>
          <w:noProof/>
          <w:sz w:val="18"/>
          <w:szCs w:val="18"/>
        </w:rPr>
        <w:t>Environmental Pollution</w:t>
      </w:r>
      <w:r w:rsidRPr="00AF0121">
        <w:rPr>
          <w:rFonts w:ascii="Verdana" w:hAnsi="Verdana" w:cs="Arial"/>
          <w:noProof/>
          <w:sz w:val="18"/>
          <w:szCs w:val="18"/>
        </w:rPr>
        <w:t>. 2025;385:127144. doi:10.1016/j.envpol.2025.127144</w:t>
      </w:r>
    </w:p>
  </w:footnote>
  <w:footnote w:id="8">
    <w:p w:rsidR="0053065F" w:rsidRPr="00AF0121" w:rsidP="007F4B25">
      <w:pPr>
        <w:spacing w:after="20"/>
        <w:rPr>
          <w:rFonts w:ascii="Verdana" w:hAnsi="Verdana" w:cs="Arial"/>
          <w:sz w:val="18"/>
          <w:szCs w:val="18"/>
        </w:rPr>
      </w:pPr>
      <w:r w:rsidRPr="00AF0121">
        <w:rPr>
          <w:rStyle w:val="FootnoteReference"/>
          <w:rFonts w:ascii="Verdana" w:hAnsi="Verdana"/>
          <w:sz w:val="18"/>
          <w:szCs w:val="18"/>
        </w:rPr>
        <w:footnoteRef/>
      </w:r>
      <w:r w:rsidRPr="00AF0121">
        <w:rPr>
          <w:rFonts w:ascii="Verdana" w:hAnsi="Verdana"/>
          <w:sz w:val="18"/>
          <w:szCs w:val="18"/>
        </w:rPr>
        <w:t xml:space="preserve"> </w:t>
      </w:r>
      <w:r w:rsidRPr="00AF0121">
        <w:rPr>
          <w:rFonts w:ascii="Verdana" w:hAnsi="Verdana" w:cs="Arial"/>
          <w:noProof/>
          <w:sz w:val="18"/>
          <w:szCs w:val="18"/>
        </w:rPr>
        <w:t>Windred DP, Burns AC, Lane JM, Olivier P, Rutter MK, Saxena R, Phillips AJK, Cain SW. Brighter nights and darker days predict higher mortality risk: A prospective analysis of personal light exposure in &gt;88,000 individuals. </w:t>
      </w:r>
      <w:r w:rsidRPr="00AF0121">
        <w:rPr>
          <w:rFonts w:ascii="Verdana" w:hAnsi="Verdana" w:cs="Arial"/>
          <w:i/>
          <w:iCs/>
          <w:noProof/>
          <w:sz w:val="18"/>
          <w:szCs w:val="18"/>
        </w:rPr>
        <w:t>Proc Natl Acad Sci USA</w:t>
      </w:r>
      <w:r w:rsidRPr="00AF0121">
        <w:rPr>
          <w:rFonts w:ascii="Verdana" w:hAnsi="Verdana" w:cs="Arial"/>
          <w:noProof/>
          <w:sz w:val="18"/>
          <w:szCs w:val="18"/>
        </w:rPr>
        <w:t>. 2024;121(43):e2405924121. doi:10.1073/pnas.2405924121</w:t>
      </w:r>
      <w:r w:rsidRPr="00AF0121" w:rsidR="001E5B71">
        <w:rPr>
          <w:rFonts w:ascii="Verdana" w:hAnsi="Verdana" w:cs="Arial"/>
          <w:noProof/>
          <w:sz w:val="18"/>
          <w:szCs w:val="18"/>
        </w:rPr>
        <w:t>.</w:t>
      </w:r>
    </w:p>
  </w:footnote>
  <w:footnote w:id="9">
    <w:p w:rsidR="001E5B71" w:rsidRPr="00DC1C46" w:rsidP="007F4B25">
      <w:pPr>
        <w:spacing w:after="20"/>
        <w:rPr>
          <w:rFonts w:ascii="Verdana" w:hAnsi="Verdana" w:cs="Arial"/>
          <w:sz w:val="18"/>
          <w:szCs w:val="18"/>
        </w:rPr>
      </w:pPr>
      <w:r w:rsidRPr="00AF0121">
        <w:rPr>
          <w:rStyle w:val="FootnoteReference"/>
          <w:rFonts w:ascii="Verdana" w:hAnsi="Verdana"/>
          <w:sz w:val="18"/>
          <w:szCs w:val="18"/>
        </w:rPr>
        <w:footnoteRef/>
      </w:r>
      <w:r w:rsidRPr="00AF0121">
        <w:rPr>
          <w:rFonts w:ascii="Verdana" w:hAnsi="Verdana"/>
          <w:sz w:val="18"/>
          <w:szCs w:val="18"/>
        </w:rPr>
        <w:t xml:space="preserve"> </w:t>
      </w:r>
      <w:r w:rsidRPr="00AF0121">
        <w:rPr>
          <w:rFonts w:ascii="Verdana" w:hAnsi="Verdana" w:cs="Arial"/>
          <w:sz w:val="18"/>
          <w:szCs w:val="18"/>
        </w:rPr>
        <w:t xml:space="preserve">House of Lords Science and Technology Committee. </w:t>
      </w:r>
      <w:r w:rsidRPr="00AF0121">
        <w:rPr>
          <w:rFonts w:ascii="Verdana" w:hAnsi="Verdana" w:cs="Arial"/>
          <w:i/>
          <w:iCs/>
          <w:sz w:val="18"/>
          <w:szCs w:val="18"/>
        </w:rPr>
        <w:t>The Neglected Pollutants: The Effects of Artificial Light and Noise on Human Health.</w:t>
      </w:r>
      <w:r w:rsidRPr="00AF0121">
        <w:rPr>
          <w:rFonts w:ascii="Verdana" w:hAnsi="Verdana" w:cs="Arial"/>
          <w:sz w:val="18"/>
          <w:szCs w:val="18"/>
        </w:rPr>
        <w:t xml:space="preserve"> House of Lords; July 19, 2023. HL Paper 232. Accessed July 10, 2026. </w:t>
      </w:r>
      <w:r>
        <w:fldChar w:fldCharType="begin"/>
      </w:r>
      <w:r>
        <w:instrText xml:space="preserve"> HYPERLINK "https://committees.parliament.uk/publications/40937/documents/199438/default/" </w:instrText>
      </w:r>
      <w:r>
        <w:fldChar w:fldCharType="separate"/>
      </w:r>
      <w:r w:rsidRPr="00AF0121">
        <w:rPr>
          <w:rStyle w:val="Hyperlink"/>
          <w:rFonts w:ascii="Verdana" w:hAnsi="Verdana" w:cs="Arial"/>
          <w:sz w:val="18"/>
          <w:szCs w:val="18"/>
        </w:rPr>
        <w:t>https://committees.parliament.uk/publications/40937/documents/199438/default/</w:t>
      </w:r>
      <w:r>
        <w:fldChar w:fldCharType="end"/>
      </w:r>
      <w:r w:rsidRPr="00AF0121">
        <w:rPr>
          <w:rFonts w:ascii="Verdana" w:hAnsi="Verdana" w:cs="Arial"/>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121A55"/>
    <w:multiLevelType w:val="multilevel"/>
    <w:tmpl w:val="E476434E"/>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D2B69E8"/>
    <w:multiLevelType w:val="hybridMultilevel"/>
    <w:tmpl w:val="90C2D436"/>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CA3C21"/>
    <w:multiLevelType w:val="multilevel"/>
    <w:tmpl w:val="F470F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A81DC3"/>
    <w:multiLevelType w:val="hybridMultilevel"/>
    <w:tmpl w:val="0A0CA9D0"/>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
    <w:nsid w:val="33185FF2"/>
    <w:multiLevelType w:val="multilevel"/>
    <w:tmpl w:val="A9F0C8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nsid w:val="3CB070EC"/>
    <w:multiLevelType w:val="hybridMultilevel"/>
    <w:tmpl w:val="E6D625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6113175"/>
    <w:multiLevelType w:val="hybridMultilevel"/>
    <w:tmpl w:val="F0CC41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76E5E48"/>
    <w:multiLevelType w:val="hybridMultilevel"/>
    <w:tmpl w:val="A5D216A0"/>
    <w:lvl w:ilvl="0">
      <w:start w:val="1"/>
      <w:numFmt w:val="decimal"/>
      <w:lvlText w:val="%1."/>
      <w:lvlJc w:val="left"/>
      <w:pPr>
        <w:ind w:left="1080" w:hanging="720"/>
      </w:pPr>
      <w:rPr>
        <w:rFonts w:ascii="Verdana" w:hAnsi="Verdana" w:cs="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C596799"/>
    <w:multiLevelType w:val="multilevel"/>
    <w:tmpl w:val="F470F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C76870"/>
    <w:multiLevelType w:val="hybridMultilevel"/>
    <w:tmpl w:val="A738BDF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FAC34E5"/>
    <w:multiLevelType w:val="hybridMultilevel"/>
    <w:tmpl w:val="FE70D8A8"/>
    <w:lvl w:ilvl="0">
      <w:start w:val="1"/>
      <w:numFmt w:val="decimal"/>
      <w:lvlText w:val="%1."/>
      <w:lvlJc w:val="left"/>
      <w:pPr>
        <w:ind w:left="1080" w:hanging="720"/>
      </w:pPr>
      <w:rPr>
        <w:rFonts w:ascii="Verdana" w:hAnsi="Verdana" w:cs="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9"/>
  </w:num>
  <w:num w:numId="6">
    <w:abstractNumId w:val="8"/>
  </w:num>
  <w:num w:numId="7">
    <w:abstractNumId w:val="0"/>
  </w:num>
  <w:num w:numId="8">
    <w:abstractNumId w:val="1"/>
    <w:lvlOverride w:ilvl="0">
      <w:lvl w:ilvl="0">
        <w:start w:val="1"/>
        <w:numFmt w:val="decimal"/>
        <w:suff w:val="nothing"/>
        <w:lvlText w:val="%1."/>
        <w:lvlJc w:val="left"/>
        <w:pPr>
          <w:ind w:left="72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9">
    <w:abstractNumId w:val="6"/>
  </w:num>
  <w:num w:numId="10">
    <w:abstractNumId w:val="1"/>
    <w:lvlOverride w:ilvl="0">
      <w:lvl w:ilvl="0">
        <w:start w:val="1"/>
        <w:numFmt w:val="decimal"/>
        <w:lvlText w:val="%1."/>
        <w:lvlJc w:val="left"/>
        <w:pPr>
          <w:ind w:left="720" w:hanging="360"/>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1">
    <w:abstractNumId w:val="1"/>
    <w:lvlOverride w:ilvl="0">
      <w:lvl w:ilvl="0">
        <w:start w:val="1"/>
        <w:numFmt w:val="decimal"/>
        <w:lvlText w:val="%1."/>
        <w:lvlJc w:val="left"/>
        <w:pPr>
          <w:ind w:left="502" w:hanging="360"/>
        </w:pPr>
      </w:lvl>
    </w:lvlOverride>
    <w:lvlOverride w:ilvl="1">
      <w:lvl w:ilvl="1" w:tentative="1">
        <w:start w:val="1"/>
        <w:numFmt w:val="lowerLetter"/>
        <w:lvlText w:val="%2."/>
        <w:lvlJc w:val="left"/>
        <w:pPr>
          <w:ind w:left="1222" w:hanging="360"/>
        </w:pPr>
      </w:lvl>
    </w:lvlOverride>
    <w:lvlOverride w:ilvl="2">
      <w:lvl w:ilvl="2" w:tentative="1">
        <w:start w:val="1"/>
        <w:numFmt w:val="lowerRoman"/>
        <w:lvlText w:val="%3."/>
        <w:lvlJc w:val="right"/>
        <w:pPr>
          <w:ind w:left="1942" w:hanging="180"/>
        </w:pPr>
      </w:lvl>
    </w:lvlOverride>
    <w:lvlOverride w:ilvl="3">
      <w:lvl w:ilvl="3" w:tentative="1">
        <w:start w:val="1"/>
        <w:numFmt w:val="decimal"/>
        <w:lvlText w:val="%4."/>
        <w:lvlJc w:val="left"/>
        <w:pPr>
          <w:ind w:left="2662" w:hanging="360"/>
        </w:pPr>
      </w:lvl>
    </w:lvlOverride>
    <w:lvlOverride w:ilvl="4">
      <w:lvl w:ilvl="4" w:tentative="1">
        <w:start w:val="1"/>
        <w:numFmt w:val="lowerLetter"/>
        <w:lvlText w:val="%5."/>
        <w:lvlJc w:val="left"/>
        <w:pPr>
          <w:ind w:left="3382" w:hanging="360"/>
        </w:pPr>
      </w:lvl>
    </w:lvlOverride>
    <w:lvlOverride w:ilvl="5">
      <w:lvl w:ilvl="5" w:tentative="1">
        <w:start w:val="1"/>
        <w:numFmt w:val="lowerRoman"/>
        <w:lvlText w:val="%6."/>
        <w:lvlJc w:val="right"/>
        <w:pPr>
          <w:ind w:left="4102" w:hanging="180"/>
        </w:pPr>
      </w:lvl>
    </w:lvlOverride>
    <w:lvlOverride w:ilvl="6">
      <w:lvl w:ilvl="6" w:tentative="1">
        <w:start w:val="1"/>
        <w:numFmt w:val="decimal"/>
        <w:lvlText w:val="%7."/>
        <w:lvlJc w:val="left"/>
        <w:pPr>
          <w:ind w:left="4822" w:hanging="360"/>
        </w:pPr>
      </w:lvl>
    </w:lvlOverride>
    <w:lvlOverride w:ilvl="7">
      <w:lvl w:ilvl="7" w:tentative="1">
        <w:start w:val="1"/>
        <w:numFmt w:val="lowerLetter"/>
        <w:lvlText w:val="%8."/>
        <w:lvlJc w:val="left"/>
        <w:pPr>
          <w:ind w:left="5542" w:hanging="360"/>
        </w:pPr>
      </w:lvl>
    </w:lvlOverride>
    <w:lvlOverride w:ilvl="8">
      <w:lvl w:ilvl="8" w:tentative="1">
        <w:start w:val="1"/>
        <w:numFmt w:val="lowerRoman"/>
        <w:lvlText w:val="%9."/>
        <w:lvlJc w:val="right"/>
        <w:pPr>
          <w:ind w:left="6262" w:hanging="180"/>
        </w:pPr>
      </w:lvl>
    </w:lvlOverride>
  </w:num>
  <w:num w:numId="12">
    <w:abstractNumId w:val="1"/>
    <w:lvlOverride w:ilvl="0">
      <w:lvl w:ilvl="0">
        <w:start w:val="1"/>
        <w:numFmt w:val="decimal"/>
        <w:suff w:val="nothing"/>
        <w:lvlText w:val="%1."/>
        <w:lvlJc w:val="left"/>
        <w:pPr>
          <w:ind w:left="502"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3">
    <w:abstractNumId w:val="1"/>
    <w:lvlOverride w:ilvl="0">
      <w:lvl w:ilvl="0">
        <w:start w:val="1"/>
        <w:numFmt w:val="decimal"/>
        <w:suff w:val="space"/>
        <w:lvlText w:val="%1."/>
        <w:lvlJc w:val="left"/>
        <w:pPr>
          <w:ind w:left="502"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14">
    <w:abstractNumId w:val="7"/>
  </w:num>
  <w:num w:numId="15">
    <w:abstractNumId w:val="10"/>
  </w:num>
  <w:num w:numId="16">
    <w:abstractNumId w:val="3"/>
  </w:num>
  <w:num w:numId="17">
    <w:abstractNumId w:val="1"/>
    <w:lvlOverride w:ilvl="0">
      <w:lvl w:ilvl="0">
        <w:start w:val="1"/>
        <w:numFmt w:val="decimal"/>
        <w:suff w:val="nothing"/>
        <w:lvlText w:val="%1."/>
        <w:lvlJc w:val="left"/>
        <w:pPr>
          <w:ind w:left="72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51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1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1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1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1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1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1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1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1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1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1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1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1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1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1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1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1B48"/>
    <w:rPr>
      <w:rFonts w:eastAsiaTheme="majorEastAsia" w:cstheme="majorBidi"/>
      <w:color w:val="272727" w:themeColor="text1" w:themeTint="D8"/>
    </w:rPr>
  </w:style>
  <w:style w:type="paragraph" w:styleId="Title">
    <w:name w:val="Title"/>
    <w:basedOn w:val="Normal"/>
    <w:next w:val="Normal"/>
    <w:link w:val="TitleChar"/>
    <w:uiPriority w:val="10"/>
    <w:qFormat/>
    <w:rsid w:val="00051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1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1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1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1B48"/>
    <w:pPr>
      <w:spacing w:before="160"/>
      <w:jc w:val="center"/>
    </w:pPr>
    <w:rPr>
      <w:i/>
      <w:iCs/>
      <w:color w:val="404040" w:themeColor="text1" w:themeTint="BF"/>
    </w:rPr>
  </w:style>
  <w:style w:type="character" w:customStyle="1" w:styleId="QuoteChar">
    <w:name w:val="Quote Char"/>
    <w:basedOn w:val="DefaultParagraphFont"/>
    <w:link w:val="Quote"/>
    <w:uiPriority w:val="29"/>
    <w:rsid w:val="00051B48"/>
    <w:rPr>
      <w:i/>
      <w:iCs/>
      <w:color w:val="404040" w:themeColor="text1" w:themeTint="BF"/>
    </w:rPr>
  </w:style>
  <w:style w:type="paragraph" w:styleId="ListParagraph">
    <w:name w:val="List Paragraph"/>
    <w:basedOn w:val="Normal"/>
    <w:uiPriority w:val="34"/>
    <w:qFormat/>
    <w:rsid w:val="00051B48"/>
    <w:pPr>
      <w:ind w:left="720"/>
      <w:contextualSpacing/>
    </w:pPr>
  </w:style>
  <w:style w:type="character" w:styleId="IntenseEmphasis">
    <w:name w:val="Intense Emphasis"/>
    <w:basedOn w:val="DefaultParagraphFont"/>
    <w:uiPriority w:val="21"/>
    <w:qFormat/>
    <w:rsid w:val="00051B48"/>
    <w:rPr>
      <w:i/>
      <w:iCs/>
      <w:color w:val="0F4761" w:themeColor="accent1" w:themeShade="BF"/>
    </w:rPr>
  </w:style>
  <w:style w:type="paragraph" w:styleId="IntenseQuote">
    <w:name w:val="Intense Quote"/>
    <w:basedOn w:val="Normal"/>
    <w:next w:val="Normal"/>
    <w:link w:val="IntenseQuoteChar"/>
    <w:uiPriority w:val="30"/>
    <w:qFormat/>
    <w:rsid w:val="00051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1B48"/>
    <w:rPr>
      <w:i/>
      <w:iCs/>
      <w:color w:val="0F4761" w:themeColor="accent1" w:themeShade="BF"/>
    </w:rPr>
  </w:style>
  <w:style w:type="character" w:styleId="IntenseReference">
    <w:name w:val="Intense Reference"/>
    <w:basedOn w:val="DefaultParagraphFont"/>
    <w:uiPriority w:val="32"/>
    <w:qFormat/>
    <w:rsid w:val="00051B48"/>
    <w:rPr>
      <w:b/>
      <w:bCs/>
      <w:smallCaps/>
      <w:color w:val="0F4761" w:themeColor="accent1" w:themeShade="BF"/>
      <w:spacing w:val="5"/>
    </w:rPr>
  </w:style>
  <w:style w:type="paragraph" w:styleId="Header">
    <w:name w:val="header"/>
    <w:basedOn w:val="Normal"/>
    <w:link w:val="HeaderChar"/>
    <w:uiPriority w:val="99"/>
    <w:unhideWhenUsed/>
    <w:rsid w:val="00051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1B48"/>
  </w:style>
  <w:style w:type="paragraph" w:styleId="Footer">
    <w:name w:val="footer"/>
    <w:basedOn w:val="Normal"/>
    <w:link w:val="FooterChar"/>
    <w:uiPriority w:val="99"/>
    <w:unhideWhenUsed/>
    <w:rsid w:val="00051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1B48"/>
  </w:style>
  <w:style w:type="character" w:customStyle="1" w:styleId="EndNoteBibliographyChar">
    <w:name w:val="EndNote Bibliography Char"/>
    <w:basedOn w:val="DefaultParagraphFont"/>
    <w:link w:val="EndNoteBibliography"/>
    <w:locked/>
    <w:rsid w:val="00BE6933"/>
    <w:rPr>
      <w:rFonts w:ascii="Aptos" w:hAnsi="Aptos"/>
      <w:lang w:val="en-US"/>
    </w:rPr>
  </w:style>
  <w:style w:type="paragraph" w:customStyle="1" w:styleId="EndNoteBibliography">
    <w:name w:val="EndNote Bibliography"/>
    <w:basedOn w:val="Normal"/>
    <w:link w:val="EndNoteBibliographyChar"/>
    <w:rsid w:val="00BE6933"/>
    <w:pPr>
      <w:spacing w:after="0" w:line="240" w:lineRule="auto"/>
    </w:pPr>
    <w:rPr>
      <w:rFonts w:ascii="Aptos" w:hAnsi="Aptos"/>
      <w:lang w:val="en-US"/>
    </w:rPr>
  </w:style>
  <w:style w:type="character" w:styleId="Hyperlink">
    <w:name w:val="Hyperlink"/>
    <w:basedOn w:val="DefaultParagraphFont"/>
    <w:uiPriority w:val="99"/>
    <w:unhideWhenUsed/>
    <w:rsid w:val="00255FE8"/>
    <w:rPr>
      <w:color w:val="467886" w:themeColor="hyperlink"/>
      <w:u w:val="single"/>
    </w:rPr>
  </w:style>
  <w:style w:type="character" w:customStyle="1" w:styleId="UnresolvedMention1">
    <w:name w:val="Unresolved Mention1"/>
    <w:basedOn w:val="DefaultParagraphFont"/>
    <w:uiPriority w:val="99"/>
    <w:semiHidden/>
    <w:unhideWhenUsed/>
    <w:rsid w:val="00255FE8"/>
    <w:rPr>
      <w:color w:val="605E5C"/>
      <w:shd w:val="clear" w:color="auto" w:fill="E1DFDD"/>
    </w:rPr>
  </w:style>
  <w:style w:type="paragraph" w:styleId="FootnoteText">
    <w:name w:val="footnote text"/>
    <w:basedOn w:val="Normal"/>
    <w:link w:val="FootnoteTextChar"/>
    <w:uiPriority w:val="99"/>
    <w:unhideWhenUsed/>
    <w:rsid w:val="00A6620E"/>
    <w:pPr>
      <w:spacing w:after="0" w:line="240" w:lineRule="auto"/>
    </w:pPr>
    <w:rPr>
      <w:sz w:val="20"/>
      <w:szCs w:val="20"/>
    </w:rPr>
  </w:style>
  <w:style w:type="character" w:customStyle="1" w:styleId="FootnoteTextChar">
    <w:name w:val="Footnote Text Char"/>
    <w:basedOn w:val="DefaultParagraphFont"/>
    <w:link w:val="FootnoteText"/>
    <w:uiPriority w:val="99"/>
    <w:rsid w:val="00A6620E"/>
    <w:rPr>
      <w:sz w:val="20"/>
      <w:szCs w:val="20"/>
    </w:rPr>
  </w:style>
  <w:style w:type="character" w:styleId="FootnoteReference">
    <w:name w:val="footnote reference"/>
    <w:basedOn w:val="DefaultParagraphFont"/>
    <w:uiPriority w:val="99"/>
    <w:semiHidden/>
    <w:unhideWhenUsed/>
    <w:rsid w:val="00A6620E"/>
    <w:rPr>
      <w:vertAlign w:val="superscript"/>
    </w:rPr>
  </w:style>
  <w:style w:type="character" w:customStyle="1" w:styleId="UnresolvedMention">
    <w:name w:val="Unresolved Mention"/>
    <w:basedOn w:val="DefaultParagraphFont"/>
    <w:uiPriority w:val="99"/>
    <w:rsid w:val="00A66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bede8a6e59b9cf804aae913f3ec8a661">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a367f0a5b7fc8a502817a0af1300ca0"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104;#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70d2f4a9-7027-4c8b-acc6-1861eab93b19">JRFZP62N7HVT-2044078101-1576</_dlc_DocId>
    <TransfertoArchives xmlns="4600776d-0a3c-44b4-bff2-0ceaafb13046">false</TransfertoArchives>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Bricks and Mortar</TermName>
          <TermId xmlns="http://schemas.microsoft.com/office/infopath/2007/PartnerControls">f8c7e7a8-34b4-42c2-8a32-8ac970a121ac</TermId>
        </TermInfo>
      </Terms>
    </edc898bf3bb343549b83ac391d519ef2>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Meeting_x0020_Date xmlns="70d2f4a9-7027-4c8b-acc6-1861eab93b19">2026-07-20T23:00:00+00:00</Meeting_x0020_Dat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70d2f4a9-7027-4c8b-acc6-1861eab93b19">
      <Url>https://hopuk.sharepoint.com/sites/hlc-builtenviro/_layouts/15/DocIdRedir.aspx?ID=JRFZP62N7HVT-2044078101-1576</Url>
      <Description>JRFZP62N7HVT-2044078101-1576</Description>
    </_dlc_DocIdUrl>
    <RecordNumber xmlns="4600776d-0a3c-44b4-bff2-0ceaafb13046" xsi:nil="true"/>
    <Document_x0020_Status1 xmlns="70d2f4a9-7027-4c8b-acc6-1861eab93b19">N/A</Document_x0020_Status1>
    <g3ef09377e3444258679b6035a1ff93a xmlns="4600776d-0a3c-44b4-bff2-0ceaafb13046">
      <Terms xmlns="http://schemas.microsoft.com/office/infopath/2007/PartnerControls"/>
    </g3ef09377e3444258679b6035a1ff93a>
    <TaxCatchAll xmlns="4600776d-0a3c-44b4-bff2-0ceaafb13046">
      <Value>5</Value>
      <Value>104</Value>
      <Value>73</Value>
      <Value>105</Value>
      <Value>2</Value>
      <Value>54</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33116-03B4-4F63-91F3-1328464ED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9D0E8E-4318-4F24-9CC2-3203741C8DC3}">
  <ds:schemaRefs>
    <ds:schemaRef ds:uri="http://schemas.microsoft.com/sharepoint/events"/>
  </ds:schemaRefs>
</ds:datastoreItem>
</file>

<file path=customXml/itemProps3.xml><?xml version="1.0" encoding="utf-8"?>
<ds:datastoreItem xmlns:ds="http://schemas.openxmlformats.org/officeDocument/2006/customXml" ds:itemID="{55026D43-27B3-4D96-B5AB-DED816674633}">
  <ds:schemaRefs>
    <ds:schemaRef ds:uri="http://schemas.microsoft.com/sharepoint/v3/contenttype/forms"/>
  </ds:schemaRefs>
</ds:datastoreItem>
</file>

<file path=customXml/itemProps4.xml><?xml version="1.0" encoding="utf-8"?>
<ds:datastoreItem xmlns:ds="http://schemas.openxmlformats.org/officeDocument/2006/customXml" ds:itemID="{C1756CD6-EEFA-43C2-AC22-3C401FF8D1F5}">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1FA2F51A-2D46-4993-A738-A43622D88701}">
  <ds:schemaRefs>
    <ds:schemaRef ds:uri="http://schemas.openxmlformats.org/officeDocument/2006/bibliography"/>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NTB0019</dc:title>
  <cp:revision>0</cp:revision>
</cp:coreProperties>
</file>