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E669F" w:rsidP="006E669F">
      <w:pPr>
        <w:pStyle w:val="font-claude-response-body"/>
        <w:jc w:val="center"/>
        <w:rPr>
          <w:rStyle w:val="Strong"/>
        </w:rPr>
      </w:pPr>
      <w:r>
        <w:rPr>
          <w:rStyle w:val="Strong"/>
        </w:rPr>
        <w:t xml:space="preserve">Written evidence by </w:t>
      </w:r>
      <w:r w:rsidRPr="006E669F">
        <w:rPr>
          <w:b/>
          <w:bCs/>
        </w:rPr>
        <w:t>Dr Johny Daniel </w:t>
      </w:r>
      <w:r>
        <w:rPr>
          <w:b/>
          <w:bCs/>
        </w:rPr>
        <w:t>(ECA0018)</w:t>
      </w:r>
    </w:p>
    <w:p w:rsidR="002522EE" w:rsidRPr="005F05B4" w:rsidP="009B3DDA">
      <w:pPr>
        <w:pStyle w:val="font-claude-response-body"/>
      </w:pPr>
      <w:r w:rsidRPr="005F05B4">
        <w:rPr>
          <w:rStyle w:val="Strong"/>
        </w:rPr>
        <w:t xml:space="preserve">Raising attainment: struggling readers </w:t>
      </w:r>
      <w:r>
        <w:rPr>
          <w:rStyle w:val="Strong"/>
        </w:rPr>
        <w:t>need more attention</w:t>
      </w:r>
      <w:r w:rsidRPr="005F05B4">
        <w:rPr>
          <w:rStyle w:val="Strong"/>
        </w:rPr>
        <w:t>, and many are invisible to the system</w:t>
      </w:r>
    </w:p>
    <w:p w:rsidR="002522EE" w:rsidP="009B3DDA">
      <w:pPr>
        <w:pStyle w:val="font-claude-response-body"/>
        <w:numPr>
          <w:ilvl w:val="0"/>
          <w:numId w:val="1"/>
        </w:numPr>
      </w:pPr>
      <w:r w:rsidRPr="005F05B4">
        <w:t xml:space="preserve">The Government's ambition to raise average attainment and support low attainers depends on the pupils furthest behind in reading. Analysis of National Pupil Database records for approximately 2.5 million Year 6 pupils shows that children with identified additional needs were, on average, around 1.5 years behind their peers in reading, and that this gap </w:t>
      </w:r>
      <w:r w:rsidRPr="005F05B4">
        <w:rPr>
          <w:rStyle w:val="Emphasis"/>
        </w:rPr>
        <w:t>widened</w:t>
      </w:r>
      <w:r w:rsidRPr="005F05B4">
        <w:t xml:space="preserve"> between 2015/16 and 2018/19 (Daniel, 2025, </w:t>
      </w:r>
      <w:r>
        <w:fldChar w:fldCharType="begin"/>
      </w:r>
      <w:r>
        <w:instrText xml:space="preserve"> HYPERLINK "https://doi.org/10.1080/08856257.2024.2400771" </w:instrText>
      </w:r>
      <w:r>
        <w:fldChar w:fldCharType="separate"/>
      </w:r>
      <w:r w:rsidRPr="005F05B4">
        <w:rPr>
          <w:rStyle w:val="Hyperlink"/>
        </w:rPr>
        <w:t>https://doi.org/10.1080/08856257.2024.2400771</w:t>
      </w:r>
      <w:r>
        <w:fldChar w:fldCharType="end"/>
      </w:r>
      <w:r w:rsidRPr="005F05B4">
        <w:t xml:space="preserve">). Existing accountability arrangements did not arrest this. </w:t>
      </w:r>
      <w:r>
        <w:t xml:space="preserve">One reason is that the support these pupils receive is often narrower and less intensive than the evidence recommends: in our intervention work, teachers reported that prior reading support focused mainly on decoding and spelling and was delivered once or twice weekly (Daniel et al., 2026a </w:t>
      </w:r>
      <w:r w:rsidRPr="005F05B4">
        <w:rPr>
          <w:rStyle w:val="Emphasis"/>
        </w:rPr>
        <w:t xml:space="preserve"> </w:t>
      </w:r>
      <w:r>
        <w:fldChar w:fldCharType="begin"/>
      </w:r>
      <w:r>
        <w:instrText xml:space="preserve"> HYPERLINK "https://doi.org/10.3389/feduc.2026.1836814" </w:instrText>
      </w:r>
      <w:r>
        <w:fldChar w:fldCharType="separate"/>
      </w:r>
      <w:r w:rsidRPr="005F05B4">
        <w:rPr>
          <w:rStyle w:val="Hyperlink"/>
        </w:rPr>
        <w:t>https://doi.org/10.3389/feduc.2026.1836814</w:t>
      </w:r>
      <w:r>
        <w:fldChar w:fldCharType="end"/>
      </w:r>
      <w:r>
        <w:t>).</w:t>
      </w:r>
    </w:p>
    <w:p w:rsidR="002522EE" w:rsidRPr="005F05B4" w:rsidP="00D90B76">
      <w:pPr>
        <w:pStyle w:val="font-claude-response-body"/>
        <w:ind w:left="720"/>
      </w:pPr>
      <w:r w:rsidRPr="00D90B76">
        <w:rPr>
          <w:b/>
          <w:bCs/>
        </w:rPr>
        <w:t>Recommendation:</w:t>
      </w:r>
      <w:r w:rsidRPr="00D90B76">
        <w:t xml:space="preserve"> staff working with the lowest-attaining readers</w:t>
      </w:r>
      <w:r>
        <w:t>,</w:t>
      </w:r>
      <w:r w:rsidRPr="00D90B76">
        <w:t xml:space="preserve"> teachers and teaching assistants alike</w:t>
      </w:r>
      <w:r>
        <w:t>,</w:t>
      </w:r>
      <w:r w:rsidRPr="00D90B76">
        <w:t xml:space="preserve"> should receive sustained, subject-specific professional development in evidence-based reading instruction, covering decoding, fluency, vocabulary and comprehension, and </w:t>
      </w:r>
      <w:r>
        <w:t xml:space="preserve">understand </w:t>
      </w:r>
      <w:r w:rsidRPr="00D90B76">
        <w:t xml:space="preserve">how to match </w:t>
      </w:r>
      <w:r>
        <w:t xml:space="preserve">programme </w:t>
      </w:r>
      <w:r w:rsidRPr="00D90B76">
        <w:t>intensity to severity</w:t>
      </w:r>
      <w:r>
        <w:t xml:space="preserve"> of reading difficulties</w:t>
      </w:r>
      <w:r w:rsidRPr="00D90B76">
        <w:t>. One-off, programme-tied training does not equip staff to do this.</w:t>
      </w:r>
    </w:p>
    <w:p w:rsidR="002522EE" w:rsidRPr="00D90B76" w:rsidP="00D90B76">
      <w:pPr>
        <w:pStyle w:val="font-claude-response-body"/>
        <w:numPr>
          <w:ilvl w:val="0"/>
          <w:numId w:val="1"/>
        </w:numPr>
        <w:rPr>
          <w:rStyle w:val="Strong"/>
          <w:b w:val="0"/>
          <w:bCs w:val="0"/>
        </w:rPr>
      </w:pPr>
      <w:r w:rsidRPr="005F05B4">
        <w:t>Attainment cannot rise for pupils the system does not see. Multilevel analysis of around 540,000 Year 6 pupils across 14,800 schools found that formal identification of pupils with specific learning difficulties depends not only on their attainment but on who they are and where they attend</w:t>
      </w:r>
      <w:r>
        <w:t xml:space="preserve"> school</w:t>
      </w:r>
      <w:r w:rsidRPr="005F05B4">
        <w:t xml:space="preserve">. Holding attainment constant, girls, pupils learning English as an additional language, and pupils from more deprived </w:t>
      </w:r>
      <w:r w:rsidRPr="005F05B4">
        <w:t>areas</w:t>
      </w:r>
      <w:r w:rsidRPr="005F05B4">
        <w:t xml:space="preserve"> all had </w:t>
      </w:r>
      <w:r w:rsidRPr="005F05B4">
        <w:rPr>
          <w:rStyle w:val="Emphasis"/>
        </w:rPr>
        <w:t>lower</w:t>
      </w:r>
      <w:r w:rsidRPr="005F05B4">
        <w:t xml:space="preserve"> odds of being identified, and the school attended mattered substantially in its own right: for the median pair of schools, the odds of identification were roughly three times higher in one than the other, even for pupils with identical attainment (Daniel, Elliott, Tymms &amp; Strand, 2026</w:t>
      </w:r>
      <w:r>
        <w:t>b</w:t>
      </w:r>
      <w:r w:rsidRPr="005F05B4">
        <w:t xml:space="preserve">, </w:t>
      </w:r>
      <w:r>
        <w:fldChar w:fldCharType="begin"/>
      </w:r>
      <w:r>
        <w:instrText xml:space="preserve"> HYPERLINK "https://doi.org/10.1177/00222194261427006" </w:instrText>
      </w:r>
      <w:r>
        <w:fldChar w:fldCharType="separate"/>
      </w:r>
      <w:r w:rsidRPr="005F05B4">
        <w:rPr>
          <w:rStyle w:val="Hyperlink"/>
        </w:rPr>
        <w:t>https://doi.org/10.1177/00222194261427006</w:t>
      </w:r>
      <w:r>
        <w:fldChar w:fldCharType="end"/>
      </w:r>
      <w:r w:rsidRPr="005F05B4">
        <w:t>).</w:t>
      </w:r>
      <w:r>
        <w:rPr>
          <w:rStyle w:val="Strong"/>
        </w:rPr>
        <w:tab/>
      </w:r>
    </w:p>
    <w:p w:rsidR="002522EE" w:rsidRPr="005F05B4" w:rsidP="00D90B76">
      <w:pPr>
        <w:pStyle w:val="font-claude-response-body"/>
        <w:ind w:left="720"/>
      </w:pPr>
      <w:r>
        <w:rPr>
          <w:rStyle w:val="Strong"/>
        </w:rPr>
        <w:t>Recommendation:</w:t>
      </w:r>
      <w:r>
        <w:t xml:space="preserve"> identification should not rest on referral judgements alone. Schools should use objective, standardised reading assessment as the trigger for further investigation, applied to all pupils rather than to those an adult happens to refer. Otherwise, support will continue to reach the pupils who are most visible, not those most in need.</w:t>
      </w:r>
    </w:p>
    <w:p w:rsidR="002522EE" w:rsidRPr="005F05B4" w:rsidP="009B3DDA">
      <w:pPr>
        <w:pStyle w:val="font-claude-response-body"/>
      </w:pPr>
      <w:r w:rsidRPr="005F05B4">
        <w:rPr>
          <w:rStyle w:val="Strong"/>
        </w:rPr>
        <w:t>Reducing disadvantage gaps: need is under-identified precisely where disadvantage is greatest</w:t>
      </w:r>
    </w:p>
    <w:p w:rsidR="002522EE" w:rsidP="00760557">
      <w:pPr>
        <w:pStyle w:val="font-claude-response-body"/>
        <w:numPr>
          <w:ilvl w:val="0"/>
          <w:numId w:val="2"/>
        </w:numPr>
      </w:pPr>
      <w:r>
        <w:t>The same analysis (Daniel et al., 2026b) found that greater deprivation, at both pupil and school level, was associated with lower odds of identification. A companion study of 274 UK assessment professionals points to why family resources, rather than need, can determine recognition: a dyslexia assessment typically costs families £</w:t>
      </w:r>
      <w:r>
        <w:t>6</w:t>
      </w:r>
      <w:r>
        <w:t>00–£</w:t>
      </w:r>
      <w:r>
        <w:t>9</w:t>
      </w:r>
      <w:r>
        <w:t xml:space="preserve">00, is not covered by the NHS, and there is no national definition of dyslexia or government guidance on how it should be assessed, leaving practice to vary widely </w:t>
      </w:r>
      <w:r>
        <w:t xml:space="preserve">between individual assessors (Daniel, Clucas &amp; Wang, 2025, </w:t>
      </w:r>
      <w:r>
        <w:fldChar w:fldCharType="begin"/>
      </w:r>
      <w:r>
        <w:instrText xml:space="preserve"> HYPERLINK "https://doi.org/10.1007/s11881-024-00313-y" </w:instrText>
      </w:r>
      <w:r>
        <w:fldChar w:fldCharType="separate"/>
      </w:r>
      <w:r>
        <w:rPr>
          <w:rStyle w:val="Hyperlink"/>
        </w:rPr>
        <w:t>https://doi.org/10.1007/s11881-024-00313-y</w:t>
      </w:r>
      <w:r>
        <w:fldChar w:fldCharType="end"/>
      </w:r>
      <w:r>
        <w:t xml:space="preserve">). Recognition can therefore depend on a </w:t>
      </w:r>
      <w:r>
        <w:t>family's socioeconomic circumstances rather than on a child's need. The children the disadvantage funding reforms and Mission North-East are designed to reach are the least likely to have their reading difficulties formally recognised.</w:t>
      </w:r>
    </w:p>
    <w:p w:rsidR="002522EE" w:rsidP="00760557">
      <w:pPr>
        <w:pStyle w:val="font-claude-response-body"/>
        <w:ind w:left="720"/>
      </w:pPr>
      <w:r>
        <w:rPr>
          <w:rStyle w:val="Strong"/>
        </w:rPr>
        <w:t>Recommendation:</w:t>
      </w:r>
      <w:r>
        <w:t xml:space="preserve"> in addition to universal screening at set points in primary school, national guidance on defining and assessing reading difficulties would reduce the unwarranted variability between assessors and localities that currently makes recognition a lottery.</w:t>
      </w:r>
    </w:p>
    <w:p w:rsidR="002522EE" w:rsidP="00760557">
      <w:pPr>
        <w:pStyle w:val="font-claude-response-body"/>
        <w:numPr>
          <w:ilvl w:val="0"/>
          <w:numId w:val="2"/>
        </w:numPr>
      </w:pPr>
      <w:r>
        <w:t xml:space="preserve">Once need is identified, provision must match the evidence. The Department's own Reading Framework and the EEF's KS2 literacy guidance both point to structured, multicomponent reading instruction </w:t>
      </w:r>
      <w:r>
        <w:t>which suggests that decoding, fluency, vocabulary and comprehension be taught together</w:t>
      </w:r>
      <w:r>
        <w:t>, and delivered with sufficient frequency and intensity. An exploratory Durham University study of this approach with Year 4–5 struggling readers found encouraging gains in reading fluency, though pupils with the weakest starting skills needed greater intensity, and smaller groups, to progress in their reading skills (Daniel, Siddiqui &amp; Huo, 2026</w:t>
      </w:r>
      <w:r>
        <w:t>a</w:t>
      </w:r>
      <w:r>
        <w:t xml:space="preserve">, </w:t>
      </w:r>
      <w:r>
        <w:fldChar w:fldCharType="begin"/>
      </w:r>
      <w:r>
        <w:instrText xml:space="preserve"> HYPERLINK "https://doi.org/10.3389/feduc.2026.1836814" </w:instrText>
      </w:r>
      <w:r>
        <w:fldChar w:fldCharType="separate"/>
      </w:r>
      <w:r>
        <w:rPr>
          <w:rStyle w:val="Hyperlink"/>
        </w:rPr>
        <w:t>https://doi.org/10.3389/feduc.2026.1836814</w:t>
      </w:r>
      <w:r>
        <w:fldChar w:fldCharType="end"/>
      </w:r>
      <w:r>
        <w:t>). Provision must therefore be matched to severity, not applied uniformly. One such programme, which I developed and hold no commercial interest in, is freely available to schools as an open educational resource (readingresourcecentre.org).</w:t>
      </w:r>
    </w:p>
    <w:p w:rsidR="002522EE" w:rsidRPr="005F05B4" w:rsidP="004F7102">
      <w:pPr>
        <w:pStyle w:val="font-claude-response-body"/>
        <w:ind w:left="720"/>
      </w:pPr>
      <w:r>
        <w:rPr>
          <w:rStyle w:val="Strong"/>
        </w:rPr>
        <w:t>Recommendation:</w:t>
      </w:r>
      <w:r>
        <w:t xml:space="preserve"> Government could accelerate the disadvantage-gap missions at minimal cost by disseminating open, evidence-based reading programmes through RISE teams and English Hubs, reducing schools' reliance on commercial packages of variable evidential quality and uncertain cost.</w:t>
      </w:r>
    </w:p>
    <w:p w:rsidR="002522EE" w:rsidRPr="005F05B4" w:rsidP="00231048">
      <w:pPr>
        <w:pStyle w:val="font-claude-response-body"/>
        <w:spacing w:before="0" w:beforeAutospacing="0" w:after="0" w:afterAutospacing="0"/>
      </w:pPr>
      <w:r w:rsidRPr="005F05B4">
        <w:t xml:space="preserve">Dr. Johny Daniel </w:t>
      </w:r>
    </w:p>
    <w:p w:rsidR="002522EE" w:rsidRPr="005F05B4" w:rsidP="00231048">
      <w:pPr>
        <w:pStyle w:val="font-claude-response-body"/>
        <w:spacing w:before="0" w:beforeAutospacing="0" w:after="0" w:afterAutospacing="0"/>
      </w:pPr>
      <w:r w:rsidRPr="005F05B4">
        <w:t xml:space="preserve">Associate Professor </w:t>
      </w:r>
    </w:p>
    <w:p w:rsidR="002522EE" w:rsidRPr="005F05B4" w:rsidP="00231048">
      <w:pPr>
        <w:pStyle w:val="font-claude-response-body"/>
        <w:spacing w:before="0" w:beforeAutospacing="0" w:after="0" w:afterAutospacing="0"/>
      </w:pPr>
      <w:r w:rsidRPr="005F05B4">
        <w:t>School of Education</w:t>
      </w:r>
    </w:p>
    <w:p w:rsidR="002522EE" w:rsidRPr="005F05B4" w:rsidP="00231048">
      <w:pPr>
        <w:pStyle w:val="font-claude-response-body"/>
        <w:spacing w:before="0" w:beforeAutospacing="0" w:after="0" w:afterAutospacing="0"/>
      </w:pPr>
      <w:r w:rsidRPr="005F05B4">
        <w:t xml:space="preserve">Durham University </w:t>
      </w:r>
    </w:p>
    <w:p w:rsidR="002522EE" w:rsidP="00231048">
      <w:pPr>
        <w:rPr>
          <w:rFonts w:ascii="Times New Roman" w:hAnsi="Times New Roman" w:cs="Times New Roman"/>
        </w:rPr>
      </w:pPr>
    </w:p>
    <w:p w:rsidR="006E669F" w:rsidRPr="006E669F" w:rsidP="00231048">
      <w:pPr>
        <w:rPr>
          <w:rFonts w:ascii="Times New Roman" w:hAnsi="Times New Roman" w:cs="Times New Roman"/>
          <w:i/>
          <w:iCs/>
        </w:rPr>
      </w:pPr>
      <w:r w:rsidRPr="006E669F">
        <w:rPr>
          <w:rFonts w:ascii="Times New Roman" w:hAnsi="Times New Roman" w:cs="Times New Roman"/>
          <w:i/>
          <w:iCs/>
        </w:rPr>
        <w:t>August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4F5BC9"/>
    <w:multiLevelType w:val="multilevel"/>
    <w:tmpl w:val="CFF2EF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560257"/>
    <w:multiLevelType w:val="multilevel"/>
    <w:tmpl w:val="D9FE6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B3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D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D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D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D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DDA"/>
    <w:rPr>
      <w:rFonts w:eastAsiaTheme="majorEastAsia" w:cstheme="majorBidi"/>
      <w:color w:val="272727" w:themeColor="text1" w:themeTint="D8"/>
    </w:rPr>
  </w:style>
  <w:style w:type="paragraph" w:styleId="Title">
    <w:name w:val="Title"/>
    <w:basedOn w:val="Normal"/>
    <w:next w:val="Normal"/>
    <w:link w:val="TitleChar"/>
    <w:uiPriority w:val="10"/>
    <w:qFormat/>
    <w:rsid w:val="009B3D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D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D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3DDA"/>
    <w:rPr>
      <w:i/>
      <w:iCs/>
      <w:color w:val="404040" w:themeColor="text1" w:themeTint="BF"/>
    </w:rPr>
  </w:style>
  <w:style w:type="paragraph" w:styleId="ListParagraph">
    <w:name w:val="List Paragraph"/>
    <w:basedOn w:val="Normal"/>
    <w:uiPriority w:val="34"/>
    <w:qFormat/>
    <w:rsid w:val="009B3DDA"/>
    <w:pPr>
      <w:ind w:left="720"/>
      <w:contextualSpacing/>
    </w:pPr>
  </w:style>
  <w:style w:type="character" w:styleId="IntenseEmphasis">
    <w:name w:val="Intense Emphasis"/>
    <w:basedOn w:val="DefaultParagraphFont"/>
    <w:uiPriority w:val="21"/>
    <w:qFormat/>
    <w:rsid w:val="009B3DDA"/>
    <w:rPr>
      <w:i/>
      <w:iCs/>
      <w:color w:val="0F4761" w:themeColor="accent1" w:themeShade="BF"/>
    </w:rPr>
  </w:style>
  <w:style w:type="paragraph" w:styleId="IntenseQuote">
    <w:name w:val="Intense Quote"/>
    <w:basedOn w:val="Normal"/>
    <w:next w:val="Normal"/>
    <w:link w:val="IntenseQuoteChar"/>
    <w:uiPriority w:val="30"/>
    <w:qFormat/>
    <w:rsid w:val="009B3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DDA"/>
    <w:rPr>
      <w:i/>
      <w:iCs/>
      <w:color w:val="0F4761" w:themeColor="accent1" w:themeShade="BF"/>
    </w:rPr>
  </w:style>
  <w:style w:type="character" w:styleId="IntenseReference">
    <w:name w:val="Intense Reference"/>
    <w:basedOn w:val="DefaultParagraphFont"/>
    <w:uiPriority w:val="32"/>
    <w:qFormat/>
    <w:rsid w:val="009B3DDA"/>
    <w:rPr>
      <w:b/>
      <w:bCs/>
      <w:smallCaps/>
      <w:color w:val="0F4761" w:themeColor="accent1" w:themeShade="BF"/>
      <w:spacing w:val="5"/>
    </w:rPr>
  </w:style>
  <w:style w:type="paragraph" w:customStyle="1" w:styleId="font-claude-response-body">
    <w:name w:val="font-claude-response-body"/>
    <w:basedOn w:val="Normal"/>
    <w:rsid w:val="009B3DDA"/>
    <w:pPr>
      <w:spacing w:before="100" w:beforeAutospacing="1" w:after="100" w:afterAutospacing="1"/>
    </w:pPr>
    <w:rPr>
      <w:rFonts w:ascii="Times New Roman" w:eastAsia="Times New Roman" w:hAnsi="Times New Roman" w:cs="Times New Roman"/>
      <w:kern w:val="0"/>
      <w:lang w:eastAsia="en-GB"/>
    </w:rPr>
  </w:style>
  <w:style w:type="character" w:styleId="Strong">
    <w:name w:val="Strong"/>
    <w:basedOn w:val="DefaultParagraphFont"/>
    <w:uiPriority w:val="22"/>
    <w:qFormat/>
    <w:rsid w:val="009B3DDA"/>
    <w:rPr>
      <w:b/>
      <w:bCs/>
    </w:rPr>
  </w:style>
  <w:style w:type="character" w:styleId="Emphasis">
    <w:name w:val="Emphasis"/>
    <w:basedOn w:val="DefaultParagraphFont"/>
    <w:uiPriority w:val="20"/>
    <w:qFormat/>
    <w:rsid w:val="009B3DDA"/>
    <w:rPr>
      <w:i/>
      <w:iCs/>
    </w:rPr>
  </w:style>
  <w:style w:type="character" w:styleId="Hyperlink">
    <w:name w:val="Hyperlink"/>
    <w:basedOn w:val="DefaultParagraphFont"/>
    <w:uiPriority w:val="99"/>
    <w:unhideWhenUsed/>
    <w:rsid w:val="009B3DDA"/>
    <w:rPr>
      <w:color w:val="0000FF"/>
      <w:u w:val="single"/>
    </w:rPr>
  </w:style>
  <w:style w:type="character" w:styleId="FollowedHyperlink">
    <w:name w:val="FollowedHyperlink"/>
    <w:basedOn w:val="DefaultParagraphFont"/>
    <w:uiPriority w:val="99"/>
    <w:semiHidden/>
    <w:unhideWhenUsed/>
    <w:rsid w:val="009B3DDA"/>
    <w:rPr>
      <w:color w:val="96607D" w:themeColor="followedHyperlink"/>
      <w:u w:val="single"/>
    </w:rPr>
  </w:style>
  <w:style w:type="character" w:customStyle="1" w:styleId="UnresolvedMention1">
    <w:name w:val="Unresolved Mention1"/>
    <w:basedOn w:val="DefaultParagraphFont"/>
    <w:uiPriority w:val="99"/>
    <w:semiHidden/>
    <w:unhideWhenUsed/>
    <w:rsid w:val="00760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ECA0018</dc:title>
  <cp:revision>0</cp:revision>
</cp:coreProperties>
</file>