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4EF6" w:rsidRPr="000005E1" w:rsidP="000D4607">
      <w:pPr>
        <w:spacing w:after="160" w:line="259" w:lineRule="auto"/>
        <w:ind w:left="357" w:hanging="357"/>
        <w:rPr>
          <w:rFonts w:ascii="Verdana" w:hAnsi="Verdana"/>
          <w:b/>
          <w:sz w:val="28"/>
          <w:szCs w:val="28"/>
        </w:rPr>
      </w:pPr>
      <w:r w:rsidRPr="000005E1">
        <w:rPr>
          <w:rFonts w:ascii="Verdana" w:hAnsi="Verdana"/>
          <w:b/>
          <w:bCs/>
          <w:sz w:val="28"/>
          <w:szCs w:val="28"/>
        </w:rPr>
        <w:t>Dr Tariq Umar</w:t>
      </w:r>
      <w:r w:rsidRPr="000005E1" w:rsidR="00F96DCC">
        <w:rPr>
          <w:rFonts w:ascii="Verdana" w:hAnsi="Verdana"/>
          <w:b/>
          <w:sz w:val="28"/>
          <w:szCs w:val="28"/>
        </w:rPr>
        <w:t xml:space="preserve"> – Written evidence (NTB0017)</w:t>
      </w:r>
    </w:p>
    <w:p w:rsidR="0058111B" w:rsidP="000D4607">
      <w:pPr>
        <w:spacing w:after="160" w:line="259" w:lineRule="auto"/>
        <w:ind w:left="357" w:hanging="357"/>
        <w:rPr>
          <w:rFonts w:ascii="Verdana" w:hAnsi="Verdana"/>
          <w:b/>
          <w:sz w:val="22"/>
        </w:rPr>
      </w:pPr>
    </w:p>
    <w:p w:rsidR="00064EF6" w:rsidRPr="000D4607" w:rsidP="000D4607">
      <w:pPr>
        <w:spacing w:after="160" w:line="259" w:lineRule="auto"/>
        <w:ind w:left="357" w:hanging="357"/>
        <w:rPr>
          <w:rFonts w:ascii="Verdana" w:hAnsi="Verdana"/>
          <w:b/>
          <w:sz w:val="22"/>
        </w:rPr>
      </w:pPr>
      <w:r w:rsidRPr="000D4607">
        <w:rPr>
          <w:rFonts w:ascii="Verdana" w:hAnsi="Verdana"/>
          <w:b/>
          <w:sz w:val="22"/>
        </w:rPr>
        <w:t>Summary</w:t>
      </w:r>
    </w:p>
    <w:p w:rsidR="00064EF6" w:rsidRPr="00701246" w:rsidP="00701246">
      <w:pPr>
        <w:pStyle w:val="ListParagraph"/>
        <w:numPr>
          <w:ilvl w:val="0"/>
          <w:numId w:val="11"/>
        </w:numPr>
        <w:spacing w:after="160" w:line="259" w:lineRule="auto"/>
        <w:ind w:left="357" w:hanging="357"/>
        <w:contextualSpacing w:val="0"/>
        <w:rPr>
          <w:rFonts w:ascii="Verdana" w:hAnsi="Verdana"/>
          <w:sz w:val="22"/>
        </w:rPr>
      </w:pPr>
      <w:r w:rsidRPr="00701246">
        <w:rPr>
          <w:rFonts w:ascii="Verdana" w:hAnsi="Verdana"/>
          <w:sz w:val="22"/>
        </w:rPr>
        <w:t>This submission addresses the Committee’s seven questions on the practical delivery of new towns</w:t>
      </w:r>
      <w:r>
        <w:rPr>
          <w:rStyle w:val="FootnoteReference"/>
          <w:rFonts w:ascii="Verdana" w:hAnsi="Verdana"/>
          <w:sz w:val="22"/>
        </w:rPr>
        <w:footnoteReference w:id="2"/>
      </w:r>
      <w:r w:rsidR="001A3018">
        <w:rPr>
          <w:rFonts w:ascii="Verdana" w:hAnsi="Verdana"/>
          <w:sz w:val="22"/>
        </w:rPr>
        <w:t>.</w:t>
      </w:r>
      <w:r w:rsidRPr="00701246">
        <w:rPr>
          <w:rFonts w:ascii="Verdana" w:hAnsi="Verdana"/>
          <w:sz w:val="22"/>
        </w:rPr>
        <w:t xml:space="preserve"> Its central conclusion is that the principal constraint is not any single shortage of land, labour, materials or utility capacity, but the absence of an integrated delivery system capable of sequencing these elements over a long-term programme.</w:t>
      </w:r>
    </w:p>
    <w:p w:rsidR="00064EF6" w:rsidRPr="000D4607" w:rsidP="00701246">
      <w:pPr>
        <w:spacing w:after="160" w:line="259" w:lineRule="auto"/>
        <w:ind w:left="357" w:hanging="357"/>
        <w:rPr>
          <w:rFonts w:ascii="Verdana" w:hAnsi="Verdana"/>
          <w:sz w:val="22"/>
        </w:rPr>
      </w:pPr>
      <w:r w:rsidRPr="000D4607">
        <w:rPr>
          <w:rFonts w:ascii="Verdana" w:hAnsi="Verdana"/>
          <w:sz w:val="22"/>
        </w:rPr>
        <w:t>2. The Government should convert its commitment to “infrastructure-first” development into a funded and measurable programme for each location. Every new town needs a single accountable delivery vehicle, integrated infrastructure and utilities planning, a strategic workforce plan, a supply-chain plan and a transparent delivery schedule</w:t>
      </w:r>
      <w:r w:rsidR="00412C63">
        <w:rPr>
          <w:rFonts w:ascii="Verdana" w:hAnsi="Verdana"/>
          <w:sz w:val="22"/>
        </w:rPr>
        <w:t>.</w:t>
      </w:r>
      <w:r>
        <w:rPr>
          <w:rStyle w:val="FootnoteReference"/>
          <w:rFonts w:ascii="Verdana" w:hAnsi="Verdana"/>
          <w:sz w:val="22"/>
        </w:rPr>
        <w:footnoteReference w:id="3"/>
      </w:r>
      <w:r>
        <w:rPr>
          <w:rFonts w:ascii="Verdana" w:hAnsi="Verdana"/>
          <w:sz w:val="22"/>
        </w:rPr>
        <w:t xml:space="preserve"> </w:t>
      </w:r>
      <w:r w:rsidRPr="000D4607">
        <w:rPr>
          <w:rFonts w:ascii="Verdana" w:hAnsi="Verdana"/>
          <w:sz w:val="22"/>
        </w:rPr>
        <w:t>My research on the Planning and Infrastructure Act 2025 shows that legislative reform can improve infrastructure delivery and project certainty, but only where governance arrangements, institutional capacity and professional practice are aligned</w:t>
      </w:r>
      <w:r>
        <w:rPr>
          <w:rStyle w:val="FootnoteReference"/>
          <w:rFonts w:ascii="Verdana" w:hAnsi="Verdana"/>
          <w:sz w:val="22"/>
        </w:rPr>
        <w:footnoteReference w:id="4"/>
      </w:r>
      <w:r w:rsidRPr="000D4607" w:rsidR="00483988">
        <w:rPr>
          <w:rFonts w:ascii="Verdana" w:hAnsi="Verdana"/>
          <w:sz w:val="22"/>
        </w:rPr>
        <w:t>.</w:t>
      </w:r>
    </w:p>
    <w:p w:rsidR="00064EF6" w:rsidRPr="000D4607" w:rsidP="000D4607">
      <w:pPr>
        <w:spacing w:after="160" w:line="259" w:lineRule="auto"/>
        <w:ind w:left="357" w:hanging="357"/>
        <w:rPr>
          <w:rFonts w:ascii="Verdana" w:hAnsi="Verdana"/>
          <w:sz w:val="22"/>
        </w:rPr>
      </w:pPr>
      <w:r w:rsidRPr="000D4607">
        <w:rPr>
          <w:rFonts w:ascii="Verdana" w:hAnsi="Verdana"/>
          <w:sz w:val="22"/>
        </w:rPr>
        <w:t>3. Skills shortages are a major risk. CITB estimates that construction will require an average of 41,200 additional workers annually between 2026 and 2030</w:t>
      </w:r>
      <w:r w:rsidRPr="000D4607" w:rsidR="00483988">
        <w:rPr>
          <w:rFonts w:ascii="Verdana" w:hAnsi="Verdana"/>
          <w:sz w:val="22"/>
        </w:rPr>
        <w:t>.</w:t>
      </w:r>
      <w:r>
        <w:rPr>
          <w:rStyle w:val="FootnoteReference"/>
          <w:rFonts w:ascii="Verdana" w:hAnsi="Verdana"/>
          <w:sz w:val="22"/>
        </w:rPr>
        <w:footnoteReference w:id="5"/>
      </w:r>
      <w:r w:rsidRPr="000D4607">
        <w:rPr>
          <w:rFonts w:ascii="Verdana" w:hAnsi="Verdana"/>
          <w:sz w:val="22"/>
        </w:rPr>
        <w:t xml:space="preserve"> Training capacity must therefore be commissioned when locations are confirmed, not after construction contracts are awarded.</w:t>
      </w:r>
    </w:p>
    <w:p w:rsidR="00064EF6" w:rsidRPr="000D4607" w:rsidP="000D4607">
      <w:pPr>
        <w:spacing w:after="160" w:line="259" w:lineRule="auto"/>
        <w:ind w:left="357" w:hanging="357"/>
        <w:rPr>
          <w:rFonts w:ascii="Verdana" w:hAnsi="Verdana"/>
          <w:sz w:val="22"/>
        </w:rPr>
      </w:pPr>
      <w:r w:rsidRPr="000D4607">
        <w:rPr>
          <w:rFonts w:ascii="Verdana" w:hAnsi="Verdana"/>
          <w:sz w:val="22"/>
        </w:rPr>
        <w:t>4. Utilities should be planned as a town-wide system rather than plot by plot. The greatest risks often lie in upstream electricity, water and wastewater capacity, regulatory investment cycles and consent for network upgrades, rather than final connections to homes.</w:t>
      </w:r>
    </w:p>
    <w:p w:rsidR="00064EF6" w:rsidRPr="000D4607" w:rsidP="000D4607">
      <w:pPr>
        <w:spacing w:after="160" w:line="259" w:lineRule="auto"/>
        <w:ind w:left="357" w:hanging="357"/>
        <w:rPr>
          <w:rFonts w:ascii="Verdana" w:hAnsi="Verdana"/>
          <w:sz w:val="22"/>
        </w:rPr>
      </w:pPr>
      <w:r w:rsidRPr="000D4607">
        <w:rPr>
          <w:rFonts w:ascii="Verdana" w:hAnsi="Verdana"/>
          <w:sz w:val="22"/>
        </w:rPr>
        <w:t>5. Market confidence requires funded commitments, stable standards, visible procurement dates and fair risk allocation. Quality should be secured through measurable design, sustainability and place-making requirements informed by comparable programmes.</w:t>
      </w:r>
    </w:p>
    <w:p w:rsidR="0058111B" w:rsidP="000D4607">
      <w:pPr>
        <w:spacing w:after="160" w:line="259" w:lineRule="auto"/>
        <w:ind w:left="357" w:hanging="357"/>
        <w:rPr>
          <w:rFonts w:ascii="Verdana" w:hAnsi="Verdana"/>
          <w:b/>
          <w:sz w:val="22"/>
        </w:rPr>
      </w:pPr>
    </w:p>
    <w:p w:rsidR="00064EF6" w:rsidRPr="00905AA0" w:rsidP="000D4607">
      <w:pPr>
        <w:spacing w:after="160" w:line="259" w:lineRule="auto"/>
        <w:ind w:left="357" w:hanging="357"/>
        <w:rPr>
          <w:rFonts w:ascii="Verdana" w:hAnsi="Verdana"/>
          <w:b/>
          <w:sz w:val="22"/>
        </w:rPr>
      </w:pPr>
      <w:r w:rsidRPr="00905AA0">
        <w:rPr>
          <w:rFonts w:ascii="Verdana" w:hAnsi="Verdana"/>
          <w:b/>
          <w:sz w:val="22"/>
        </w:rPr>
        <w:t>About the author</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6. I am an Associate Professor in Sustainable Construction and the Built Environment at the University of the West of England (UWE Bristol), a Chartered Civil Engineer and a researcher in housing delivery, construction productivity, infrastructure, sustainability and digital construction. I have published peer-reviewed research on </w:t>
      </w:r>
      <w:r w:rsidRPr="000D4607">
        <w:rPr>
          <w:rFonts w:ascii="Verdana" w:hAnsi="Verdana"/>
          <w:sz w:val="22"/>
        </w:rPr>
        <w:t>the Planning and Infrastructure Act 2025</w:t>
      </w:r>
      <w:r>
        <w:rPr>
          <w:rStyle w:val="FootnoteReference"/>
          <w:rFonts w:ascii="Verdana" w:hAnsi="Verdana"/>
          <w:sz w:val="22"/>
        </w:rPr>
        <w:footnoteReference w:id="6"/>
      </w:r>
      <w:r w:rsidRPr="000D4607">
        <w:rPr>
          <w:rFonts w:ascii="Verdana" w:hAnsi="Verdana"/>
          <w:sz w:val="22"/>
        </w:rPr>
        <w:t xml:space="preserve"> and on </w:t>
      </w:r>
      <w:r w:rsidRPr="000D4607" w:rsidR="001F24E8">
        <w:rPr>
          <w:rFonts w:ascii="Verdana" w:hAnsi="Verdana"/>
          <w:sz w:val="22"/>
        </w:rPr>
        <w:t>delivery of</w:t>
      </w:r>
      <w:r w:rsidRPr="000D4607" w:rsidR="00483988">
        <w:rPr>
          <w:rFonts w:ascii="Verdana" w:hAnsi="Verdana"/>
          <w:sz w:val="22"/>
        </w:rPr>
        <w:t xml:space="preserve"> </w:t>
      </w:r>
      <w:r w:rsidRPr="000D4607">
        <w:rPr>
          <w:rFonts w:ascii="Verdana" w:hAnsi="Verdana"/>
          <w:sz w:val="22"/>
        </w:rPr>
        <w:t>1.5 million homes</w:t>
      </w:r>
      <w:r>
        <w:rPr>
          <w:rStyle w:val="FootnoteReference"/>
          <w:rFonts w:ascii="Verdana" w:hAnsi="Verdana"/>
          <w:sz w:val="22"/>
        </w:rPr>
        <w:footnoteReference w:id="7"/>
      </w:r>
      <w:r w:rsidRPr="000D4607" w:rsidR="00483988">
        <w:rPr>
          <w:rFonts w:ascii="Verdana" w:hAnsi="Verdana"/>
          <w:sz w:val="22"/>
        </w:rPr>
        <w:t>,</w:t>
      </w:r>
      <w:r w:rsidRPr="000D4607">
        <w:rPr>
          <w:rFonts w:ascii="Verdana" w:hAnsi="Verdana"/>
          <w:sz w:val="22"/>
        </w:rPr>
        <w:t xml:space="preserve"> and previously submitted evidence to the Committee’s work on new-town communities</w:t>
      </w:r>
      <w:r>
        <w:rPr>
          <w:rStyle w:val="FootnoteReference"/>
          <w:rFonts w:ascii="Verdana" w:hAnsi="Verdana"/>
          <w:sz w:val="22"/>
        </w:rPr>
        <w:footnoteReference w:id="8"/>
      </w:r>
      <w:r w:rsidRPr="000D4607" w:rsidR="00483988">
        <w:rPr>
          <w:rFonts w:ascii="Verdana" w:hAnsi="Verdana"/>
          <w:sz w:val="22"/>
        </w:rPr>
        <w:t>.</w:t>
      </w:r>
      <w:r w:rsidRPr="000D4607">
        <w:rPr>
          <w:rFonts w:ascii="Verdana" w:hAnsi="Verdana"/>
          <w:sz w:val="22"/>
        </w:rPr>
        <w:t xml:space="preserve"> This submission is made in a personal capacity.</w:t>
      </w:r>
      <w:r w:rsidRPr="000D4607">
        <w:rPr>
          <w:rFonts w:ascii="Verdana" w:hAnsi="Verdana"/>
          <w:sz w:val="22"/>
        </w:rPr>
        <w:t xml:space="preserve"> </w:t>
      </w:r>
    </w:p>
    <w:p w:rsidR="0058111B" w:rsidP="004107DA">
      <w:pPr>
        <w:spacing w:after="160" w:line="259" w:lineRule="auto"/>
        <w:rPr>
          <w:rFonts w:ascii="Verdana" w:hAnsi="Verdana"/>
          <w:b/>
          <w:bCs/>
          <w:sz w:val="22"/>
        </w:rPr>
      </w:pPr>
    </w:p>
    <w:p w:rsidR="00064EF6" w:rsidRPr="004107DA" w:rsidP="004107DA">
      <w:pPr>
        <w:spacing w:after="160" w:line="259" w:lineRule="auto"/>
        <w:rPr>
          <w:rFonts w:ascii="Verdana" w:hAnsi="Verdana"/>
          <w:b/>
          <w:sz w:val="22"/>
        </w:rPr>
      </w:pPr>
      <w:r>
        <w:rPr>
          <w:rFonts w:ascii="Verdana" w:hAnsi="Verdana"/>
          <w:b/>
          <w:bCs/>
          <w:sz w:val="22"/>
        </w:rPr>
        <w:t>Q1</w:t>
      </w:r>
      <w:r w:rsidR="00801B04">
        <w:rPr>
          <w:rFonts w:ascii="Verdana" w:hAnsi="Verdana"/>
          <w:b/>
          <w:sz w:val="22"/>
        </w:rPr>
        <w:t xml:space="preserve"> </w:t>
      </w:r>
      <w:r w:rsidRPr="004107DA" w:rsidR="00801B04">
        <w:rPr>
          <w:rFonts w:ascii="Verdana" w:hAnsi="Verdana"/>
          <w:b/>
          <w:sz w:val="22"/>
        </w:rPr>
        <w:t>Once locations have been agreed, what factors will limit physical construction? Which are most important and how can they be addressed?</w:t>
      </w:r>
    </w:p>
    <w:p w:rsidR="00064EF6" w:rsidRPr="004107DA" w:rsidP="004107DA">
      <w:pPr>
        <w:spacing w:after="160" w:line="259" w:lineRule="auto"/>
        <w:ind w:left="357" w:hanging="357"/>
        <w:rPr>
          <w:rFonts w:ascii="Verdana" w:hAnsi="Verdana"/>
          <w:sz w:val="22"/>
        </w:rPr>
      </w:pPr>
      <w:r w:rsidRPr="004107DA">
        <w:rPr>
          <w:rFonts w:ascii="Verdana" w:hAnsi="Verdana"/>
          <w:sz w:val="22"/>
        </w:rPr>
        <w:t>7. The binding constraint will be coordination and sequencing. A new town is not simply a large housing site; it comprises land assembly, remediation, transport, energy, water, digital networks, schools, health facilities, public realm and several housing markets. Delay in one critical system can prevent occupation even when homes are physically complete. New towns should therefore be managed as integrated programmes with dependencies, critical paths and gateway decisions. This is consistent with the findin</w:t>
      </w:r>
      <w:r w:rsidRPr="004107DA">
        <w:rPr>
          <w:rFonts w:ascii="Verdana" w:hAnsi="Verdana"/>
          <w:sz w:val="22"/>
        </w:rPr>
        <w:t>g that legislation shapes built-environment outcomes indirectly through governance structures, institutional capability and professional implementation</w:t>
      </w:r>
      <w:r>
        <w:rPr>
          <w:rStyle w:val="FootnoteReference"/>
          <w:rFonts w:ascii="Verdana" w:hAnsi="Verdana"/>
          <w:sz w:val="22"/>
        </w:rPr>
        <w:footnoteReference w:id="9"/>
      </w:r>
      <w:r w:rsidRPr="004107DA" w:rsidR="00483988">
        <w:rPr>
          <w:rFonts w:ascii="Verdana" w:hAnsi="Verdana"/>
          <w:sz w:val="22"/>
        </w:rPr>
        <w:t>.</w:t>
      </w:r>
    </w:p>
    <w:p w:rsidR="00064EF6" w:rsidRPr="004107DA" w:rsidP="004107DA">
      <w:pPr>
        <w:spacing w:after="160" w:line="259" w:lineRule="auto"/>
        <w:ind w:left="357" w:hanging="357"/>
        <w:rPr>
          <w:rFonts w:ascii="Verdana" w:hAnsi="Verdana"/>
          <w:sz w:val="22"/>
        </w:rPr>
      </w:pPr>
      <w:r w:rsidRPr="004107DA">
        <w:rPr>
          <w:rFonts w:ascii="Verdana" w:hAnsi="Verdana"/>
          <w:sz w:val="22"/>
        </w:rPr>
        <w:t xml:space="preserve">8. Workforce capacity is the most immediate industry-wide constraint. CITB estimates that 206,000 additional workers will be required across the UK between 2026 and 2030 </w:t>
      </w:r>
      <w:r>
        <w:rPr>
          <w:rStyle w:val="FootnoteReference"/>
          <w:rFonts w:ascii="Verdana" w:hAnsi="Verdana"/>
          <w:sz w:val="22"/>
        </w:rPr>
        <w:footnoteReference w:id="10"/>
      </w:r>
      <w:r>
        <w:rPr>
          <w:rFonts w:ascii="Verdana" w:hAnsi="Verdana"/>
          <w:sz w:val="22"/>
        </w:rPr>
        <w:t xml:space="preserve"> </w:t>
      </w:r>
      <w:r w:rsidRPr="004107DA">
        <w:rPr>
          <w:rFonts w:ascii="Verdana" w:hAnsi="Verdana"/>
          <w:sz w:val="22"/>
        </w:rPr>
        <w:t>Skills England also identifies substantial demand in trade, technical and professional occupations. The requirement extends beyond site trades to planners, engineers, surveyors, programme managers, building-safety specialists, utilities engineers, digital specialists and low-carbon building-services skills</w:t>
      </w:r>
      <w:r w:rsidR="007D055D">
        <w:rPr>
          <w:rFonts w:ascii="Verdana" w:hAnsi="Verdana"/>
          <w:sz w:val="22"/>
        </w:rPr>
        <w:t>.</w:t>
      </w:r>
      <w:r>
        <w:rPr>
          <w:rStyle w:val="FootnoteReference"/>
          <w:rFonts w:ascii="Verdana" w:hAnsi="Verdana"/>
          <w:sz w:val="22"/>
        </w:rPr>
        <w:footnoteReference w:id="11"/>
      </w:r>
    </w:p>
    <w:p w:rsidR="00064EF6" w:rsidRPr="004107DA" w:rsidP="004107DA">
      <w:pPr>
        <w:spacing w:after="160" w:line="259" w:lineRule="auto"/>
        <w:ind w:left="357" w:hanging="357"/>
        <w:rPr>
          <w:rFonts w:ascii="Verdana" w:hAnsi="Verdana"/>
          <w:sz w:val="22"/>
        </w:rPr>
      </w:pPr>
      <w:r w:rsidRPr="004107DA">
        <w:rPr>
          <w:rFonts w:ascii="Verdana" w:hAnsi="Verdana"/>
          <w:sz w:val="22"/>
        </w:rPr>
        <w:t>9. Each delivery vehicle should agree a New Town Skills Compact with Skills England, strategic authorities, colleges, universities, training providers, employers and professional bodies. It should forecast occupational demand by phase; support teaching staff, equipment and site-ready training; secure placements and apprenticeships through procurement; and enable adult retraining and portable qualifications.</w:t>
      </w:r>
    </w:p>
    <w:p w:rsidR="00064EF6" w:rsidRPr="004107DA" w:rsidP="004107DA">
      <w:pPr>
        <w:spacing w:after="160" w:line="259" w:lineRule="auto"/>
        <w:ind w:left="357" w:hanging="357"/>
        <w:rPr>
          <w:rFonts w:ascii="Verdana" w:hAnsi="Verdana"/>
          <w:sz w:val="22"/>
        </w:rPr>
      </w:pPr>
      <w:r w:rsidRPr="004107DA">
        <w:rPr>
          <w:rFonts w:ascii="Verdana" w:hAnsi="Verdana"/>
          <w:sz w:val="22"/>
        </w:rPr>
        <w:t xml:space="preserve">10. Supply-chain confidence is closely related. Manufacturers and specialist contractors need location, volume, specification and procurement certainty. The New Towns Unit should publish an aggregated ten-year demand forecast covering housing starts, infrastructure packages and likely demand for key products and systems. This should identify bottlenecks without locking the programme into one technology </w:t>
      </w:r>
      <w:r>
        <w:rPr>
          <w:rStyle w:val="FootnoteReference"/>
          <w:rFonts w:ascii="Verdana" w:hAnsi="Verdana"/>
          <w:sz w:val="22"/>
        </w:rPr>
        <w:footnoteReference w:id="12"/>
      </w:r>
      <w:r>
        <w:rPr>
          <w:rStyle w:val="FootnoteReference"/>
          <w:rFonts w:ascii="Verdana" w:hAnsi="Verdana"/>
          <w:sz w:val="22"/>
        </w:rPr>
        <w:footnoteReference w:id="13"/>
      </w:r>
    </w:p>
    <w:p w:rsidR="00064EF6" w:rsidRPr="004107DA" w:rsidP="004107DA">
      <w:pPr>
        <w:spacing w:after="160" w:line="259" w:lineRule="auto"/>
        <w:ind w:left="357" w:hanging="357"/>
        <w:rPr>
          <w:rFonts w:ascii="Verdana" w:hAnsi="Verdana"/>
          <w:sz w:val="22"/>
        </w:rPr>
      </w:pPr>
      <w:r w:rsidRPr="004107DA">
        <w:rPr>
          <w:rFonts w:ascii="Verdana" w:hAnsi="Verdana"/>
          <w:sz w:val="22"/>
        </w:rPr>
        <w:t>11. Modern methods of construction, digital design and standardisation can improve productivity, but they are not substitutes for stable demand, competent management or a skilled workforce. The objective should be repeatability without architectural uniformity: common performance requirements, interoperable components, standard utility interfaces and reusable digital information, while allowing local design responses.</w:t>
      </w:r>
    </w:p>
    <w:p w:rsidR="00064EF6" w:rsidRPr="004107DA" w:rsidP="004107DA">
      <w:pPr>
        <w:spacing w:after="160" w:line="259" w:lineRule="auto"/>
        <w:ind w:left="357" w:hanging="357"/>
        <w:rPr>
          <w:rFonts w:ascii="Verdana" w:hAnsi="Verdana"/>
          <w:sz w:val="22"/>
        </w:rPr>
      </w:pPr>
      <w:r w:rsidRPr="004107DA">
        <w:rPr>
          <w:rFonts w:ascii="Verdana" w:hAnsi="Verdana"/>
          <w:sz w:val="22"/>
        </w:rPr>
        <w:t xml:space="preserve">12. Large sites must avoid dependence on a single volume housebuilder and its sales absorption rate. Delivery vehicles should act as master developers, provide serviced parcels, and phase land release for housing associations, small and medium-sized builders, build-to-rent providers and community-led housing alongside major developers. Multiple tenures and delivery channels can increase simultaneous build-out and resilience </w:t>
      </w:r>
      <w:r>
        <w:rPr>
          <w:rStyle w:val="FootnoteReference"/>
          <w:rFonts w:ascii="Verdana" w:hAnsi="Verdana"/>
          <w:sz w:val="22"/>
        </w:rPr>
        <w:footnoteReference w:id="14"/>
      </w:r>
    </w:p>
    <w:p w:rsidR="00064EF6" w:rsidRPr="000D4607" w:rsidP="000D4607">
      <w:pPr>
        <w:spacing w:after="160" w:line="259" w:lineRule="auto"/>
        <w:ind w:left="357" w:hanging="357"/>
        <w:rPr>
          <w:rFonts w:ascii="Verdana" w:hAnsi="Verdana"/>
          <w:sz w:val="22"/>
        </w:rPr>
      </w:pPr>
      <w:r w:rsidRPr="000D4607">
        <w:rPr>
          <w:rFonts w:ascii="Verdana" w:hAnsi="Verdana"/>
          <w:sz w:val="22"/>
        </w:rPr>
        <w:t>13. Ground conditions, remediation, flood risk and enabling works can create major uncertainty. Site investigation should be completed at programme level before parcels are marketed, supported by a shared digital ground model and clear risk allocation. Early investment in remediation and primary infrastructure can convert uncertain land into investable serviced plots.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14. Speed must not be achieved by weakening building safety, product assurance or environmental performance. Programme-wide specifications should support a “golden thread” from design and product selection through installation, commissioning and post-occupancy evaluation </w:t>
      </w:r>
      <w:r>
        <w:rPr>
          <w:rStyle w:val="FootnoteReference"/>
          <w:rFonts w:ascii="Verdana" w:hAnsi="Verdana"/>
          <w:sz w:val="22"/>
        </w:rPr>
        <w:footnoteReference w:id="15"/>
      </w:r>
      <w:r>
        <w:rPr>
          <w:rFonts w:ascii="Verdana" w:hAnsi="Verdana"/>
          <w:sz w:val="22"/>
        </w:rPr>
        <w:t xml:space="preserve"> </w:t>
      </w:r>
      <w:r w:rsidRPr="000D4607">
        <w:rPr>
          <w:rFonts w:ascii="Verdana" w:hAnsi="Verdana"/>
          <w:sz w:val="22"/>
        </w:rPr>
        <w:t>Defects and rework are themselves major productivity losses.</w:t>
      </w:r>
    </w:p>
    <w:p w:rsidR="0058111B" w:rsidP="00DD5524">
      <w:pPr>
        <w:spacing w:after="160" w:line="259" w:lineRule="auto"/>
        <w:rPr>
          <w:rFonts w:ascii="Verdana" w:hAnsi="Verdana"/>
          <w:b/>
          <w:bCs/>
          <w:sz w:val="22"/>
        </w:rPr>
      </w:pPr>
    </w:p>
    <w:p w:rsidR="00064EF6" w:rsidRPr="000D4607" w:rsidP="00DD5524">
      <w:pPr>
        <w:spacing w:after="160" w:line="259" w:lineRule="auto"/>
        <w:rPr>
          <w:rFonts w:ascii="Verdana" w:hAnsi="Verdana"/>
          <w:sz w:val="22"/>
        </w:rPr>
      </w:pPr>
      <w:r>
        <w:rPr>
          <w:rFonts w:ascii="Verdana" w:hAnsi="Verdana"/>
          <w:b/>
          <w:bCs/>
          <w:sz w:val="22"/>
        </w:rPr>
        <w:t>Q2</w:t>
      </w:r>
      <w:r w:rsidR="00801B04">
        <w:rPr>
          <w:rFonts w:ascii="Verdana" w:hAnsi="Verdana"/>
          <w:b/>
          <w:sz w:val="22"/>
        </w:rPr>
        <w:t xml:space="preserve"> </w:t>
      </w:r>
      <w:r w:rsidRPr="00DD5524" w:rsidR="00801B04">
        <w:rPr>
          <w:rFonts w:ascii="Verdana" w:hAnsi="Verdana"/>
          <w:b/>
          <w:sz w:val="22"/>
        </w:rPr>
        <w:t>What are the greatest challenges in connecting new towns to utilities, and how can they be addressed?</w:t>
      </w:r>
    </w:p>
    <w:p w:rsidR="00064EF6" w:rsidRPr="000D4607" w:rsidP="000D4607">
      <w:pPr>
        <w:spacing w:after="160" w:line="259" w:lineRule="auto"/>
        <w:ind w:left="357" w:hanging="357"/>
        <w:rPr>
          <w:rFonts w:ascii="Verdana" w:hAnsi="Verdana"/>
          <w:sz w:val="22"/>
        </w:rPr>
      </w:pPr>
      <w:r w:rsidRPr="000D4607">
        <w:rPr>
          <w:rFonts w:ascii="Verdana" w:hAnsi="Verdana"/>
          <w:sz w:val="22"/>
        </w:rPr>
        <w:t>15. The principal challenge is the mismatch between new-town timescales and utility planning and regulatory cycles. Water-resource, wastewater and electricity-network investments can require years of forecasting, approval, financing, consent and construction. By the time a planning application is submitted, it may already be too late for major upstream capacity to enter the relevant investment cycle.</w:t>
      </w:r>
    </w:p>
    <w:p w:rsidR="00064EF6" w:rsidRPr="000D4607" w:rsidP="000D4607">
      <w:pPr>
        <w:spacing w:after="160" w:line="259" w:lineRule="auto"/>
        <w:ind w:left="357" w:hanging="357"/>
        <w:rPr>
          <w:rFonts w:ascii="Verdana" w:hAnsi="Verdana"/>
          <w:sz w:val="22"/>
        </w:rPr>
      </w:pPr>
      <w:r w:rsidRPr="000D4607">
        <w:rPr>
          <w:rFonts w:ascii="Verdana" w:hAnsi="Verdana"/>
          <w:sz w:val="22"/>
        </w:rPr>
        <w:t>16. Evidence to the Committee on 7 July distinguished the functioning market for “last-mile” connections from the harder question of upstream capacity. Water-sector evidence also warned that current plans pre-date the latest new-town proposals</w:t>
      </w:r>
      <w:r w:rsidR="00BD0DAA">
        <w:rPr>
          <w:rFonts w:ascii="Verdana" w:hAnsi="Verdana"/>
          <w:sz w:val="22"/>
        </w:rPr>
        <w:t>.</w:t>
      </w:r>
      <w:r>
        <w:rPr>
          <w:rStyle w:val="FootnoteReference"/>
          <w:rFonts w:ascii="Verdana" w:hAnsi="Verdana"/>
          <w:sz w:val="22"/>
        </w:rPr>
        <w:footnoteReference w:id="16"/>
      </w:r>
      <w:r>
        <w:rPr>
          <w:rFonts w:ascii="Verdana" w:hAnsi="Verdana"/>
          <w:sz w:val="22"/>
        </w:rPr>
        <w:t xml:space="preserve"> </w:t>
      </w:r>
      <w:r w:rsidRPr="000D4607">
        <w:rPr>
          <w:rFonts w:ascii="Verdana" w:hAnsi="Verdana"/>
          <w:sz w:val="22"/>
        </w:rPr>
        <w:t>Electricity demand will likewise be affected by electric heating, vehicles, commercial activity and digital infrastructure.</w:t>
      </w:r>
    </w:p>
    <w:p w:rsidR="00064EF6" w:rsidRPr="000D4607" w:rsidP="000D4607">
      <w:pPr>
        <w:spacing w:after="160" w:line="259" w:lineRule="auto"/>
        <w:ind w:left="357" w:hanging="357"/>
        <w:rPr>
          <w:rFonts w:ascii="Verdana" w:hAnsi="Verdana"/>
          <w:sz w:val="22"/>
        </w:rPr>
      </w:pPr>
      <w:r w:rsidRPr="000D4607">
        <w:rPr>
          <w:rFonts w:ascii="Verdana" w:hAnsi="Verdana"/>
          <w:sz w:val="22"/>
        </w:rPr>
        <w:t>17. Each location should prepare an Integrated Utility and Infrastructure Plan before town-wide planning approval. It should cover electricity, water resources, wastewater, surface-water drainage, heat, transport interfaces and digital connectivity, identifying demand scenarios, capacity triggers, land requirements, consent routes, funding responsibilities, resilience standards and delivery dates.</w:t>
      </w:r>
    </w:p>
    <w:p w:rsidR="00064EF6" w:rsidRPr="000D4607" w:rsidP="000D4607">
      <w:pPr>
        <w:spacing w:after="160" w:line="259" w:lineRule="auto"/>
        <w:ind w:left="357" w:hanging="357"/>
        <w:rPr>
          <w:rFonts w:ascii="Verdana" w:hAnsi="Verdana"/>
          <w:sz w:val="22"/>
        </w:rPr>
      </w:pPr>
      <w:r w:rsidRPr="000D4607">
        <w:rPr>
          <w:rFonts w:ascii="Verdana" w:hAnsi="Verdana"/>
          <w:sz w:val="22"/>
        </w:rPr>
        <w:t>18. A Utility Delivery Board should sit within each delivery vehicle and include network companies, independent providers, telecommunications providers, transport bodies, regulators and local authorities. Chaired by the senior responsible owner, it should have a rapid escalation route through the New Towns Unit and produce one coordinated programme rather than separate utility plans.</w:t>
      </w:r>
    </w:p>
    <w:p w:rsidR="00064EF6" w:rsidRPr="000D4607" w:rsidP="000D4607">
      <w:pPr>
        <w:spacing w:after="160" w:line="259" w:lineRule="auto"/>
        <w:ind w:left="357" w:hanging="357"/>
        <w:rPr>
          <w:rFonts w:ascii="Verdana" w:hAnsi="Verdana"/>
          <w:sz w:val="22"/>
        </w:rPr>
      </w:pPr>
      <w:r w:rsidRPr="000D4607">
        <w:rPr>
          <w:rFonts w:ascii="Verdana" w:hAnsi="Verdana"/>
          <w:sz w:val="22"/>
        </w:rPr>
        <w:t>19. Government and regulators should enable anticipatory investment where demand is credible. Network companies should not finance speculative capacity without evidence, but neither should the first phase bear the full cost of infrastructure serving later phases. Milestone-based investment can be released as land control, planning, procurement and occupancy thresholds are achieved, with costs recovered across development.</w:t>
      </w:r>
    </w:p>
    <w:p w:rsidR="00064EF6" w:rsidRPr="000D4607" w:rsidP="000D4607">
      <w:pPr>
        <w:spacing w:after="160" w:line="259" w:lineRule="auto"/>
        <w:ind w:left="357" w:hanging="357"/>
        <w:rPr>
          <w:rFonts w:ascii="Verdana" w:hAnsi="Verdana"/>
          <w:sz w:val="22"/>
        </w:rPr>
      </w:pPr>
      <w:r w:rsidRPr="000D4607">
        <w:rPr>
          <w:rFonts w:ascii="Verdana" w:hAnsi="Verdana"/>
          <w:sz w:val="22"/>
        </w:rPr>
        <w:t>20. Upstream infrastructure must receive planning attention at the same time as the town. Approval of housing without a credible route for substations, network reinforcement, reservoirs, treatment capacity, pumping stations, strategic drainage or transport links merely transfers delay elsewhere.</w:t>
      </w:r>
    </w:p>
    <w:p w:rsidR="00064EF6" w:rsidRPr="000D4607" w:rsidP="000D4607">
      <w:pPr>
        <w:spacing w:after="160" w:line="259" w:lineRule="auto"/>
        <w:ind w:left="357" w:hanging="357"/>
        <w:rPr>
          <w:rFonts w:ascii="Verdana" w:hAnsi="Verdana"/>
          <w:sz w:val="22"/>
        </w:rPr>
      </w:pPr>
      <w:r w:rsidRPr="000D4607">
        <w:rPr>
          <w:rFonts w:ascii="Verdana" w:hAnsi="Verdana"/>
          <w:sz w:val="22"/>
        </w:rPr>
        <w:t>21. Demand reduction should be treated as infrastructure. Water-efficient buildings, sustainable drainage, safe rainwater reuse, smart metering, local energy flexibility, heat networks where viable, solar generation and storage can reduce upstream reinforcement. These measures should be designed into masterplans and business cases, not added as late conditions.</w:t>
      </w:r>
    </w:p>
    <w:p w:rsidR="00064EF6" w:rsidRPr="000D4607" w:rsidP="000D4607">
      <w:pPr>
        <w:spacing w:after="160" w:line="259" w:lineRule="auto"/>
        <w:ind w:left="357" w:hanging="357"/>
        <w:rPr>
          <w:rFonts w:ascii="Verdana" w:hAnsi="Verdana"/>
          <w:sz w:val="22"/>
        </w:rPr>
      </w:pPr>
      <w:r w:rsidRPr="000D4607">
        <w:rPr>
          <w:rFonts w:ascii="Verdana" w:hAnsi="Verdana"/>
          <w:sz w:val="22"/>
        </w:rPr>
        <w:t>22. A recent Government and Anglian Water agreement reportedly unlocked more than 18,000 homes through earlier collaboration and phased upgrades across investment cycles. Government should evaluate this quickly and establish a standard new-towns protocol with service levels, decision points and clear responsibilities [12].</w:t>
      </w:r>
    </w:p>
    <w:p w:rsidR="0058111B" w:rsidP="003337E8">
      <w:pPr>
        <w:spacing w:after="160" w:line="259" w:lineRule="auto"/>
        <w:rPr>
          <w:rFonts w:ascii="Verdana" w:hAnsi="Verdana"/>
          <w:b/>
          <w:bCs/>
          <w:sz w:val="22"/>
        </w:rPr>
      </w:pPr>
    </w:p>
    <w:p w:rsidR="00064EF6" w:rsidRPr="003337E8" w:rsidP="003337E8">
      <w:pPr>
        <w:spacing w:after="160" w:line="259" w:lineRule="auto"/>
        <w:rPr>
          <w:rFonts w:ascii="Verdana" w:hAnsi="Verdana"/>
          <w:b/>
          <w:sz w:val="22"/>
        </w:rPr>
      </w:pPr>
      <w:r>
        <w:rPr>
          <w:rFonts w:ascii="Verdana" w:hAnsi="Verdana"/>
          <w:b/>
          <w:bCs/>
          <w:sz w:val="22"/>
        </w:rPr>
        <w:t>Q3</w:t>
      </w:r>
      <w:r w:rsidR="00801B04">
        <w:rPr>
          <w:rFonts w:ascii="Verdana" w:hAnsi="Verdana"/>
          <w:b/>
          <w:sz w:val="22"/>
        </w:rPr>
        <w:t xml:space="preserve"> </w:t>
      </w:r>
      <w:r w:rsidRPr="003337E8" w:rsidR="00801B04">
        <w:rPr>
          <w:rFonts w:ascii="Verdana" w:hAnsi="Verdana"/>
          <w:b/>
          <w:sz w:val="22"/>
        </w:rPr>
        <w:t>Which policy areas or barriers are the “low-hanging fruit”? Are there quick fixes?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23. First, publish a National New Towns Delivery Pipeline within six months of final location decisions. It should show expected first homes, annual delivery ranges, enabling works, utility milestones, procurement dates and the responsible delivery body. Commercial sensitivity can be protected, but the market needs enough information to plan investment. The Planning and Infrastructure Act 2025 offers opportunities to accelerate infrastructure delivery and improve certainty, but a visible pipeline is needed </w:t>
      </w:r>
      <w:r w:rsidRPr="000D4607">
        <w:rPr>
          <w:rFonts w:ascii="Verdana" w:hAnsi="Verdana"/>
          <w:sz w:val="22"/>
        </w:rPr>
        <w:t xml:space="preserve">to translate legal reform into market confidence </w:t>
      </w:r>
      <w:r>
        <w:rPr>
          <w:rStyle w:val="FootnoteReference"/>
          <w:rFonts w:ascii="Verdana" w:hAnsi="Verdana"/>
          <w:sz w:val="22"/>
        </w:rPr>
        <w:footnoteReference w:id="17"/>
      </w:r>
      <w:r>
        <w:rPr>
          <w:rStyle w:val="FootnoteReference"/>
          <w:rFonts w:ascii="Verdana" w:hAnsi="Verdana"/>
          <w:sz w:val="22"/>
        </w:rPr>
        <w:footnoteReference w:id="18"/>
      </w:r>
    </w:p>
    <w:p w:rsidR="00064EF6" w:rsidRPr="000D4607" w:rsidP="000D4607">
      <w:pPr>
        <w:spacing w:after="160" w:line="259" w:lineRule="auto"/>
        <w:ind w:left="357" w:hanging="357"/>
        <w:rPr>
          <w:rFonts w:ascii="Verdana" w:hAnsi="Verdana"/>
          <w:sz w:val="22"/>
        </w:rPr>
      </w:pPr>
      <w:r w:rsidRPr="000D4607">
        <w:rPr>
          <w:rFonts w:ascii="Verdana" w:hAnsi="Verdana"/>
          <w:sz w:val="22"/>
        </w:rPr>
        <w:t>24. Second, require each delivery vehicle to produce, within its first year, four aligned documents: an integrated master programme; an infrastructure and utilities plan; a workforce and skills plan; and a supply-chain and procurement plan. Government funding should be conditional on independent assurance of these plans.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25. Third, introduce standard templates for utility data requests, connection agreements, land access, adoption standards and escalation. This would reduce </w:t>
      </w:r>
      <w:r w:rsidRPr="000D4607">
        <w:rPr>
          <w:rFonts w:ascii="Verdana" w:hAnsi="Verdana"/>
          <w:sz w:val="22"/>
        </w:rPr>
        <w:t>repeated negotiation and help smaller builders participate without large specialist teams.</w:t>
      </w:r>
    </w:p>
    <w:p w:rsidR="00064EF6" w:rsidRPr="000D4607" w:rsidP="000D4607">
      <w:pPr>
        <w:spacing w:after="160" w:line="259" w:lineRule="auto"/>
        <w:ind w:left="357" w:hanging="357"/>
        <w:rPr>
          <w:rFonts w:ascii="Verdana" w:hAnsi="Verdana"/>
          <w:sz w:val="22"/>
        </w:rPr>
      </w:pPr>
      <w:r w:rsidRPr="000D4607">
        <w:rPr>
          <w:rFonts w:ascii="Verdana" w:hAnsi="Verdana"/>
          <w:sz w:val="22"/>
        </w:rPr>
        <w:t>26. Fourth, involve colleges and training providers immediately. Curriculum planning, teacher recruitment and capital investment have long lead times. Procurement should convert social-value commitments into named apprenticeship places, work placements and SME training support.</w:t>
      </w:r>
    </w:p>
    <w:p w:rsidR="00064EF6" w:rsidRPr="000D4607" w:rsidP="000D4607">
      <w:pPr>
        <w:spacing w:after="160" w:line="259" w:lineRule="auto"/>
        <w:ind w:left="357" w:hanging="357"/>
        <w:rPr>
          <w:rFonts w:ascii="Verdana" w:hAnsi="Verdana"/>
          <w:sz w:val="22"/>
        </w:rPr>
      </w:pPr>
      <w:r w:rsidRPr="000D4607">
        <w:rPr>
          <w:rFonts w:ascii="Verdana" w:hAnsi="Verdana"/>
          <w:sz w:val="22"/>
        </w:rPr>
        <w:t>27. Fifth, establish a common digital environment combining geospatial information, land ownership, utilities, ground conditions, planning constraints, design data, carbon information and delivery milestones. It should become the authoritative source for public bodies, utilities and delivery partners.</w:t>
      </w:r>
    </w:p>
    <w:p w:rsidR="00064EF6" w:rsidRPr="000D4607" w:rsidP="000D4607">
      <w:pPr>
        <w:spacing w:after="160" w:line="259" w:lineRule="auto"/>
        <w:ind w:left="357" w:hanging="357"/>
        <w:rPr>
          <w:rFonts w:ascii="Verdana" w:hAnsi="Verdana"/>
          <w:sz w:val="22"/>
        </w:rPr>
      </w:pPr>
      <w:r w:rsidRPr="000D4607">
        <w:rPr>
          <w:rFonts w:ascii="Verdana" w:hAnsi="Verdana"/>
          <w:sz w:val="22"/>
        </w:rPr>
        <w:t>28. Sixth, standardise performance requirements and selected repeatable elements, such as utility corridors and some public buildings. This can create predictable demand and reduce redesign, but should not impose monotonous architecture or exclude local materials and design talent.</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29. Seventh, improve procurement. Early contractor involvement, two-stage procurement and whole-life value assessment should replace lowest-price tendering where risks remain undefined. Contracts should allocate risks to those best able to manage them, provide prompt payment and avoid transferring </w:t>
      </w:r>
      <w:r w:rsidRPr="000D4607">
        <w:rPr>
          <w:rFonts w:ascii="Verdana" w:hAnsi="Verdana"/>
          <w:sz w:val="22"/>
        </w:rPr>
        <w:t>unmanageable risk to SMEs.</w:t>
      </w:r>
    </w:p>
    <w:p w:rsidR="0058111B" w:rsidP="003337E8">
      <w:pPr>
        <w:spacing w:after="160" w:line="259" w:lineRule="auto"/>
        <w:rPr>
          <w:rFonts w:ascii="Verdana" w:hAnsi="Verdana"/>
          <w:b/>
          <w:bCs/>
          <w:sz w:val="22"/>
        </w:rPr>
      </w:pPr>
    </w:p>
    <w:p w:rsidR="00064EF6" w:rsidRPr="003337E8" w:rsidP="003337E8">
      <w:pPr>
        <w:spacing w:after="160" w:line="259" w:lineRule="auto"/>
        <w:rPr>
          <w:rFonts w:ascii="Verdana" w:hAnsi="Verdana"/>
          <w:b/>
          <w:sz w:val="22"/>
        </w:rPr>
      </w:pPr>
      <w:r>
        <w:rPr>
          <w:rFonts w:ascii="Verdana" w:hAnsi="Verdana"/>
          <w:b/>
          <w:bCs/>
          <w:sz w:val="22"/>
        </w:rPr>
        <w:t>Q4</w:t>
      </w:r>
      <w:r w:rsidR="00801B04">
        <w:rPr>
          <w:rFonts w:ascii="Verdana" w:hAnsi="Verdana"/>
          <w:b/>
          <w:sz w:val="22"/>
        </w:rPr>
        <w:t xml:space="preserve"> </w:t>
      </w:r>
      <w:r w:rsidRPr="003337E8" w:rsidR="00801B04">
        <w:rPr>
          <w:rFonts w:ascii="Verdana" w:hAnsi="Verdana"/>
          <w:b/>
          <w:sz w:val="22"/>
        </w:rPr>
        <w:t>What should Government and delivery vehicles do in the short term to ensure long-term success?</w:t>
      </w:r>
    </w:p>
    <w:p w:rsidR="00064EF6" w:rsidRPr="000D4607" w:rsidP="000D4607">
      <w:pPr>
        <w:spacing w:after="160" w:line="259" w:lineRule="auto"/>
        <w:ind w:left="357" w:hanging="357"/>
        <w:rPr>
          <w:rFonts w:ascii="Verdana" w:hAnsi="Verdana"/>
          <w:sz w:val="22"/>
        </w:rPr>
      </w:pPr>
      <w:r w:rsidRPr="000D4607">
        <w:rPr>
          <w:rFonts w:ascii="Verdana" w:hAnsi="Verdana"/>
          <w:sz w:val="22"/>
        </w:rPr>
        <w:t>30. Government should confirm locations, delivery models and accountable senior owners promptly after statutory assessments. Prolonged uncertainty prevents local authorities, utilities, colleges and suppliers from committing resources. Where development corporations are appropriate, consultation and establishment should begin immediately. The potential benefits of the Planning and Infrastructure Act 2025 will not be realised unless implementing bodies have clear responsibilities, sufficient resources and ap</w:t>
      </w:r>
      <w:r w:rsidRPr="000D4607">
        <w:rPr>
          <w:rFonts w:ascii="Verdana" w:hAnsi="Verdana"/>
          <w:sz w:val="22"/>
        </w:rPr>
        <w:t xml:space="preserve">propriately skilled professionals </w:t>
      </w:r>
      <w:r>
        <w:rPr>
          <w:rStyle w:val="FootnoteReference"/>
          <w:rFonts w:ascii="Verdana" w:hAnsi="Verdana"/>
          <w:sz w:val="22"/>
        </w:rPr>
        <w:footnoteReference w:id="19"/>
      </w:r>
    </w:p>
    <w:p w:rsidR="00064EF6" w:rsidRPr="000D4607" w:rsidP="000D4607">
      <w:pPr>
        <w:spacing w:after="160" w:line="259" w:lineRule="auto"/>
        <w:ind w:left="357" w:hanging="357"/>
        <w:rPr>
          <w:rFonts w:ascii="Verdana" w:hAnsi="Verdana"/>
          <w:sz w:val="22"/>
        </w:rPr>
      </w:pPr>
      <w:r w:rsidRPr="000D4607">
        <w:rPr>
          <w:rFonts w:ascii="Verdana" w:hAnsi="Verdana"/>
          <w:sz w:val="22"/>
        </w:rPr>
        <w:t>31. In the first 12 months, each location should complete baseline audits of land control, ground and remediation risk, utilities, transport, skills, construction capacity, environmental constraints, embodied carbon and social infrastructure. These should become a costed master programme with dependencies and contingency, not remain separate reports.</w:t>
      </w:r>
    </w:p>
    <w:p w:rsidR="00064EF6" w:rsidRPr="000D4607" w:rsidP="000D4607">
      <w:pPr>
        <w:spacing w:after="160" w:line="259" w:lineRule="auto"/>
        <w:ind w:left="357" w:hanging="357"/>
        <w:rPr>
          <w:rFonts w:ascii="Verdana" w:hAnsi="Verdana"/>
          <w:sz w:val="22"/>
        </w:rPr>
      </w:pPr>
      <w:r w:rsidRPr="000D4607">
        <w:rPr>
          <w:rFonts w:ascii="Verdana" w:hAnsi="Verdana"/>
          <w:sz w:val="22"/>
        </w:rPr>
        <w:t>32. Delivery vehicles should acquire or control sufficient land early, protect infrastructure corridors, and commission enabling works benefiting the whole town. Public investment should prioritise systemic risks—remediation, access, strategic drainage, network capacity and serviced parcels—rather than isolated grants to individual plots.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33. Government should aggregate procurement where this creates genuine scale while preserving competition and regional access. Programme-level frameworks could cover technical advisers, site investigation, digital standards and repeatable </w:t>
      </w:r>
      <w:r w:rsidRPr="000D4607">
        <w:rPr>
          <w:rFonts w:ascii="Verdana" w:hAnsi="Verdana"/>
          <w:sz w:val="22"/>
        </w:rPr>
        <w:t>infrastructure, while construction packages should remain accessible to local and specialist firms.</w:t>
      </w:r>
    </w:p>
    <w:p w:rsidR="00064EF6" w:rsidRPr="000D4607" w:rsidP="000D4607">
      <w:pPr>
        <w:spacing w:after="160" w:line="259" w:lineRule="auto"/>
        <w:ind w:left="357" w:hanging="357"/>
        <w:rPr>
          <w:rFonts w:ascii="Verdana" w:hAnsi="Verdana"/>
          <w:sz w:val="22"/>
        </w:rPr>
      </w:pPr>
      <w:r w:rsidRPr="000D4607">
        <w:rPr>
          <w:rFonts w:ascii="Verdana" w:hAnsi="Verdana"/>
          <w:sz w:val="22"/>
        </w:rPr>
        <w:t>34. Skills programmes must follow the delivery sequence. Early activity requires planners, surveyors, engineers, environmental specialists and programme managers before large numbers of site trades. Workforce plans focused only on construction apprenticeships will miss the professional capacity required to make projects ready.</w:t>
      </w:r>
    </w:p>
    <w:p w:rsidR="00064EF6" w:rsidRPr="000D4607" w:rsidP="000D4607">
      <w:pPr>
        <w:spacing w:after="160" w:line="259" w:lineRule="auto"/>
        <w:ind w:left="357" w:hanging="357"/>
        <w:rPr>
          <w:rFonts w:ascii="Verdana" w:hAnsi="Verdana"/>
          <w:sz w:val="22"/>
        </w:rPr>
      </w:pPr>
      <w:r w:rsidRPr="000D4607">
        <w:rPr>
          <w:rFonts w:ascii="Verdana" w:hAnsi="Verdana"/>
          <w:sz w:val="22"/>
        </w:rPr>
        <w:t>35. Each town should report measurable outcomes: homes completed, serviced parcels released, utility milestones, apprenticeship completions, SME participation, cost and schedule variance, safety and defects, operational energy and water, embodied carbon, biodiversity and resident satisfaction. Independent annual reporting should expose slippage and enable learning between phases.</w:t>
      </w:r>
    </w:p>
    <w:p w:rsidR="00064EF6" w:rsidRPr="000D4607" w:rsidP="000D4607">
      <w:pPr>
        <w:spacing w:after="160" w:line="259" w:lineRule="auto"/>
        <w:ind w:left="357" w:hanging="357"/>
        <w:rPr>
          <w:rFonts w:ascii="Verdana" w:hAnsi="Verdana"/>
          <w:sz w:val="22"/>
        </w:rPr>
      </w:pPr>
      <w:r w:rsidRPr="000D4607">
        <w:rPr>
          <w:rFonts w:ascii="Verdana" w:hAnsi="Verdana"/>
          <w:sz w:val="22"/>
        </w:rPr>
        <w:t>36. Pressure to show early progress must be managed. Pilot neighbourhoods can create momentum, but should remain within the town-wide plan. Early phases must not consume the easiest land while leaving later phases with unaffordable infrastructure obligations or lower standards.</w:t>
      </w:r>
    </w:p>
    <w:p w:rsidR="0058111B" w:rsidP="003337E8">
      <w:pPr>
        <w:spacing w:after="160" w:line="259" w:lineRule="auto"/>
        <w:rPr>
          <w:rFonts w:ascii="Verdana" w:hAnsi="Verdana"/>
          <w:b/>
          <w:bCs/>
          <w:sz w:val="22"/>
        </w:rPr>
      </w:pPr>
    </w:p>
    <w:p w:rsidR="00064EF6" w:rsidRPr="003337E8" w:rsidP="003337E8">
      <w:pPr>
        <w:spacing w:after="160" w:line="259" w:lineRule="auto"/>
        <w:rPr>
          <w:rFonts w:ascii="Verdana" w:hAnsi="Verdana"/>
          <w:b/>
          <w:sz w:val="22"/>
        </w:rPr>
      </w:pPr>
      <w:r>
        <w:rPr>
          <w:rFonts w:ascii="Verdana" w:hAnsi="Verdana"/>
          <w:b/>
          <w:bCs/>
          <w:sz w:val="22"/>
        </w:rPr>
        <w:t>Q5</w:t>
      </w:r>
      <w:r w:rsidR="00801B04">
        <w:rPr>
          <w:rFonts w:ascii="Verdana" w:hAnsi="Verdana"/>
          <w:b/>
          <w:sz w:val="22"/>
        </w:rPr>
        <w:t xml:space="preserve"> </w:t>
      </w:r>
      <w:r w:rsidRPr="003337E8" w:rsidR="00801B04">
        <w:rPr>
          <w:rFonts w:ascii="Verdana" w:hAnsi="Verdana"/>
          <w:b/>
          <w:sz w:val="22"/>
        </w:rPr>
        <w:t>How can Government assure suppliers, builders and developers that new towns are viable business and investment opportunities?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37. Credibility comes from institutions, funding and contracts. The Taskforce concluded that significant upfront support would be required and identified the National Housing Bank and National Housing Delivery Fund as important mechanisms </w:t>
      </w:r>
      <w:r>
        <w:rPr>
          <w:rStyle w:val="FootnoteReference"/>
          <w:rFonts w:ascii="Verdana" w:hAnsi="Verdana"/>
          <w:sz w:val="22"/>
        </w:rPr>
        <w:footnoteReference w:id="20"/>
      </w:r>
      <w:r>
        <w:rPr>
          <w:rStyle w:val="FootnoteReference"/>
          <w:rFonts w:ascii="Verdana" w:hAnsi="Verdana"/>
          <w:sz w:val="22"/>
        </w:rPr>
        <w:footnoteReference w:id="21"/>
      </w:r>
      <w:r>
        <w:rPr>
          <w:rFonts w:ascii="Verdana" w:hAnsi="Verdana"/>
          <w:sz w:val="22"/>
        </w:rPr>
        <w:t xml:space="preserve"> </w:t>
      </w:r>
      <w:r w:rsidRPr="000D4607">
        <w:rPr>
          <w:rFonts w:ascii="Verdana" w:hAnsi="Verdana"/>
          <w:sz w:val="22"/>
        </w:rPr>
        <w:t>Government should provide multi-year settlements to delivery vehicles, with transparent conditions and flexibility appropriate to long programmes.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38. The National Housing Bank, Homes England and delivery vehicles should offer coordinated loans, guarantees, equity and grant for land assembly, enabling infrastructure and viable housing phases. A revolving approach, supported by land-value capture and serviced-parcel disposal, can recycle public investment while retaining a patient-capital perspective </w:t>
      </w:r>
      <w:r>
        <w:rPr>
          <w:rStyle w:val="FootnoteReference"/>
          <w:rFonts w:ascii="Verdana" w:hAnsi="Verdana"/>
          <w:sz w:val="22"/>
        </w:rPr>
        <w:footnoteReference w:id="22"/>
      </w:r>
    </w:p>
    <w:p w:rsidR="00064EF6" w:rsidRPr="000D4607" w:rsidP="000D4607">
      <w:pPr>
        <w:spacing w:after="160" w:line="259" w:lineRule="auto"/>
        <w:ind w:left="357" w:hanging="357"/>
        <w:rPr>
          <w:rFonts w:ascii="Verdana" w:hAnsi="Verdana"/>
          <w:sz w:val="22"/>
        </w:rPr>
      </w:pPr>
      <w:r w:rsidRPr="000D4607">
        <w:rPr>
          <w:rFonts w:ascii="Verdana" w:hAnsi="Verdana"/>
          <w:sz w:val="22"/>
        </w:rPr>
        <w:t>39. Suppliers need predictable demand. Government should publish likely requirements, conduct structured pre-market engagement and, where value for money is demonstrated, use frameworks, conditional volume commitments or phased offtake arrangements. These may support manufacturing and low-carbon products, but should not guarantee obsolete technology or remove competition.</w:t>
      </w:r>
    </w:p>
    <w:p w:rsidR="00064EF6" w:rsidRPr="000D4607" w:rsidP="000D4607">
      <w:pPr>
        <w:spacing w:after="160" w:line="259" w:lineRule="auto"/>
        <w:ind w:left="357" w:hanging="357"/>
        <w:rPr>
          <w:rFonts w:ascii="Verdana" w:hAnsi="Verdana"/>
          <w:sz w:val="22"/>
        </w:rPr>
      </w:pPr>
      <w:r w:rsidRPr="000D4607">
        <w:rPr>
          <w:rFonts w:ascii="Verdana" w:hAnsi="Verdana"/>
          <w:sz w:val="22"/>
        </w:rPr>
        <w:t>40. Builders need investable parcels with clear title, planning parameters, utility connection points, infrastructure dates and transparent obligations. Smaller firms should have access to proportionate parcels, finance and simplified bidding. The objective is a competitive ecosystem rather than reliance on a few national housebuilders.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41. Stable standards are essential. Changes in design, energy, safety or product requirements after investment decisions increase risk and cost. Government should </w:t>
      </w:r>
      <w:r w:rsidRPr="000D4607">
        <w:rPr>
          <w:rFonts w:ascii="Verdana" w:hAnsi="Verdana"/>
          <w:sz w:val="22"/>
        </w:rPr>
        <w:t xml:space="preserve">set ambitious programme-wide outcomes early, provide transitional guidance and avoid project-specific “gold-plating” unless justified by local conditions or whole-life value. The Act’s potential to improve project certainty and investment confidence will be weakened if implementation guidance remains unstable </w:t>
      </w:r>
      <w:r>
        <w:rPr>
          <w:rStyle w:val="FootnoteReference"/>
          <w:rFonts w:ascii="Verdana" w:hAnsi="Verdana"/>
          <w:sz w:val="22"/>
        </w:rPr>
        <w:footnoteReference w:id="23"/>
      </w:r>
    </w:p>
    <w:p w:rsidR="00064EF6" w:rsidRPr="000D4607" w:rsidP="000D4607">
      <w:pPr>
        <w:spacing w:after="160" w:line="259" w:lineRule="auto"/>
        <w:ind w:left="357" w:hanging="357"/>
        <w:rPr>
          <w:rFonts w:ascii="Verdana" w:hAnsi="Verdana"/>
          <w:sz w:val="22"/>
        </w:rPr>
      </w:pPr>
      <w:r w:rsidRPr="000D4607">
        <w:rPr>
          <w:rFonts w:ascii="Verdana" w:hAnsi="Verdana"/>
          <w:sz w:val="22"/>
        </w:rPr>
        <w:t>42. Fair commercial behaviour is also a market signal. Prompt payment, realistic tender periods, balanced contracts and reliable decisions matter as much as headline funding. A delivery vehicle that delays approvals or transfers uncontrolled risk will rapidly lose supplier confidence.</w:t>
      </w:r>
    </w:p>
    <w:p w:rsidR="00064EF6" w:rsidRPr="000D4607" w:rsidP="000D4607">
      <w:pPr>
        <w:spacing w:after="160" w:line="259" w:lineRule="auto"/>
        <w:ind w:left="357" w:hanging="357"/>
        <w:rPr>
          <w:rFonts w:ascii="Verdana" w:hAnsi="Verdana"/>
          <w:sz w:val="22"/>
        </w:rPr>
      </w:pPr>
      <w:r w:rsidRPr="000D4607">
        <w:rPr>
          <w:rFonts w:ascii="Verdana" w:hAnsi="Verdana"/>
          <w:sz w:val="22"/>
        </w:rPr>
        <w:t>43. Government should report delivery honestly. A public dashboard should distinguish land identified, land controlled, infrastructure completed, serviced parcels released, homes started and homes occupied. Evidence of successive milestones will build confidence more effectively than optimistic aggregate targets.</w:t>
      </w:r>
    </w:p>
    <w:p w:rsidR="00064EF6" w:rsidRPr="000D4607" w:rsidP="000D4607">
      <w:pPr>
        <w:spacing w:after="160" w:line="259" w:lineRule="auto"/>
        <w:ind w:left="357" w:hanging="357"/>
        <w:rPr>
          <w:rFonts w:ascii="Verdana" w:hAnsi="Verdana"/>
          <w:sz w:val="22"/>
        </w:rPr>
      </w:pPr>
      <w:r w:rsidRPr="000D4607">
        <w:rPr>
          <w:rFonts w:ascii="Verdana" w:hAnsi="Verdana"/>
          <w:sz w:val="22"/>
        </w:rPr>
        <w:t>6. How can we ensure that new towns and expanded settlements are delivered to a high-quality standard that goes beyond minimum expectations for construction and demonstrates best practice for sustainability, aesthetics and place-making?</w:t>
      </w:r>
    </w:p>
    <w:p w:rsidR="00064EF6" w:rsidRPr="000D4607" w:rsidP="000D4607">
      <w:pPr>
        <w:spacing w:after="160" w:line="259" w:lineRule="auto"/>
        <w:ind w:left="357" w:hanging="357"/>
        <w:rPr>
          <w:rFonts w:ascii="Verdana" w:hAnsi="Verdana"/>
          <w:sz w:val="22"/>
        </w:rPr>
      </w:pPr>
      <w:r w:rsidRPr="000D4607">
        <w:rPr>
          <w:rFonts w:ascii="Verdana" w:hAnsi="Verdana"/>
          <w:sz w:val="22"/>
        </w:rPr>
        <w:t>44. Quality must be specified and assured. Each delivery vehicle should adopt a locally specific design code based on the National Design Guide</w:t>
      </w:r>
      <w:r>
        <w:rPr>
          <w:rStyle w:val="FootnoteReference"/>
          <w:rFonts w:ascii="Verdana" w:hAnsi="Verdana"/>
          <w:sz w:val="22"/>
        </w:rPr>
        <w:footnoteReference w:id="24"/>
      </w:r>
      <w:r w:rsidRPr="000D4607">
        <w:rPr>
          <w:rFonts w:ascii="Verdana" w:hAnsi="Verdana"/>
          <w:sz w:val="22"/>
        </w:rPr>
        <w:t xml:space="preserve"> and National Model Design Code </w:t>
      </w:r>
      <w:r>
        <w:rPr>
          <w:rStyle w:val="FootnoteReference"/>
          <w:rFonts w:ascii="Verdana" w:hAnsi="Verdana"/>
          <w:sz w:val="22"/>
        </w:rPr>
        <w:footnoteReference w:id="25"/>
      </w:r>
      <w:r w:rsidRPr="000D4607" w:rsidR="00483988">
        <w:rPr>
          <w:rFonts w:ascii="Verdana" w:hAnsi="Verdana"/>
          <w:sz w:val="22"/>
        </w:rPr>
        <w:t>,</w:t>
      </w:r>
      <w:r w:rsidRPr="000D4607">
        <w:rPr>
          <w:rFonts w:ascii="Verdana" w:hAnsi="Verdana"/>
          <w:sz w:val="22"/>
        </w:rPr>
        <w:t xml:space="preserve"> covering identity, accessibility, public realm, green infrastructure and adaptable homes.</w:t>
      </w:r>
    </w:p>
    <w:p w:rsidR="00064EF6" w:rsidRPr="000D4607" w:rsidP="000D4607">
      <w:pPr>
        <w:spacing w:after="160" w:line="259" w:lineRule="auto"/>
        <w:ind w:left="357" w:hanging="357"/>
        <w:rPr>
          <w:rFonts w:ascii="Verdana" w:hAnsi="Verdana"/>
          <w:sz w:val="22"/>
        </w:rPr>
      </w:pPr>
      <w:r w:rsidRPr="000D4607">
        <w:rPr>
          <w:rFonts w:ascii="Verdana" w:hAnsi="Verdana"/>
          <w:sz w:val="22"/>
        </w:rPr>
        <w:t>45. Sustainability targets should cover whole-life carbon, energy, overheating, flood and drought resilience, water, biodiversity and circular materials, with assessment at masterplan, completion and post-occupancy stages.</w:t>
      </w:r>
    </w:p>
    <w:p w:rsidR="00064EF6" w:rsidRPr="000D4607" w:rsidP="000D4607">
      <w:pPr>
        <w:spacing w:after="160" w:line="259" w:lineRule="auto"/>
        <w:ind w:left="357" w:hanging="357"/>
        <w:rPr>
          <w:rFonts w:ascii="Verdana" w:hAnsi="Verdana"/>
          <w:sz w:val="22"/>
        </w:rPr>
      </w:pPr>
      <w:r w:rsidRPr="000D4607">
        <w:rPr>
          <w:rFonts w:ascii="Verdana" w:hAnsi="Verdana"/>
          <w:sz w:val="22"/>
        </w:rPr>
        <w:t>46. A chief design officer and independent review panel should operate quality gateways. Procurement should reward whole-life value, product assurance and buildability, without allowing standardisation to create uniform places.</w:t>
      </w:r>
    </w:p>
    <w:p w:rsidR="00064EF6" w:rsidRPr="000D4607" w:rsidP="000D4607">
      <w:pPr>
        <w:spacing w:after="160" w:line="259" w:lineRule="auto"/>
        <w:ind w:left="357" w:hanging="357"/>
        <w:rPr>
          <w:rFonts w:ascii="Verdana" w:hAnsi="Verdana"/>
          <w:sz w:val="22"/>
        </w:rPr>
      </w:pPr>
      <w:r w:rsidRPr="000D4607">
        <w:rPr>
          <w:rFonts w:ascii="Verdana" w:hAnsi="Verdana"/>
          <w:sz w:val="22"/>
        </w:rPr>
        <w:t>47. Transport, schools, health facilities, public spaces and long-term stewardship must be funded and programmed early, so place-making quality is not deferred to later phases.</w:t>
      </w:r>
    </w:p>
    <w:p w:rsidR="00064EF6" w:rsidRPr="000D4607" w:rsidP="000D4607">
      <w:pPr>
        <w:spacing w:after="160" w:line="259" w:lineRule="auto"/>
        <w:ind w:left="357" w:hanging="357"/>
        <w:rPr>
          <w:rFonts w:ascii="Verdana" w:hAnsi="Verdana"/>
          <w:sz w:val="22"/>
        </w:rPr>
      </w:pPr>
      <w:r w:rsidRPr="000D4607">
        <w:rPr>
          <w:rFonts w:ascii="Verdana" w:hAnsi="Verdana"/>
          <w:sz w:val="22"/>
        </w:rPr>
        <w:t>7. Which case studies of large-scale construction projects should the Committee and Government examine to learn from best and worst practice in construction and supply logistics?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48. The Committee should examine a portfolio. Milton Keynes, Ebbsfleet and Northstowe offer contrasting lessons on land control, infrastructure sequencing, town-centre formation and dependence on housing absorption </w:t>
      </w:r>
      <w:r>
        <w:rPr>
          <w:rStyle w:val="FootnoteReference"/>
          <w:rFonts w:ascii="Verdana" w:hAnsi="Verdana"/>
          <w:sz w:val="22"/>
        </w:rPr>
        <w:footnoteReference w:id="26"/>
      </w:r>
    </w:p>
    <w:p w:rsidR="00064EF6" w:rsidRPr="000D4607" w:rsidP="000D4607">
      <w:pPr>
        <w:spacing w:after="160" w:line="259" w:lineRule="auto"/>
        <w:ind w:left="357" w:hanging="357"/>
        <w:rPr>
          <w:rFonts w:ascii="Verdana" w:hAnsi="Verdana"/>
          <w:sz w:val="22"/>
        </w:rPr>
      </w:pPr>
      <w:r w:rsidRPr="000D4607">
        <w:rPr>
          <w:rFonts w:ascii="Verdana" w:hAnsi="Verdana"/>
          <w:sz w:val="22"/>
        </w:rPr>
        <w:t>49. London 2012 Olympic Park shows the value of an empowered client, controlled baselines, active supply-chain intervention, contingency and legacy planning</w:t>
      </w:r>
      <w:r w:rsidR="00024C2A">
        <w:rPr>
          <w:rFonts w:ascii="Verdana" w:hAnsi="Verdana"/>
          <w:sz w:val="22"/>
        </w:rPr>
        <w:t>.</w:t>
      </w:r>
      <w:r>
        <w:rPr>
          <w:rStyle w:val="FootnoteReference"/>
          <w:rFonts w:ascii="Verdana" w:hAnsi="Verdana"/>
          <w:sz w:val="22"/>
        </w:rPr>
        <w:footnoteReference w:id="27"/>
      </w:r>
      <w:r w:rsidR="00024C2A">
        <w:rPr>
          <w:rFonts w:ascii="Verdana" w:hAnsi="Verdana"/>
          <w:sz w:val="22"/>
        </w:rPr>
        <w:t>A</w:t>
      </w:r>
      <w:r w:rsidRPr="000D4607" w:rsidR="00483988">
        <w:rPr>
          <w:rFonts w:ascii="Verdana" w:hAnsi="Verdana"/>
          <w:sz w:val="22"/>
        </w:rPr>
        <w:t>ll</w:t>
      </w:r>
      <w:r w:rsidRPr="000D4607">
        <w:rPr>
          <w:rFonts w:ascii="Verdana" w:hAnsi="Verdana"/>
          <w:sz w:val="22"/>
        </w:rPr>
        <w:t xml:space="preserve"> relevant to multi-site new-town delivery.</w:t>
      </w:r>
    </w:p>
    <w:p w:rsidR="00064EF6" w:rsidRPr="000D4607" w:rsidP="000D4607">
      <w:pPr>
        <w:spacing w:after="160" w:line="259" w:lineRule="auto"/>
        <w:ind w:left="357" w:hanging="357"/>
        <w:rPr>
          <w:rFonts w:ascii="Verdana" w:hAnsi="Verdana"/>
          <w:sz w:val="22"/>
        </w:rPr>
      </w:pPr>
      <w:r w:rsidRPr="000D4607">
        <w:rPr>
          <w:rFonts w:ascii="Verdana" w:hAnsi="Verdana"/>
          <w:sz w:val="22"/>
        </w:rPr>
        <w:t>50. Crossrail offers practical lessons on common logistics standards, contractor plans, coordinated vehicle movements, shared data and supply-chain risk management</w:t>
      </w:r>
      <w:r w:rsidR="00024C2A">
        <w:rPr>
          <w:rFonts w:ascii="Verdana" w:hAnsi="Verdana"/>
          <w:sz w:val="22"/>
        </w:rPr>
        <w:t>.</w:t>
      </w:r>
      <w:r>
        <w:rPr>
          <w:rStyle w:val="FootnoteReference"/>
          <w:rFonts w:ascii="Verdana" w:hAnsi="Verdana"/>
          <w:sz w:val="22"/>
        </w:rPr>
        <w:footnoteReference w:id="28"/>
      </w:r>
      <w:r w:rsidRPr="000D4607">
        <w:rPr>
          <w:rFonts w:ascii="Verdana" w:hAnsi="Verdana"/>
          <w:sz w:val="22"/>
        </w:rPr>
        <w:t xml:space="preserve"> New towns should publish a comparable learning legacy.</w:t>
      </w:r>
    </w:p>
    <w:p w:rsidR="00064EF6" w:rsidRPr="000D4607" w:rsidP="000D4607">
      <w:pPr>
        <w:spacing w:after="160" w:line="259" w:lineRule="auto"/>
        <w:ind w:left="357" w:hanging="357"/>
        <w:rPr>
          <w:rFonts w:ascii="Verdana" w:hAnsi="Verdana"/>
          <w:sz w:val="22"/>
        </w:rPr>
      </w:pPr>
      <w:r w:rsidRPr="000D4607">
        <w:rPr>
          <w:rFonts w:ascii="Verdana" w:hAnsi="Verdana"/>
          <w:sz w:val="22"/>
        </w:rPr>
        <w:t>51. HS2 warns against premature commitments, unstable scope, underestimation and inefficient delivery</w:t>
      </w:r>
      <w:r w:rsidR="00024C2A">
        <w:rPr>
          <w:rFonts w:ascii="Verdana" w:hAnsi="Verdana"/>
          <w:sz w:val="22"/>
        </w:rPr>
        <w:t>.</w:t>
      </w:r>
      <w:r>
        <w:rPr>
          <w:rStyle w:val="FootnoteReference"/>
          <w:rFonts w:ascii="Verdana" w:hAnsi="Verdana"/>
          <w:sz w:val="22"/>
        </w:rPr>
        <w:footnoteReference w:id="29"/>
      </w:r>
      <w:r>
        <w:rPr>
          <w:rFonts w:ascii="Verdana" w:hAnsi="Verdana"/>
          <w:sz w:val="22"/>
        </w:rPr>
        <w:t xml:space="preserve"> </w:t>
      </w:r>
      <w:r w:rsidRPr="000D4607">
        <w:rPr>
          <w:rFonts w:ascii="Verdana" w:hAnsi="Verdana"/>
          <w:sz w:val="22"/>
        </w:rPr>
        <w:t>Firm volumes and dates should follow an independently assured cost, schedule, scope and infrastructure baseline.</w:t>
      </w:r>
    </w:p>
    <w:p w:rsidR="0058111B" w:rsidP="000D4607">
      <w:pPr>
        <w:spacing w:after="160" w:line="259" w:lineRule="auto"/>
        <w:ind w:left="357" w:hanging="357"/>
        <w:rPr>
          <w:rFonts w:ascii="Verdana" w:hAnsi="Verdana"/>
          <w:b/>
          <w:sz w:val="22"/>
        </w:rPr>
      </w:pPr>
    </w:p>
    <w:p w:rsidR="00064EF6" w:rsidRPr="003337E8" w:rsidP="000D4607">
      <w:pPr>
        <w:spacing w:after="160" w:line="259" w:lineRule="auto"/>
        <w:ind w:left="357" w:hanging="357"/>
        <w:rPr>
          <w:rFonts w:ascii="Verdana" w:hAnsi="Verdana"/>
          <w:b/>
          <w:sz w:val="22"/>
        </w:rPr>
      </w:pPr>
      <w:r w:rsidRPr="003337E8">
        <w:rPr>
          <w:rFonts w:ascii="Verdana" w:hAnsi="Verdana"/>
          <w:b/>
          <w:sz w:val="22"/>
        </w:rPr>
        <w:t>Conclusion and recommendations</w:t>
      </w:r>
    </w:p>
    <w:p w:rsidR="00064EF6" w:rsidRPr="000D4607" w:rsidP="000D4607">
      <w:pPr>
        <w:spacing w:after="160" w:line="259" w:lineRule="auto"/>
        <w:ind w:left="357" w:hanging="357"/>
        <w:rPr>
          <w:rFonts w:ascii="Verdana" w:hAnsi="Verdana"/>
          <w:sz w:val="22"/>
        </w:rPr>
      </w:pPr>
      <w:r w:rsidRPr="000D4607">
        <w:rPr>
          <w:rFonts w:ascii="Verdana" w:hAnsi="Verdana"/>
          <w:sz w:val="22"/>
        </w:rPr>
        <w:t xml:space="preserve">52. The new towns programme can improve UK construction productivity, sustainability, quality and diversity, but scale will magnify fragmentation. Delivery should combine integrated infrastructure, long-term institutions, </w:t>
      </w:r>
      <w:r w:rsidRPr="000D4607">
        <w:rPr>
          <w:rFonts w:ascii="Verdana" w:hAnsi="Verdana"/>
          <w:sz w:val="22"/>
        </w:rPr>
        <w:t>design quality</w:t>
      </w:r>
      <w:r w:rsidRPr="000D4607">
        <w:rPr>
          <w:rFonts w:ascii="Verdana" w:hAnsi="Verdana"/>
          <w:sz w:val="22"/>
        </w:rPr>
        <w:t xml:space="preserve"> and a credible pipeline</w:t>
      </w:r>
      <w:r w:rsidR="007C6D02">
        <w:rPr>
          <w:rFonts w:ascii="Verdana" w:hAnsi="Verdana"/>
          <w:sz w:val="22"/>
        </w:rPr>
        <w:t>.</w:t>
      </w:r>
      <w:r>
        <w:rPr>
          <w:rStyle w:val="FootnoteReference"/>
          <w:rFonts w:ascii="Verdana" w:hAnsi="Verdana"/>
          <w:sz w:val="22"/>
        </w:rPr>
        <w:footnoteReference w:id="30"/>
      </w:r>
      <w:r>
        <w:rPr>
          <w:rStyle w:val="FootnoteReference"/>
          <w:rFonts w:ascii="Verdana" w:hAnsi="Verdana"/>
          <w:sz w:val="22"/>
        </w:rPr>
        <w:footnoteReference w:id="31"/>
      </w:r>
      <w:r>
        <w:rPr>
          <w:rStyle w:val="FootnoteReference"/>
          <w:rFonts w:ascii="Verdana" w:hAnsi="Verdana"/>
          <w:sz w:val="22"/>
        </w:rPr>
        <w:footnoteReference w:id="32"/>
      </w:r>
    </w:p>
    <w:p w:rsidR="00064EF6" w:rsidRPr="000D4607" w:rsidP="000D4607">
      <w:pPr>
        <w:spacing w:after="160" w:line="259" w:lineRule="auto"/>
        <w:ind w:left="357" w:hanging="357"/>
        <w:rPr>
          <w:rFonts w:ascii="Verdana" w:hAnsi="Verdana"/>
          <w:sz w:val="22"/>
        </w:rPr>
      </w:pPr>
      <w:r w:rsidRPr="000D4607">
        <w:rPr>
          <w:rFonts w:ascii="Verdana" w:hAnsi="Verdana"/>
          <w:sz w:val="22"/>
        </w:rPr>
        <w:t>53. The Committee may wish to recommend that Government:</w:t>
      </w:r>
    </w:p>
    <w:p w:rsidR="00064EF6" w:rsidRPr="00105159" w:rsidP="00105159">
      <w:pPr>
        <w:pStyle w:val="ListParagraph"/>
        <w:numPr>
          <w:ilvl w:val="0"/>
          <w:numId w:val="16"/>
        </w:numPr>
        <w:spacing w:after="160" w:line="259" w:lineRule="auto"/>
        <w:ind w:left="975" w:hanging="357"/>
        <w:contextualSpacing w:val="0"/>
        <w:rPr>
          <w:rFonts w:ascii="Verdana" w:hAnsi="Verdana"/>
          <w:sz w:val="22"/>
        </w:rPr>
      </w:pPr>
      <w:r w:rsidRPr="00105159">
        <w:rPr>
          <w:rFonts w:ascii="Verdana" w:hAnsi="Verdana"/>
          <w:sz w:val="22"/>
        </w:rPr>
        <w:t xml:space="preserve">establish one accountable delivery vehicle and senior </w:t>
      </w:r>
      <w:r w:rsidRPr="00105159">
        <w:rPr>
          <w:rFonts w:ascii="Verdana" w:hAnsi="Verdana"/>
          <w:sz w:val="22"/>
        </w:rPr>
        <w:t>responsible owner</w:t>
      </w:r>
      <w:r w:rsidRPr="00105159">
        <w:rPr>
          <w:rFonts w:ascii="Verdana" w:hAnsi="Verdana"/>
          <w:sz w:val="22"/>
        </w:rPr>
        <w:t xml:space="preserve"> for each new town;</w:t>
      </w:r>
    </w:p>
    <w:p w:rsidR="00064EF6" w:rsidRPr="00105159" w:rsidP="00105159">
      <w:pPr>
        <w:pStyle w:val="ListParagraph"/>
        <w:numPr>
          <w:ilvl w:val="0"/>
          <w:numId w:val="16"/>
        </w:numPr>
        <w:spacing w:after="160" w:line="259" w:lineRule="auto"/>
        <w:ind w:left="975" w:hanging="357"/>
        <w:contextualSpacing w:val="0"/>
        <w:rPr>
          <w:rFonts w:ascii="Verdana" w:hAnsi="Verdana"/>
          <w:sz w:val="22"/>
        </w:rPr>
      </w:pPr>
      <w:r w:rsidRPr="00105159">
        <w:rPr>
          <w:rFonts w:ascii="Verdana" w:hAnsi="Verdana"/>
          <w:sz w:val="22"/>
        </w:rPr>
        <w:t>publish a ten-year delivery and procurement pipeline;</w:t>
      </w:r>
    </w:p>
    <w:p w:rsidR="00064EF6" w:rsidRPr="00105159" w:rsidP="00105159">
      <w:pPr>
        <w:pStyle w:val="ListParagraph"/>
        <w:numPr>
          <w:ilvl w:val="0"/>
          <w:numId w:val="16"/>
        </w:numPr>
        <w:spacing w:after="160" w:line="259" w:lineRule="auto"/>
        <w:ind w:left="975" w:hanging="357"/>
        <w:contextualSpacing w:val="0"/>
        <w:rPr>
          <w:rFonts w:ascii="Verdana" w:hAnsi="Verdana"/>
          <w:sz w:val="22"/>
        </w:rPr>
      </w:pPr>
      <w:r w:rsidRPr="00105159">
        <w:rPr>
          <w:rFonts w:ascii="Verdana" w:hAnsi="Verdana"/>
          <w:sz w:val="22"/>
        </w:rPr>
        <w:t>mandate integrated utilities, skills and supply-chain plans before major procurement;</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 xml:space="preserve"> </w:t>
      </w:r>
      <w:r w:rsidRPr="00B77024">
        <w:rPr>
          <w:rFonts w:ascii="Verdana" w:hAnsi="Verdana"/>
          <w:sz w:val="22"/>
        </w:rPr>
        <w:t>align</w:t>
      </w:r>
      <w:r w:rsidRPr="00B77024">
        <w:rPr>
          <w:rFonts w:ascii="Verdana" w:hAnsi="Verdana"/>
          <w:sz w:val="22"/>
        </w:rPr>
        <w:t xml:space="preserve"> new towns with water, wastewater, energy and transport investment cycles;</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 xml:space="preserve"> fund anticipatory infrastructure through milestone-based mechanisms;</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 xml:space="preserve"> provide serviced parcels to multiple builders and tenures;</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 xml:space="preserve"> use early contractor involvement, common data standards and whole-life-value procurement;</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link skills provision to forecast occupational demand from the planning stage;</w:t>
      </w:r>
    </w:p>
    <w:p w:rsidR="00064EF6" w:rsidRPr="00B54BAB" w:rsidP="00105159">
      <w:pPr>
        <w:pStyle w:val="ListParagraph"/>
        <w:numPr>
          <w:ilvl w:val="0"/>
          <w:numId w:val="16"/>
        </w:numPr>
        <w:spacing w:after="160" w:line="259" w:lineRule="auto"/>
        <w:ind w:left="975" w:hanging="357"/>
        <w:contextualSpacing w:val="0"/>
        <w:rPr>
          <w:rFonts w:ascii="Verdana" w:hAnsi="Verdana"/>
          <w:sz w:val="22"/>
        </w:rPr>
      </w:pPr>
      <w:r w:rsidRPr="00B54BAB">
        <w:rPr>
          <w:rFonts w:ascii="Verdana" w:hAnsi="Verdana"/>
          <w:sz w:val="22"/>
        </w:rPr>
        <w:t>maintain safety, product assurance and environmental performance while accelerating delivery; and</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 xml:space="preserve"> establish design-quality and sustainability gateways, including independent review and post-occupancy evaluation;</w:t>
      </w:r>
    </w:p>
    <w:p w:rsidR="00064EF6" w:rsidRPr="00B77024" w:rsidP="00105159">
      <w:pPr>
        <w:pStyle w:val="ListParagraph"/>
        <w:numPr>
          <w:ilvl w:val="0"/>
          <w:numId w:val="16"/>
        </w:numPr>
        <w:spacing w:after="160" w:line="259" w:lineRule="auto"/>
        <w:ind w:left="975" w:hanging="357"/>
        <w:contextualSpacing w:val="0"/>
        <w:rPr>
          <w:rFonts w:ascii="Verdana" w:hAnsi="Verdana"/>
          <w:sz w:val="22"/>
        </w:rPr>
      </w:pPr>
      <w:r w:rsidRPr="00B77024">
        <w:rPr>
          <w:rFonts w:ascii="Verdana" w:hAnsi="Verdana"/>
          <w:sz w:val="22"/>
        </w:rPr>
        <w:t xml:space="preserve"> create a public new-towns learning legacy drawing on domestic and international case studies; and</w:t>
      </w:r>
    </w:p>
    <w:p w:rsidR="00E52805" w:rsidP="00D42DE3">
      <w:pPr>
        <w:pStyle w:val="ListParagraph"/>
        <w:numPr>
          <w:ilvl w:val="0"/>
          <w:numId w:val="16"/>
        </w:numPr>
        <w:spacing w:after="160" w:line="259" w:lineRule="auto"/>
        <w:ind w:left="975" w:hanging="357"/>
        <w:contextualSpacing w:val="0"/>
        <w:rPr>
          <w:rFonts w:ascii="Verdana" w:hAnsi="Verdana"/>
          <w:sz w:val="22"/>
        </w:rPr>
      </w:pPr>
      <w:r w:rsidRPr="00B54BAB">
        <w:rPr>
          <w:rFonts w:ascii="Verdana" w:hAnsi="Verdana"/>
          <w:sz w:val="22"/>
        </w:rPr>
        <w:t>report annually against physical delivery, quality and sustainability milestones.</w:t>
      </w:r>
    </w:p>
    <w:p w:rsidR="00064EF6" w:rsidRPr="00D47371" w:rsidP="00D47371">
      <w:pPr>
        <w:pStyle w:val="ListParagraph"/>
        <w:spacing w:after="160" w:line="259" w:lineRule="auto"/>
        <w:ind w:left="0"/>
        <w:contextualSpacing w:val="0"/>
        <w:rPr>
          <w:rFonts w:ascii="Verdana" w:hAnsi="Verdana"/>
          <w:i/>
          <w:sz w:val="22"/>
        </w:rPr>
      </w:pPr>
      <w:r w:rsidRPr="00D47371">
        <w:rPr>
          <w:rFonts w:ascii="Verdana" w:hAnsi="Verdana"/>
          <w:i/>
          <w:iCs/>
          <w:sz w:val="22"/>
        </w:rPr>
        <w:t>12 July 2026</w:t>
      </w:r>
    </w:p>
    <w:sectPr w:rsidSect="00034616">
      <w:footerReference w:type="default" r:id="rId10"/>
      <w:pgSz w:w="11906" w:h="16838"/>
      <w:pgMar w:top="1020" w:right="1134" w:bottom="964" w:left="113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EF6">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01B04">
      <w:pPr>
        <w:spacing w:after="0" w:line="240" w:lineRule="auto"/>
      </w:pPr>
      <w:r>
        <w:separator/>
      </w:r>
    </w:p>
  </w:footnote>
  <w:footnote w:type="continuationSeparator" w:id="1">
    <w:p w:rsidR="00801B04">
      <w:pPr>
        <w:spacing w:after="0" w:line="240" w:lineRule="auto"/>
      </w:pPr>
      <w:r>
        <w:continuationSeparator/>
      </w:r>
    </w:p>
  </w:footnote>
  <w:footnote w:id="2">
    <w:p w:rsidR="005D6766" w:rsidRPr="001F08B1" w:rsidP="00A26602">
      <w:pPr>
        <w:pStyle w:val="FootnoteText"/>
        <w:spacing w:line="259" w:lineRule="auto"/>
        <w:rPr>
          <w:rFonts w:ascii="Verdana" w:hAnsi="Verdana"/>
          <w:sz w:val="18"/>
          <w:szCs w:val="18"/>
        </w:rPr>
      </w:pPr>
      <w:r>
        <w:rPr>
          <w:rStyle w:val="FootnoteReference"/>
        </w:rPr>
        <w:footnoteRef/>
      </w:r>
      <w:r>
        <w:t xml:space="preserve"> </w:t>
      </w:r>
      <w:r w:rsidRPr="00E62EF9">
        <w:rPr>
          <w:rFonts w:ascii="Verdana" w:hAnsi="Verdana"/>
          <w:sz w:val="18"/>
          <w:szCs w:val="18"/>
        </w:rPr>
        <w:t>House of Lords Built Environment Committee (2026), New Towns: Bricks and Mortar – call for evidence.</w:t>
      </w:r>
      <w:r>
        <w:fldChar w:fldCharType="begin"/>
      </w:r>
      <w:r>
        <w:instrText xml:space="preserve"> HYPERLINK "https://committees.parliament.uk/committee/518/built-environment-committee/news/214580/new-towns-bricks-and-mortar-inquiry-launched-by-lords-built-environment-committee/" </w:instrText>
      </w:r>
      <w:r>
        <w:fldChar w:fldCharType="separate"/>
      </w:r>
      <w:r w:rsidRPr="00E62EF9">
        <w:rPr>
          <w:rStyle w:val="Hyperlink"/>
          <w:rFonts w:ascii="Verdana" w:hAnsi="Verdana"/>
          <w:sz w:val="18"/>
          <w:szCs w:val="18"/>
        </w:rPr>
        <w:t>[online]</w:t>
      </w:r>
      <w:r>
        <w:fldChar w:fldCharType="end"/>
      </w:r>
    </w:p>
  </w:footnote>
  <w:footnote w:id="3">
    <w:p w:rsidR="00F21C15" w:rsidRPr="00F21C15" w:rsidP="00A26602">
      <w:pPr>
        <w:spacing w:after="0" w:line="259" w:lineRule="auto"/>
        <w:rPr>
          <w:lang w:val="en-GB"/>
        </w:rPr>
      </w:pPr>
      <w:r>
        <w:rPr>
          <w:rStyle w:val="FootnoteReference"/>
        </w:rPr>
        <w:footnoteRef/>
      </w:r>
      <w:r w:rsidRPr="00F21C15">
        <w:rPr>
          <w:sz w:val="18"/>
          <w:szCs w:val="18"/>
        </w:rPr>
        <w:t xml:space="preserve"> </w:t>
      </w:r>
      <w:r w:rsidRPr="00E62EF9" w:rsidR="00E62EF9">
        <w:rPr>
          <w:rFonts w:ascii="Verdana" w:hAnsi="Verdana"/>
          <w:sz w:val="18"/>
          <w:szCs w:val="18"/>
        </w:rPr>
        <w:t>Ministry of Housing, Communities and Local Government (2026), New Towns Draft Programme.</w:t>
      </w:r>
      <w:r>
        <w:fldChar w:fldCharType="begin"/>
      </w:r>
      <w:r>
        <w:instrText xml:space="preserve"> HYPERLINK "https://www.gov.uk/government/consultations/new-towns-draft-programme/new-towns-draft-programme" </w:instrText>
      </w:r>
      <w:r>
        <w:fldChar w:fldCharType="separate"/>
      </w:r>
      <w:r w:rsidRPr="00E62EF9" w:rsidR="00E62EF9">
        <w:rPr>
          <w:rStyle w:val="Hyperlink"/>
          <w:rFonts w:ascii="Verdana" w:hAnsi="Verdana"/>
          <w:sz w:val="18"/>
          <w:szCs w:val="18"/>
        </w:rPr>
        <w:t>[online]</w:t>
      </w:r>
      <w:r>
        <w:fldChar w:fldCharType="end"/>
      </w:r>
    </w:p>
  </w:footnote>
  <w:footnote w:id="4">
    <w:p w:rsidR="005D6766" w:rsidRPr="001F08B1" w:rsidP="00A26602">
      <w:pPr>
        <w:pStyle w:val="FootnoteText"/>
        <w:spacing w:line="259" w:lineRule="auto"/>
        <w:rPr>
          <w:rFonts w:ascii="Verdana" w:hAnsi="Verdana"/>
          <w:sz w:val="18"/>
          <w:szCs w:val="18"/>
        </w:rPr>
      </w:pPr>
      <w:r>
        <w:rPr>
          <w:rStyle w:val="FootnoteReference"/>
        </w:rPr>
        <w:footnoteRef/>
      </w:r>
      <w:r>
        <w:t xml:space="preserve"> </w:t>
      </w:r>
      <w:r w:rsidRPr="00C637BD">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r>
        <w:fldChar w:fldCharType="begin"/>
      </w:r>
      <w:r>
        <w:instrText xml:space="preserve"> HYPERLINK "https://doi.org/10.1680/jmuen.26.00001" </w:instrText>
      </w:r>
      <w:r>
        <w:fldChar w:fldCharType="separate"/>
      </w:r>
      <w:r w:rsidRPr="00C637BD">
        <w:rPr>
          <w:rStyle w:val="Hyperlink"/>
          <w:rFonts w:ascii="Verdana" w:hAnsi="Verdana"/>
          <w:sz w:val="18"/>
          <w:szCs w:val="18"/>
        </w:rPr>
        <w:t>[online]</w:t>
      </w:r>
      <w:r>
        <w:fldChar w:fldCharType="end"/>
      </w:r>
    </w:p>
  </w:footnote>
  <w:footnote w:id="5">
    <w:p w:rsidR="005D6766" w:rsidRPr="00905AA0" w:rsidP="00905AA0">
      <w:pPr>
        <w:spacing w:after="0" w:line="259" w:lineRule="auto"/>
      </w:pPr>
      <w:r>
        <w:rPr>
          <w:rStyle w:val="FootnoteReference"/>
        </w:rPr>
        <w:footnoteRef/>
      </w:r>
      <w:r>
        <w:t xml:space="preserve"> </w:t>
      </w:r>
      <w:r w:rsidRPr="00E62EF9">
        <w:rPr>
          <w:rFonts w:ascii="Verdana" w:hAnsi="Verdana"/>
          <w:sz w:val="18"/>
          <w:szCs w:val="18"/>
        </w:rPr>
        <w:t>Construction Industry Training Board (2026), Construction Workforce Outlook 2026–2030.</w:t>
      </w:r>
      <w:r>
        <w:fldChar w:fldCharType="begin"/>
      </w:r>
      <w:r>
        <w:instrText xml:space="preserve"> HYPERLINK "https://www.citb.co.uk/cwo/index.html" </w:instrText>
      </w:r>
      <w:r>
        <w:fldChar w:fldCharType="separate"/>
      </w:r>
      <w:r w:rsidRPr="00E62EF9">
        <w:rPr>
          <w:rStyle w:val="Hyperlink"/>
          <w:rFonts w:ascii="Verdana" w:hAnsi="Verdana"/>
          <w:sz w:val="18"/>
          <w:szCs w:val="18"/>
        </w:rPr>
        <w:t>[online]</w:t>
      </w:r>
      <w:r>
        <w:fldChar w:fldCharType="end"/>
      </w:r>
    </w:p>
  </w:footnote>
  <w:footnote w:id="6">
    <w:p w:rsidR="00D329A0" w:rsidRPr="00D329A0">
      <w:pPr>
        <w:pStyle w:val="FootnoteText"/>
        <w:rPr>
          <w:lang w:val="en-GB"/>
        </w:rPr>
      </w:pPr>
      <w:r>
        <w:rPr>
          <w:rStyle w:val="FootnoteReference"/>
        </w:rPr>
        <w:footnoteRef/>
      </w:r>
      <w:r>
        <w:t xml:space="preserve"> </w:t>
      </w:r>
      <w:r w:rsidRPr="00E62EF9" w:rsidR="00960412">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p>
  </w:footnote>
  <w:footnote w:id="7">
    <w:p w:rsidR="00905AA0" w:rsidRPr="00905AA0">
      <w:pPr>
        <w:pStyle w:val="FootnoteText"/>
        <w:rPr>
          <w:lang w:val="en-GB"/>
        </w:rPr>
      </w:pPr>
      <w:r>
        <w:rPr>
          <w:rStyle w:val="FootnoteReference"/>
        </w:rPr>
        <w:footnoteRef/>
      </w:r>
      <w:r>
        <w:t xml:space="preserve"> </w:t>
      </w:r>
      <w:r w:rsidRPr="00E62EF9">
        <w:rPr>
          <w:rFonts w:ascii="Verdana" w:hAnsi="Verdana"/>
          <w:sz w:val="18"/>
          <w:szCs w:val="18"/>
        </w:rPr>
        <w:t>Umar, T. (2025), “Delivering 1.5 million homes by 2029: a strategic blueprint for the UK Government”, Proceedings of the Institution of Civil Engineers – Municipal Engineer, DOI: 10.1680/jmuen.25.00077.</w:t>
      </w:r>
      <w:r>
        <w:fldChar w:fldCharType="begin"/>
      </w:r>
      <w:r>
        <w:instrText xml:space="preserve"> HYPERLINK "https://doi.org/10.1680/jmuen.25.00077" </w:instrText>
      </w:r>
      <w:r>
        <w:fldChar w:fldCharType="separate"/>
      </w:r>
      <w:r w:rsidRPr="00E62EF9">
        <w:rPr>
          <w:rStyle w:val="Hyperlink"/>
          <w:rFonts w:ascii="Verdana" w:hAnsi="Verdana"/>
          <w:sz w:val="18"/>
          <w:szCs w:val="18"/>
        </w:rPr>
        <w:t>[online]</w:t>
      </w:r>
      <w:r>
        <w:fldChar w:fldCharType="end"/>
      </w:r>
    </w:p>
  </w:footnote>
  <w:footnote w:id="8">
    <w:p w:rsidR="00960412" w:rsidRPr="00765218" w:rsidP="00765218">
      <w:pPr>
        <w:spacing w:after="0" w:line="259" w:lineRule="auto"/>
        <w:ind w:left="357" w:hanging="357"/>
        <w:rPr>
          <w:rFonts w:ascii="Verdana" w:hAnsi="Verdana"/>
          <w:sz w:val="18"/>
          <w:szCs w:val="18"/>
        </w:rPr>
      </w:pPr>
      <w:r>
        <w:rPr>
          <w:rStyle w:val="FootnoteReference"/>
        </w:rPr>
        <w:footnoteRef/>
      </w:r>
      <w:r>
        <w:t xml:space="preserve"> </w:t>
      </w:r>
      <w:r w:rsidRPr="00E62EF9" w:rsidR="001F24E8">
        <w:rPr>
          <w:rFonts w:ascii="Verdana" w:hAnsi="Verdana"/>
          <w:sz w:val="18"/>
          <w:szCs w:val="18"/>
        </w:rPr>
        <w:t>Umar, T. (2025), Written evidence to the House of Lords Built Environment Committee, New Towns: Creating Communities (NTC0011).</w:t>
      </w:r>
      <w:r>
        <w:fldChar w:fldCharType="begin"/>
      </w:r>
      <w:r>
        <w:instrText xml:space="preserve"> HYPERLINK "https://committees.parliament.uk/writtenevidence/152969/pdf/" </w:instrText>
      </w:r>
      <w:r>
        <w:fldChar w:fldCharType="separate"/>
      </w:r>
      <w:r w:rsidRPr="00E62EF9" w:rsidR="001F24E8">
        <w:rPr>
          <w:rStyle w:val="Hyperlink"/>
          <w:rFonts w:ascii="Verdana" w:hAnsi="Verdana"/>
          <w:sz w:val="18"/>
          <w:szCs w:val="18"/>
        </w:rPr>
        <w:t>[online]</w:t>
      </w:r>
      <w:r>
        <w:fldChar w:fldCharType="end"/>
      </w:r>
    </w:p>
  </w:footnote>
  <w:footnote w:id="9">
    <w:p w:rsidR="00360911" w:rsidRPr="00F00A79" w:rsidP="00F00A79">
      <w:pPr>
        <w:spacing w:after="0" w:line="259" w:lineRule="auto"/>
        <w:ind w:left="357" w:hanging="357"/>
        <w:rPr>
          <w:rFonts w:ascii="Verdana" w:hAnsi="Verdana"/>
          <w:sz w:val="18"/>
          <w:szCs w:val="18"/>
        </w:rPr>
      </w:pPr>
      <w:r>
        <w:rPr>
          <w:rStyle w:val="FootnoteReference"/>
        </w:rPr>
        <w:footnoteRef/>
      </w:r>
      <w:r>
        <w:t xml:space="preserve"> </w:t>
      </w:r>
      <w:r w:rsidRPr="00E62EF9" w:rsidR="00765218">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r>
        <w:fldChar w:fldCharType="begin"/>
      </w:r>
      <w:r>
        <w:instrText xml:space="preserve"> HYPERLINK "https://doi.org/10.1680/jmuen.26.00001" </w:instrText>
      </w:r>
      <w:r>
        <w:fldChar w:fldCharType="separate"/>
      </w:r>
      <w:r w:rsidRPr="00E62EF9" w:rsidR="00765218">
        <w:rPr>
          <w:rStyle w:val="Hyperlink"/>
          <w:rFonts w:ascii="Verdana" w:hAnsi="Verdana"/>
          <w:sz w:val="18"/>
          <w:szCs w:val="18"/>
        </w:rPr>
        <w:t>[online]</w:t>
      </w:r>
      <w:r>
        <w:fldChar w:fldCharType="end"/>
      </w:r>
    </w:p>
  </w:footnote>
  <w:footnote w:id="10">
    <w:p w:rsidR="00F00A79" w:rsidRPr="00F00A79">
      <w:pPr>
        <w:pStyle w:val="FootnoteText"/>
        <w:rPr>
          <w:lang w:val="en-GB"/>
        </w:rPr>
      </w:pPr>
      <w:r>
        <w:rPr>
          <w:rStyle w:val="FootnoteReference"/>
        </w:rPr>
        <w:footnoteRef/>
      </w:r>
      <w:r>
        <w:t xml:space="preserve"> </w:t>
      </w:r>
      <w:r w:rsidRPr="00E62EF9">
        <w:rPr>
          <w:rFonts w:ascii="Verdana" w:hAnsi="Verdana"/>
          <w:sz w:val="18"/>
          <w:szCs w:val="18"/>
        </w:rPr>
        <w:t>] Construction Industry Training Board (2026), Construction Workforce Outlook 2026–2030.</w:t>
      </w:r>
      <w:r>
        <w:fldChar w:fldCharType="begin"/>
      </w:r>
      <w:r>
        <w:instrText xml:space="preserve"> HYPERLINK "https://www.citb.co.uk/cwo/index.html" </w:instrText>
      </w:r>
      <w:r>
        <w:fldChar w:fldCharType="separate"/>
      </w:r>
      <w:r w:rsidRPr="00E62EF9">
        <w:rPr>
          <w:rStyle w:val="Hyperlink"/>
          <w:rFonts w:ascii="Verdana" w:hAnsi="Verdana"/>
          <w:sz w:val="18"/>
          <w:szCs w:val="18"/>
        </w:rPr>
        <w:t>[online]</w:t>
      </w:r>
      <w:r>
        <w:fldChar w:fldCharType="end"/>
      </w:r>
    </w:p>
  </w:footnote>
  <w:footnote w:id="11">
    <w:p w:rsidR="007D055D" w:rsidRPr="007D055D">
      <w:pPr>
        <w:pStyle w:val="FootnoteText"/>
        <w:rPr>
          <w:lang w:val="en-GB"/>
        </w:rPr>
      </w:pPr>
      <w:r>
        <w:rPr>
          <w:rStyle w:val="FootnoteReference"/>
        </w:rPr>
        <w:footnoteRef/>
      </w:r>
      <w:r>
        <w:t xml:space="preserve"> </w:t>
      </w:r>
      <w:r w:rsidRPr="00E62EF9">
        <w:rPr>
          <w:rFonts w:ascii="Verdana" w:hAnsi="Verdana"/>
          <w:sz w:val="18"/>
          <w:szCs w:val="18"/>
        </w:rPr>
        <w:t>Skills England (2026), Annual Skills Report and Sector Skills Needs Assessment: Construction.</w:t>
      </w:r>
      <w:r>
        <w:fldChar w:fldCharType="begin"/>
      </w:r>
      <w:r>
        <w:instrText xml:space="preserve"> HYPERLINK "https://www.gov.uk/government/publications/skills-england-annual-skills-report-and-sectoral-skills-needs-assessments-2026/skills-england-annual-skills-report-2026" </w:instrText>
      </w:r>
      <w:r>
        <w:fldChar w:fldCharType="separate"/>
      </w:r>
      <w:r w:rsidRPr="00E62EF9">
        <w:rPr>
          <w:rStyle w:val="Hyperlink"/>
          <w:rFonts w:ascii="Verdana" w:hAnsi="Verdana"/>
          <w:sz w:val="18"/>
          <w:szCs w:val="18"/>
        </w:rPr>
        <w:t>[online]</w:t>
      </w:r>
      <w:r>
        <w:fldChar w:fldCharType="end"/>
      </w:r>
    </w:p>
  </w:footnote>
  <w:footnote w:id="12">
    <w:p w:rsidR="00CE4B25" w:rsidRPr="00CE4B25">
      <w:pPr>
        <w:pStyle w:val="FootnoteText"/>
        <w:rPr>
          <w:lang w:val="en-GB"/>
        </w:rPr>
      </w:pPr>
      <w:r>
        <w:rPr>
          <w:rStyle w:val="FootnoteReference"/>
        </w:rPr>
        <w:footnoteRef/>
      </w:r>
      <w:r>
        <w:t xml:space="preserve"> </w:t>
      </w:r>
      <w:r w:rsidRPr="00E62EF9">
        <w:rPr>
          <w:rFonts w:ascii="Verdana" w:hAnsi="Verdana"/>
          <w:sz w:val="18"/>
          <w:szCs w:val="18"/>
        </w:rPr>
        <w:t>Ministry of Housing, Communities and Local Government (2026), New Towns Draft Programme.</w:t>
      </w:r>
      <w:r>
        <w:fldChar w:fldCharType="begin"/>
      </w:r>
      <w:r>
        <w:instrText xml:space="preserve"> HYPERLINK "https://www.gov.uk/government/consultations/new-towns-draft-programme/new-towns-draft-programme" </w:instrText>
      </w:r>
      <w:r>
        <w:fldChar w:fldCharType="separate"/>
      </w:r>
      <w:r w:rsidRPr="00E62EF9">
        <w:rPr>
          <w:rStyle w:val="Hyperlink"/>
          <w:rFonts w:ascii="Verdana" w:hAnsi="Verdana"/>
          <w:sz w:val="18"/>
          <w:szCs w:val="18"/>
        </w:rPr>
        <w:t>[online]</w:t>
      </w:r>
      <w:r>
        <w:fldChar w:fldCharType="end"/>
      </w:r>
    </w:p>
  </w:footnote>
  <w:footnote w:id="13">
    <w:p w:rsidR="007A2845" w:rsidRPr="00E62EF9" w:rsidP="007A2845">
      <w:pPr>
        <w:spacing w:after="160" w:line="259" w:lineRule="auto"/>
        <w:ind w:left="357" w:hanging="357"/>
        <w:rPr>
          <w:rFonts w:ascii="Verdana" w:hAnsi="Verdana"/>
          <w:sz w:val="18"/>
          <w:szCs w:val="18"/>
        </w:rPr>
      </w:pPr>
      <w:r>
        <w:rPr>
          <w:rStyle w:val="FootnoteReference"/>
        </w:rPr>
        <w:footnoteRef/>
      </w:r>
      <w:r>
        <w:t xml:space="preserve"> </w:t>
      </w:r>
      <w:r w:rsidRPr="00E62EF9">
        <w:rPr>
          <w:rFonts w:ascii="Verdana" w:hAnsi="Verdana"/>
          <w:sz w:val="18"/>
          <w:szCs w:val="18"/>
        </w:rPr>
        <w:t>New Towns Taskforce (2025), Report to Government.</w:t>
      </w:r>
      <w:r>
        <w:fldChar w:fldCharType="begin"/>
      </w:r>
      <w:r>
        <w:instrText xml:space="preserve"> HYPERLINK "https://www.gov.uk/government/publications/new-towns-taskforce-report-to-government/new-towns-taskforce-report-to-government" </w:instrText>
      </w:r>
      <w:r>
        <w:fldChar w:fldCharType="separate"/>
      </w:r>
      <w:r w:rsidRPr="00E62EF9">
        <w:rPr>
          <w:rStyle w:val="Hyperlink"/>
          <w:rFonts w:ascii="Verdana" w:hAnsi="Verdana"/>
          <w:sz w:val="18"/>
          <w:szCs w:val="18"/>
        </w:rPr>
        <w:t>[online]</w:t>
      </w:r>
      <w:r>
        <w:fldChar w:fldCharType="end"/>
      </w:r>
    </w:p>
    <w:p w:rsidR="00CE4B25" w:rsidRPr="00CE4B25">
      <w:pPr>
        <w:pStyle w:val="FootnoteText"/>
        <w:rPr>
          <w:lang w:val="en-GB"/>
        </w:rPr>
      </w:pPr>
    </w:p>
  </w:footnote>
  <w:footnote w:id="14">
    <w:p w:rsidR="007A2845" w:rsidRPr="007A2845">
      <w:pPr>
        <w:pStyle w:val="FootnoteText"/>
        <w:rPr>
          <w:lang w:val="en-GB"/>
        </w:rPr>
      </w:pPr>
      <w:r>
        <w:rPr>
          <w:rStyle w:val="FootnoteReference"/>
        </w:rPr>
        <w:footnoteRef/>
      </w:r>
      <w:r>
        <w:t xml:space="preserve"> </w:t>
      </w:r>
      <w:r w:rsidRPr="00E62EF9">
        <w:rPr>
          <w:rFonts w:ascii="Verdana" w:hAnsi="Verdana"/>
          <w:sz w:val="18"/>
          <w:szCs w:val="18"/>
        </w:rPr>
        <w:t>Homes England (2025), Strategic Plan 2025 to 2030.</w:t>
      </w:r>
      <w:r>
        <w:fldChar w:fldCharType="begin"/>
      </w:r>
      <w:r>
        <w:instrText xml:space="preserve"> HYPERLINK "https://www.gov.uk/government/publications/homes-england-strategic-plan-2025-to-2030/homes-england-strategic-plan-2025-to-2030-html" </w:instrText>
      </w:r>
      <w:r>
        <w:fldChar w:fldCharType="separate"/>
      </w:r>
      <w:r w:rsidRPr="00E62EF9">
        <w:rPr>
          <w:rStyle w:val="Hyperlink"/>
          <w:rFonts w:ascii="Verdana" w:hAnsi="Verdana"/>
          <w:sz w:val="18"/>
          <w:szCs w:val="18"/>
        </w:rPr>
        <w:t>[online]</w:t>
      </w:r>
      <w:r>
        <w:fldChar w:fldCharType="end"/>
      </w:r>
    </w:p>
  </w:footnote>
  <w:footnote w:id="15">
    <w:p w:rsidR="007A2845" w:rsidRPr="007A2845">
      <w:pPr>
        <w:pStyle w:val="FootnoteText"/>
        <w:rPr>
          <w:lang w:val="en-GB"/>
        </w:rPr>
      </w:pPr>
      <w:r>
        <w:rPr>
          <w:rStyle w:val="FootnoteReference"/>
        </w:rPr>
        <w:footnoteRef/>
      </w:r>
      <w:r>
        <w:t xml:space="preserve"> </w:t>
      </w:r>
      <w:r w:rsidRPr="00E62EF9" w:rsidR="00DD5524">
        <w:rPr>
          <w:rFonts w:ascii="Verdana" w:hAnsi="Verdana"/>
          <w:sz w:val="18"/>
          <w:szCs w:val="18"/>
        </w:rPr>
        <w:t>Ministry of Housing, Communities and Local Government (2026), Construction Products Reform White Paper.</w:t>
      </w:r>
      <w:r>
        <w:fldChar w:fldCharType="begin"/>
      </w:r>
      <w:r>
        <w:instrText xml:space="preserve"> HYPERLINK "https://www.gov.uk/government/consultations/construction-products-reform-white-paper/construction-products-reform-white-paper" </w:instrText>
      </w:r>
      <w:r>
        <w:fldChar w:fldCharType="separate"/>
      </w:r>
      <w:r w:rsidRPr="00E62EF9" w:rsidR="00DD5524">
        <w:rPr>
          <w:rStyle w:val="Hyperlink"/>
          <w:rFonts w:ascii="Verdana" w:hAnsi="Verdana"/>
          <w:sz w:val="18"/>
          <w:szCs w:val="18"/>
        </w:rPr>
        <w:t>[online]</w:t>
      </w:r>
      <w:r>
        <w:fldChar w:fldCharType="end"/>
      </w:r>
    </w:p>
  </w:footnote>
  <w:footnote w:id="16">
    <w:p w:rsidR="00DD5524" w:rsidRPr="00DD5524">
      <w:pPr>
        <w:pStyle w:val="FootnoteText"/>
        <w:rPr>
          <w:lang w:val="en-GB"/>
        </w:rPr>
      </w:pPr>
      <w:r>
        <w:rPr>
          <w:rStyle w:val="FootnoteReference"/>
        </w:rPr>
        <w:footnoteRef/>
      </w:r>
      <w:r>
        <w:t xml:space="preserve"> </w:t>
      </w:r>
      <w:r w:rsidRPr="00E62EF9" w:rsidR="00BD0DAA">
        <w:rPr>
          <w:rFonts w:ascii="Verdana" w:hAnsi="Verdana"/>
          <w:sz w:val="18"/>
          <w:szCs w:val="18"/>
        </w:rPr>
        <w:t>House of Lords Built Environment Committee (2026), Uncorrected oral evidence: New Towns: Bricks and Mortar, 7 July 2026.</w:t>
      </w:r>
      <w:r>
        <w:fldChar w:fldCharType="begin"/>
      </w:r>
      <w:r>
        <w:instrText xml:space="preserve"> HYPERLINK "https://committees.parliament.uk/oralevidence/17923/pdf/" </w:instrText>
      </w:r>
      <w:r>
        <w:fldChar w:fldCharType="separate"/>
      </w:r>
      <w:r w:rsidRPr="00E62EF9" w:rsidR="00BD0DAA">
        <w:rPr>
          <w:rStyle w:val="Hyperlink"/>
          <w:rFonts w:ascii="Verdana" w:hAnsi="Verdana"/>
          <w:sz w:val="18"/>
          <w:szCs w:val="18"/>
        </w:rPr>
        <w:t>[online]</w:t>
      </w:r>
      <w:r>
        <w:fldChar w:fldCharType="end"/>
      </w:r>
    </w:p>
  </w:footnote>
  <w:footnote w:id="17">
    <w:p w:rsidR="00F27EC2" w:rsidRPr="00F27EC2">
      <w:pPr>
        <w:pStyle w:val="FootnoteText"/>
        <w:rPr>
          <w:lang w:val="en-GB"/>
        </w:rPr>
      </w:pPr>
      <w:r>
        <w:rPr>
          <w:rStyle w:val="FootnoteReference"/>
        </w:rPr>
        <w:footnoteRef/>
      </w:r>
      <w:r>
        <w:t xml:space="preserve"> </w:t>
      </w:r>
      <w:r w:rsidRPr="00E62EF9" w:rsidR="001B5BCD">
        <w:rPr>
          <w:rFonts w:ascii="Verdana" w:hAnsi="Verdana"/>
          <w:sz w:val="18"/>
          <w:szCs w:val="18"/>
        </w:rPr>
        <w:t>Ministry of Housing, Communities and Local Government (2026), New Towns Draft Programme.</w:t>
      </w:r>
      <w:r>
        <w:fldChar w:fldCharType="begin"/>
      </w:r>
      <w:r>
        <w:instrText xml:space="preserve"> HYPERLINK "https://www.gov.uk/government/consultations/new-towns-draft-programme/new-towns-draft-programme" </w:instrText>
      </w:r>
      <w:r>
        <w:fldChar w:fldCharType="separate"/>
      </w:r>
      <w:r w:rsidRPr="00E62EF9" w:rsidR="001B5BCD">
        <w:rPr>
          <w:rStyle w:val="Hyperlink"/>
          <w:rFonts w:ascii="Verdana" w:hAnsi="Verdana"/>
          <w:sz w:val="18"/>
          <w:szCs w:val="18"/>
        </w:rPr>
        <w:t>[online]</w:t>
      </w:r>
      <w:r>
        <w:fldChar w:fldCharType="end"/>
      </w:r>
    </w:p>
  </w:footnote>
  <w:footnote w:id="18">
    <w:p w:rsidR="002C0918" w:rsidRPr="002C0918">
      <w:pPr>
        <w:pStyle w:val="FootnoteText"/>
        <w:rPr>
          <w:lang w:val="en-GB"/>
        </w:rPr>
      </w:pPr>
      <w:r>
        <w:rPr>
          <w:rStyle w:val="FootnoteReference"/>
        </w:rPr>
        <w:footnoteRef/>
      </w:r>
      <w:r>
        <w:t xml:space="preserve"> </w:t>
      </w:r>
      <w:r w:rsidRPr="00E62EF9">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r>
        <w:fldChar w:fldCharType="begin"/>
      </w:r>
      <w:r>
        <w:instrText xml:space="preserve"> HYPERLINK "https://doi.org/10.1680/jmuen.26.00001" </w:instrText>
      </w:r>
      <w:r>
        <w:fldChar w:fldCharType="separate"/>
      </w:r>
      <w:r w:rsidRPr="00E62EF9">
        <w:rPr>
          <w:rStyle w:val="Hyperlink"/>
          <w:rFonts w:ascii="Verdana" w:hAnsi="Verdana"/>
          <w:sz w:val="18"/>
          <w:szCs w:val="18"/>
        </w:rPr>
        <w:t>[online]</w:t>
      </w:r>
      <w:r>
        <w:fldChar w:fldCharType="end"/>
      </w:r>
    </w:p>
  </w:footnote>
  <w:footnote w:id="19">
    <w:p w:rsidR="00BB3F24" w:rsidRPr="00BB3F24">
      <w:pPr>
        <w:pStyle w:val="FootnoteText"/>
        <w:rPr>
          <w:lang w:val="en-GB"/>
        </w:rPr>
      </w:pPr>
      <w:r>
        <w:rPr>
          <w:rStyle w:val="FootnoteReference"/>
        </w:rPr>
        <w:footnoteRef/>
      </w:r>
      <w:r>
        <w:t xml:space="preserve"> </w:t>
      </w:r>
      <w:r w:rsidRPr="00E62EF9">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r>
        <w:fldChar w:fldCharType="begin"/>
      </w:r>
      <w:r>
        <w:instrText xml:space="preserve"> HYPERLINK "https://doi.org/10.1680/jmuen.26.00001" </w:instrText>
      </w:r>
      <w:r>
        <w:fldChar w:fldCharType="separate"/>
      </w:r>
      <w:r w:rsidRPr="00E62EF9">
        <w:rPr>
          <w:rStyle w:val="Hyperlink"/>
          <w:rFonts w:ascii="Verdana" w:hAnsi="Verdana"/>
          <w:sz w:val="18"/>
          <w:szCs w:val="18"/>
        </w:rPr>
        <w:t>[online]</w:t>
      </w:r>
      <w:r>
        <w:fldChar w:fldCharType="end"/>
      </w:r>
    </w:p>
  </w:footnote>
  <w:footnote w:id="20">
    <w:p w:rsidR="00BB3F24" w:rsidRPr="00BB3F24" w:rsidP="00114BAE">
      <w:pPr>
        <w:pStyle w:val="FootnoteText"/>
        <w:rPr>
          <w:lang w:val="en-GB"/>
        </w:rPr>
      </w:pPr>
      <w:r>
        <w:rPr>
          <w:rStyle w:val="FootnoteReference"/>
        </w:rPr>
        <w:footnoteRef/>
      </w:r>
      <w:r>
        <w:t xml:space="preserve"> </w:t>
      </w:r>
      <w:r w:rsidRPr="00E62EF9">
        <w:rPr>
          <w:rFonts w:ascii="Verdana" w:hAnsi="Verdana"/>
          <w:sz w:val="18"/>
          <w:szCs w:val="18"/>
        </w:rPr>
        <w:t>New Towns Taskforce (2025), Report to Government.</w:t>
      </w:r>
      <w:r>
        <w:fldChar w:fldCharType="begin"/>
      </w:r>
      <w:r>
        <w:instrText xml:space="preserve"> HYPERLINK "https://www.gov.uk/government/publications/new-towns-taskforce-report-to-government/new-towns-taskforce-report-to-government" </w:instrText>
      </w:r>
      <w:r>
        <w:fldChar w:fldCharType="separate"/>
      </w:r>
      <w:r w:rsidRPr="00E62EF9">
        <w:rPr>
          <w:rStyle w:val="Hyperlink"/>
          <w:rFonts w:ascii="Verdana" w:hAnsi="Verdana"/>
          <w:sz w:val="18"/>
          <w:szCs w:val="18"/>
        </w:rPr>
        <w:t>[online]</w:t>
      </w:r>
      <w:r>
        <w:fldChar w:fldCharType="end"/>
      </w:r>
    </w:p>
  </w:footnote>
  <w:footnote w:id="21">
    <w:p w:rsidR="00BB3F24" w:rsidRPr="00114BAE" w:rsidP="00114BAE">
      <w:pPr>
        <w:spacing w:after="0" w:line="259" w:lineRule="auto"/>
        <w:ind w:left="357" w:hanging="357"/>
        <w:rPr>
          <w:rFonts w:ascii="Verdana" w:hAnsi="Verdana"/>
          <w:sz w:val="18"/>
          <w:szCs w:val="18"/>
        </w:rPr>
      </w:pPr>
      <w:r>
        <w:rPr>
          <w:rStyle w:val="FootnoteReference"/>
        </w:rPr>
        <w:footnoteRef/>
      </w:r>
      <w:r>
        <w:t xml:space="preserve"> </w:t>
      </w:r>
      <w:r w:rsidRPr="00E62EF9" w:rsidR="00114BAE">
        <w:rPr>
          <w:rFonts w:ascii="Verdana" w:hAnsi="Verdana"/>
          <w:sz w:val="18"/>
          <w:szCs w:val="18"/>
        </w:rPr>
        <w:t>Homes England and National Housing Bank (2026), Investment Prospectus 2026.</w:t>
      </w:r>
      <w:r>
        <w:fldChar w:fldCharType="begin"/>
      </w:r>
      <w:r>
        <w:instrText xml:space="preserve"> HYPERLINK "https://www.gov.uk/government/publications/homes-england-and-national-housing-bank-investment-prospectus-2026/homes-england-and-national-housing-bank-investment-prospectus-2026-html" </w:instrText>
      </w:r>
      <w:r>
        <w:fldChar w:fldCharType="separate"/>
      </w:r>
      <w:r w:rsidRPr="00E62EF9" w:rsidR="00114BAE">
        <w:rPr>
          <w:rStyle w:val="Hyperlink"/>
          <w:rFonts w:ascii="Verdana" w:hAnsi="Verdana"/>
          <w:sz w:val="18"/>
          <w:szCs w:val="18"/>
        </w:rPr>
        <w:t>[online]</w:t>
      </w:r>
      <w:r>
        <w:fldChar w:fldCharType="end"/>
      </w:r>
    </w:p>
  </w:footnote>
  <w:footnote w:id="22">
    <w:p w:rsidR="00114BAE" w:rsidRPr="00114BAE" w:rsidP="00114BAE">
      <w:pPr>
        <w:pStyle w:val="FootnoteText"/>
        <w:rPr>
          <w:lang w:val="en-GB"/>
        </w:rPr>
      </w:pPr>
      <w:r>
        <w:rPr>
          <w:rStyle w:val="FootnoteReference"/>
        </w:rPr>
        <w:footnoteRef/>
      </w:r>
      <w:r>
        <w:t xml:space="preserve"> </w:t>
      </w:r>
      <w:r w:rsidRPr="00E62EF9">
        <w:rPr>
          <w:rFonts w:ascii="Verdana" w:hAnsi="Verdana"/>
          <w:sz w:val="18"/>
          <w:szCs w:val="18"/>
        </w:rPr>
        <w:t>Homes England and National Housing Bank (2026), Investment Prospectus 2026.</w:t>
      </w:r>
      <w:r>
        <w:fldChar w:fldCharType="begin"/>
      </w:r>
      <w:r>
        <w:instrText xml:space="preserve"> HYPERLINK "https://www.gov.uk/government/publications/homes-england-and-national-housing-bank-investment-prospectus-2026/homes-england-and-national-housing-bank-investment-prospectus-2026-html" </w:instrText>
      </w:r>
      <w:r>
        <w:fldChar w:fldCharType="separate"/>
      </w:r>
      <w:r w:rsidRPr="00E62EF9">
        <w:rPr>
          <w:rStyle w:val="Hyperlink"/>
          <w:rFonts w:ascii="Verdana" w:hAnsi="Verdana"/>
          <w:sz w:val="18"/>
          <w:szCs w:val="18"/>
        </w:rPr>
        <w:t>[online]</w:t>
      </w:r>
      <w:r>
        <w:fldChar w:fldCharType="end"/>
      </w:r>
    </w:p>
  </w:footnote>
  <w:footnote w:id="23">
    <w:p w:rsidR="00114BAE" w:rsidRPr="00114BAE">
      <w:pPr>
        <w:pStyle w:val="FootnoteText"/>
        <w:rPr>
          <w:lang w:val="en-GB"/>
        </w:rPr>
      </w:pPr>
      <w:r>
        <w:rPr>
          <w:rStyle w:val="FootnoteReference"/>
        </w:rPr>
        <w:footnoteRef/>
      </w:r>
      <w:r>
        <w:t xml:space="preserve"> </w:t>
      </w:r>
      <w:r w:rsidRPr="00E62EF9">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r>
        <w:fldChar w:fldCharType="begin"/>
      </w:r>
      <w:r>
        <w:instrText xml:space="preserve"> HYPERLINK "https://doi.org/10.1680/jmuen.26.00001" </w:instrText>
      </w:r>
      <w:r>
        <w:fldChar w:fldCharType="separate"/>
      </w:r>
      <w:r w:rsidRPr="00E62EF9">
        <w:rPr>
          <w:rStyle w:val="Hyperlink"/>
          <w:rFonts w:ascii="Verdana" w:hAnsi="Verdana"/>
          <w:sz w:val="18"/>
          <w:szCs w:val="18"/>
        </w:rPr>
        <w:t>[online]</w:t>
      </w:r>
      <w:r>
        <w:fldChar w:fldCharType="end"/>
      </w:r>
    </w:p>
  </w:footnote>
  <w:footnote w:id="24">
    <w:p w:rsidR="00D449CA" w:rsidRPr="00D449CA">
      <w:pPr>
        <w:pStyle w:val="FootnoteText"/>
        <w:rPr>
          <w:lang w:val="en-GB"/>
        </w:rPr>
      </w:pPr>
      <w:r>
        <w:rPr>
          <w:rStyle w:val="FootnoteReference"/>
        </w:rPr>
        <w:footnoteRef/>
      </w:r>
      <w:r>
        <w:t xml:space="preserve"> </w:t>
      </w:r>
      <w:r w:rsidRPr="00E62EF9">
        <w:rPr>
          <w:rFonts w:ascii="Verdana" w:hAnsi="Verdana"/>
          <w:sz w:val="18"/>
          <w:szCs w:val="18"/>
        </w:rPr>
        <w:t>Ministry of Housing, Communities and Local Government (2021), National Design Guide.</w:t>
      </w:r>
      <w:r>
        <w:fldChar w:fldCharType="begin"/>
      </w:r>
      <w:r>
        <w:instrText xml:space="preserve"> HYPERLINK "https://www.gov.uk/government/publications/national-design-guide" </w:instrText>
      </w:r>
      <w:r>
        <w:fldChar w:fldCharType="separate"/>
      </w:r>
      <w:r w:rsidRPr="00E62EF9">
        <w:rPr>
          <w:rStyle w:val="Hyperlink"/>
          <w:rFonts w:ascii="Verdana" w:hAnsi="Verdana"/>
          <w:sz w:val="18"/>
          <w:szCs w:val="18"/>
        </w:rPr>
        <w:t>[online]</w:t>
      </w:r>
      <w:r>
        <w:fldChar w:fldCharType="end"/>
      </w:r>
    </w:p>
  </w:footnote>
  <w:footnote w:id="25">
    <w:p w:rsidR="00114BAE" w:rsidRPr="00114BAE">
      <w:pPr>
        <w:pStyle w:val="FootnoteText"/>
        <w:rPr>
          <w:lang w:val="en-GB"/>
        </w:rPr>
      </w:pPr>
      <w:r>
        <w:rPr>
          <w:rStyle w:val="FootnoteReference"/>
        </w:rPr>
        <w:footnoteRef/>
      </w:r>
      <w:r>
        <w:t xml:space="preserve"> </w:t>
      </w:r>
      <w:r w:rsidRPr="00E62EF9">
        <w:rPr>
          <w:rFonts w:ascii="Verdana" w:hAnsi="Verdana"/>
          <w:sz w:val="18"/>
          <w:szCs w:val="18"/>
        </w:rPr>
        <w:t>Ministry of Housing, Communities and Local Government (2021), National Model Design Code.</w:t>
      </w:r>
      <w:r>
        <w:fldChar w:fldCharType="begin"/>
      </w:r>
      <w:r>
        <w:instrText xml:space="preserve"> HYPERLINK "https://www.gov.uk/government/publications/national-model-design-code" </w:instrText>
      </w:r>
      <w:r>
        <w:fldChar w:fldCharType="separate"/>
      </w:r>
      <w:r w:rsidRPr="00E62EF9">
        <w:rPr>
          <w:rStyle w:val="Hyperlink"/>
          <w:rFonts w:ascii="Verdana" w:hAnsi="Verdana"/>
          <w:sz w:val="18"/>
          <w:szCs w:val="18"/>
        </w:rPr>
        <w:t>[online]</w:t>
      </w:r>
      <w:r>
        <w:fldChar w:fldCharType="end"/>
      </w:r>
    </w:p>
  </w:footnote>
  <w:footnote w:id="26">
    <w:p w:rsidR="00D449CA" w:rsidRPr="004D080C" w:rsidP="004D080C">
      <w:pPr>
        <w:spacing w:after="0" w:line="259" w:lineRule="auto"/>
        <w:ind w:left="357" w:hanging="357"/>
        <w:rPr>
          <w:rFonts w:ascii="Verdana" w:hAnsi="Verdana"/>
          <w:sz w:val="18"/>
          <w:szCs w:val="18"/>
        </w:rPr>
      </w:pPr>
      <w:r>
        <w:rPr>
          <w:rStyle w:val="FootnoteReference"/>
        </w:rPr>
        <w:footnoteRef/>
      </w:r>
      <w:r>
        <w:t xml:space="preserve"> </w:t>
      </w:r>
      <w:r w:rsidRPr="00E62EF9">
        <w:rPr>
          <w:rFonts w:ascii="Verdana" w:hAnsi="Verdana"/>
          <w:sz w:val="18"/>
          <w:szCs w:val="18"/>
        </w:rPr>
        <w:t>New Towns Taskforce (2025), Report to Government.</w:t>
      </w:r>
      <w:r>
        <w:fldChar w:fldCharType="begin"/>
      </w:r>
      <w:r>
        <w:instrText xml:space="preserve"> HYPERLINK "https://www.gov.uk/government/publications/new-towns-taskforce-report-to-government/new-towns-taskforce-report-to-government" </w:instrText>
      </w:r>
      <w:r>
        <w:fldChar w:fldCharType="separate"/>
      </w:r>
      <w:r w:rsidRPr="00E62EF9">
        <w:rPr>
          <w:rStyle w:val="Hyperlink"/>
          <w:rFonts w:ascii="Verdana" w:hAnsi="Verdana"/>
          <w:sz w:val="18"/>
          <w:szCs w:val="18"/>
        </w:rPr>
        <w:t>[online]</w:t>
      </w:r>
      <w:r>
        <w:fldChar w:fldCharType="end"/>
      </w:r>
    </w:p>
  </w:footnote>
  <w:footnote w:id="27">
    <w:p w:rsidR="004D080C" w:rsidRPr="00024C2A" w:rsidP="00024C2A">
      <w:pPr>
        <w:spacing w:after="0" w:line="259" w:lineRule="auto"/>
        <w:ind w:left="357" w:hanging="357"/>
        <w:rPr>
          <w:rFonts w:ascii="Verdana" w:hAnsi="Verdana"/>
          <w:sz w:val="18"/>
          <w:szCs w:val="18"/>
        </w:rPr>
      </w:pPr>
      <w:r>
        <w:rPr>
          <w:rStyle w:val="FootnoteReference"/>
        </w:rPr>
        <w:footnoteRef/>
      </w:r>
      <w:r>
        <w:t xml:space="preserve"> </w:t>
      </w:r>
      <w:r w:rsidRPr="00E62EF9">
        <w:rPr>
          <w:rFonts w:ascii="Verdana" w:hAnsi="Verdana"/>
          <w:sz w:val="18"/>
          <w:szCs w:val="18"/>
        </w:rPr>
        <w:t>National Audit Office (2012), The London 2012 Olympic Games and Paralympic Games: Post-Games Review.</w:t>
      </w:r>
      <w:r>
        <w:fldChar w:fldCharType="begin"/>
      </w:r>
      <w:r>
        <w:instrText xml:space="preserve"> HYPERLINK "https://www.nao.org.uk/reports/the-london-2012-olympic-games-and-paralympic-games-post-games-review/" </w:instrText>
      </w:r>
      <w:r>
        <w:fldChar w:fldCharType="separate"/>
      </w:r>
      <w:r w:rsidRPr="00E62EF9">
        <w:rPr>
          <w:rStyle w:val="Hyperlink"/>
          <w:rFonts w:ascii="Verdana" w:hAnsi="Verdana"/>
          <w:sz w:val="18"/>
          <w:szCs w:val="18"/>
        </w:rPr>
        <w:t>[online]</w:t>
      </w:r>
      <w:r>
        <w:fldChar w:fldCharType="end"/>
      </w:r>
    </w:p>
  </w:footnote>
  <w:footnote w:id="28">
    <w:p w:rsidR="00024C2A" w:rsidRPr="00024C2A" w:rsidP="0058111B">
      <w:pPr>
        <w:pStyle w:val="FootnoteText"/>
        <w:rPr>
          <w:lang w:val="en-GB"/>
        </w:rPr>
      </w:pPr>
      <w:r>
        <w:rPr>
          <w:rStyle w:val="FootnoteReference"/>
        </w:rPr>
        <w:footnoteRef/>
      </w:r>
      <w:r>
        <w:t xml:space="preserve"> </w:t>
      </w:r>
      <w:r w:rsidRPr="00E62EF9">
        <w:rPr>
          <w:rFonts w:ascii="Verdana" w:hAnsi="Verdana"/>
          <w:sz w:val="18"/>
          <w:szCs w:val="18"/>
        </w:rPr>
        <w:t>Crossrail</w:t>
      </w:r>
      <w:r w:rsidRPr="00E62EF9">
        <w:rPr>
          <w:rFonts w:ascii="Verdana" w:hAnsi="Verdana"/>
          <w:sz w:val="18"/>
          <w:szCs w:val="18"/>
        </w:rPr>
        <w:t xml:space="preserve"> Ltd (2017), ‘</w:t>
      </w:r>
      <w:r w:rsidRPr="00E62EF9">
        <w:rPr>
          <w:rFonts w:ascii="Verdana" w:hAnsi="Verdana"/>
          <w:sz w:val="18"/>
          <w:szCs w:val="18"/>
        </w:rPr>
        <w:t>Crossrail</w:t>
      </w:r>
      <w:r w:rsidRPr="00E62EF9">
        <w:rPr>
          <w:rFonts w:ascii="Verdana" w:hAnsi="Verdana"/>
          <w:sz w:val="18"/>
          <w:szCs w:val="18"/>
        </w:rPr>
        <w:t xml:space="preserve"> project: logistics management strategy for the Elizabeth line, London’, </w:t>
      </w:r>
      <w:r w:rsidRPr="00E62EF9">
        <w:rPr>
          <w:rFonts w:ascii="Verdana" w:hAnsi="Verdana"/>
          <w:sz w:val="18"/>
          <w:szCs w:val="18"/>
        </w:rPr>
        <w:t>Crossrail</w:t>
      </w:r>
      <w:r w:rsidRPr="00E62EF9">
        <w:rPr>
          <w:rFonts w:ascii="Verdana" w:hAnsi="Verdana"/>
          <w:sz w:val="18"/>
          <w:szCs w:val="18"/>
        </w:rPr>
        <w:t xml:space="preserve"> Learning Legacy.</w:t>
      </w:r>
      <w:r>
        <w:fldChar w:fldCharType="begin"/>
      </w:r>
      <w:r>
        <w:instrText xml:space="preserve"> HYPERLINK "https://learninglegacy.crossrail.co.uk/document/logistics/" </w:instrText>
      </w:r>
      <w:r>
        <w:fldChar w:fldCharType="separate"/>
      </w:r>
      <w:r w:rsidRPr="00E62EF9">
        <w:rPr>
          <w:rStyle w:val="Hyperlink"/>
          <w:rFonts w:ascii="Verdana" w:hAnsi="Verdana"/>
          <w:sz w:val="18"/>
          <w:szCs w:val="18"/>
        </w:rPr>
        <w:t>[online]</w:t>
      </w:r>
      <w:r>
        <w:fldChar w:fldCharType="end"/>
      </w:r>
    </w:p>
  </w:footnote>
  <w:footnote w:id="29">
    <w:p w:rsidR="00024C2A" w:rsidRPr="0058111B" w:rsidP="0058111B">
      <w:pPr>
        <w:spacing w:after="0" w:line="259" w:lineRule="auto"/>
        <w:ind w:left="357" w:hanging="357"/>
        <w:rPr>
          <w:rFonts w:ascii="Verdana" w:hAnsi="Verdana"/>
          <w:sz w:val="18"/>
          <w:szCs w:val="18"/>
        </w:rPr>
      </w:pPr>
      <w:r>
        <w:rPr>
          <w:rStyle w:val="FootnoteReference"/>
        </w:rPr>
        <w:footnoteRef/>
      </w:r>
      <w:r>
        <w:t xml:space="preserve"> </w:t>
      </w:r>
      <w:r w:rsidRPr="00E62EF9">
        <w:rPr>
          <w:rFonts w:ascii="Verdana" w:hAnsi="Verdana"/>
          <w:sz w:val="18"/>
          <w:szCs w:val="18"/>
        </w:rPr>
        <w:t>National Audit Office (2026), High Speed Two Reset.</w:t>
      </w:r>
      <w:r>
        <w:fldChar w:fldCharType="begin"/>
      </w:r>
      <w:r>
        <w:instrText xml:space="preserve"> HYPERLINK "https://www.nao.org.uk/reports/high-speed-two-reset/" </w:instrText>
      </w:r>
      <w:r>
        <w:fldChar w:fldCharType="separate"/>
      </w:r>
      <w:r w:rsidRPr="00E62EF9">
        <w:rPr>
          <w:rStyle w:val="Hyperlink"/>
          <w:rFonts w:ascii="Verdana" w:hAnsi="Verdana"/>
          <w:sz w:val="18"/>
          <w:szCs w:val="18"/>
        </w:rPr>
        <w:t>[online]</w:t>
      </w:r>
      <w:r>
        <w:fldChar w:fldCharType="end"/>
      </w:r>
    </w:p>
  </w:footnote>
  <w:footnote w:id="30">
    <w:p w:rsidR="00FE16E5" w:rsidRPr="009953CA" w:rsidP="0058111B">
      <w:pPr>
        <w:spacing w:after="0" w:line="259" w:lineRule="auto"/>
        <w:ind w:left="357" w:hanging="357"/>
        <w:rPr>
          <w:rFonts w:ascii="Verdana" w:hAnsi="Verdana"/>
          <w:sz w:val="18"/>
          <w:szCs w:val="18"/>
        </w:rPr>
      </w:pPr>
      <w:r>
        <w:rPr>
          <w:rStyle w:val="FootnoteReference"/>
        </w:rPr>
        <w:footnoteRef/>
      </w:r>
      <w:r>
        <w:t xml:space="preserve"> </w:t>
      </w:r>
      <w:r w:rsidRPr="00E62EF9">
        <w:rPr>
          <w:rFonts w:ascii="Verdana" w:hAnsi="Verdana"/>
          <w:sz w:val="18"/>
          <w:szCs w:val="18"/>
        </w:rPr>
        <w:t>Ministry of Housing, Communities and Local Government (2026), New Towns Draft Programme.</w:t>
      </w:r>
      <w:r>
        <w:fldChar w:fldCharType="begin"/>
      </w:r>
      <w:r>
        <w:instrText xml:space="preserve"> HYPERLINK "https://www.gov.uk/government/consultations/new-towns-draft-programme/new-towns-draft-programme" </w:instrText>
      </w:r>
      <w:r>
        <w:fldChar w:fldCharType="separate"/>
      </w:r>
      <w:r w:rsidRPr="00E62EF9">
        <w:rPr>
          <w:rStyle w:val="Hyperlink"/>
          <w:rFonts w:ascii="Verdana" w:hAnsi="Verdana"/>
          <w:sz w:val="18"/>
          <w:szCs w:val="18"/>
        </w:rPr>
        <w:t>[online]</w:t>
      </w:r>
      <w:r>
        <w:fldChar w:fldCharType="end"/>
      </w:r>
    </w:p>
  </w:footnote>
  <w:footnote w:id="31">
    <w:p w:rsidR="00FE16E5" w:rsidRPr="00FE16E5" w:rsidP="0058111B">
      <w:pPr>
        <w:pStyle w:val="FootnoteText"/>
        <w:rPr>
          <w:lang w:val="en-GB"/>
        </w:rPr>
      </w:pPr>
      <w:r>
        <w:rPr>
          <w:rStyle w:val="FootnoteReference"/>
        </w:rPr>
        <w:footnoteRef/>
      </w:r>
      <w:r>
        <w:t xml:space="preserve"> </w:t>
      </w:r>
      <w:r w:rsidRPr="00E62EF9" w:rsidR="009953CA">
        <w:rPr>
          <w:rFonts w:ascii="Verdana" w:hAnsi="Verdana"/>
          <w:sz w:val="18"/>
          <w:szCs w:val="18"/>
        </w:rPr>
        <w:t>Umar, T. (2026), “The Planning and Infrastructure Act 2025: challenges and opportunities for the built environment sector”, Proceedings of the Institution of Civil Engineers – Municipal Engineer, pp. 1–16, DOI: 10.1680/jmuen.26.00001.</w:t>
      </w:r>
      <w:r>
        <w:fldChar w:fldCharType="begin"/>
      </w:r>
      <w:r>
        <w:instrText xml:space="preserve"> HYPERLINK "https://doi.org/10.1680/jmuen.26.00001" </w:instrText>
      </w:r>
      <w:r>
        <w:fldChar w:fldCharType="separate"/>
      </w:r>
      <w:r w:rsidRPr="00E62EF9" w:rsidR="009953CA">
        <w:rPr>
          <w:rStyle w:val="Hyperlink"/>
          <w:rFonts w:ascii="Verdana" w:hAnsi="Verdana"/>
          <w:sz w:val="18"/>
          <w:szCs w:val="18"/>
        </w:rPr>
        <w:t>[online]</w:t>
      </w:r>
      <w:r>
        <w:fldChar w:fldCharType="end"/>
      </w:r>
    </w:p>
  </w:footnote>
  <w:footnote w:id="32">
    <w:p w:rsidR="007C6D02" w:rsidRPr="007C6D02" w:rsidP="0058111B">
      <w:pPr>
        <w:pStyle w:val="FootnoteText"/>
        <w:rPr>
          <w:lang w:val="en-GB"/>
        </w:rPr>
      </w:pPr>
      <w:r>
        <w:rPr>
          <w:rStyle w:val="FootnoteReference"/>
        </w:rPr>
        <w:footnoteRef/>
      </w:r>
      <w:r>
        <w:t xml:space="preserve"> </w:t>
      </w:r>
      <w:r w:rsidRPr="00E62EF9">
        <w:rPr>
          <w:rFonts w:ascii="Verdana" w:hAnsi="Verdana"/>
          <w:sz w:val="18"/>
          <w:szCs w:val="18"/>
        </w:rPr>
        <w:t>New Towns Taskforce (2025), Report to Government.</w:t>
      </w:r>
      <w:r>
        <w:fldChar w:fldCharType="begin"/>
      </w:r>
      <w:r>
        <w:instrText xml:space="preserve"> HYPERLINK "https://www.gov.uk/government/publications/new-towns-taskforce-report-to-government/new-towns-taskforce-report-to-government" </w:instrText>
      </w:r>
      <w:r>
        <w:fldChar w:fldCharType="separate"/>
      </w:r>
      <w:r w:rsidRPr="00E62EF9">
        <w:rPr>
          <w:rStyle w:val="Hyperlink"/>
          <w:rFonts w:ascii="Verdana" w:hAnsi="Verdana"/>
          <w:sz w:val="18"/>
          <w:szCs w:val="18"/>
        </w:rPr>
        <w:t>[online]</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979279A"/>
    <w:multiLevelType w:val="hybridMultilevel"/>
    <w:tmpl w:val="C016C45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81B73F7"/>
    <w:multiLevelType w:val="hybridMultilevel"/>
    <w:tmpl w:val="1936AAB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CB5C34"/>
    <w:multiLevelType w:val="hybridMultilevel"/>
    <w:tmpl w:val="051E9F46"/>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2B70DDB"/>
    <w:multiLevelType w:val="hybridMultilevel"/>
    <w:tmpl w:val="1E74891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35A0980"/>
    <w:multiLevelType w:val="hybridMultilevel"/>
    <w:tmpl w:val="906A9D36"/>
    <w:lvl w:ilvl="0">
      <w:start w:val="1"/>
      <w:numFmt w:val="decimal"/>
      <w:lvlText w:val="%1."/>
      <w:lvlJc w:val="left"/>
      <w:pPr>
        <w:ind w:left="720" w:hanging="360"/>
      </w:pPr>
    </w:lvl>
    <w:lvl w:ilvl="1">
      <w:start w:val="1"/>
      <w:numFmt w:val="lowerRoman"/>
      <w:lvlText w:val="(%2)"/>
      <w:lvlJc w:val="left"/>
      <w:pPr>
        <w:ind w:left="2160" w:hanging="10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6D35C7"/>
    <w:multiLevelType w:val="hybridMultilevel"/>
    <w:tmpl w:val="55564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16B6C37"/>
    <w:multiLevelType w:val="hybridMultilevel"/>
    <w:tmpl w:val="07B2A1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5"/>
  </w:num>
  <w:num w:numId="12">
    <w:abstractNumId w:val="13"/>
  </w:num>
  <w:num w:numId="13">
    <w:abstractNumId w:val="12"/>
  </w:num>
  <w:num w:numId="14">
    <w:abstractNumId w:val="9"/>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pPr>
      <w:spacing w:after="80" w:line="245"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140"/>
      <w:outlineLvl w:val="0"/>
    </w:pPr>
    <w:rPr>
      <w:rFonts w:asciiTheme="majorHAnsi" w:eastAsiaTheme="majorEastAsia" w:hAnsiTheme="majorHAnsi" w:cstheme="majorBidi"/>
      <w:b/>
      <w:bCs/>
      <w:sz w:val="23"/>
      <w:szCs w:val="28"/>
    </w:rPr>
  </w:style>
  <w:style w:type="paragraph" w:styleId="Heading2">
    <w:name w:val="heading 2"/>
    <w:basedOn w:val="Normal"/>
    <w:next w:val="Normal"/>
    <w:link w:val="Heading2Char"/>
    <w:uiPriority w:val="9"/>
    <w:unhideWhenUsed/>
    <w:qFormat/>
    <w:rsid w:val="00FC693F"/>
    <w:pPr>
      <w:keepNext/>
      <w:keepLines/>
      <w:spacing w:before="14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E72AD"/>
    <w:rPr>
      <w:color w:val="0000FF" w:themeColor="hyperlink"/>
      <w:u w:val="single"/>
    </w:rPr>
  </w:style>
  <w:style w:type="paragraph" w:styleId="EndnoteText">
    <w:name w:val="endnote text"/>
    <w:basedOn w:val="Normal"/>
    <w:link w:val="EndnoteTextChar"/>
    <w:uiPriority w:val="99"/>
    <w:semiHidden/>
    <w:unhideWhenUsed/>
    <w:rsid w:val="009E72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72AD"/>
    <w:rPr>
      <w:rFonts w:ascii="Arial" w:eastAsia="Arial" w:hAnsi="Arial"/>
      <w:sz w:val="20"/>
      <w:szCs w:val="20"/>
    </w:rPr>
  </w:style>
  <w:style w:type="character" w:styleId="EndnoteReference">
    <w:name w:val="endnote reference"/>
    <w:basedOn w:val="DefaultParagraphFont"/>
    <w:uiPriority w:val="99"/>
    <w:semiHidden/>
    <w:unhideWhenUsed/>
    <w:rsid w:val="009E72AD"/>
    <w:rPr>
      <w:vertAlign w:val="superscript"/>
    </w:rPr>
  </w:style>
  <w:style w:type="paragraph" w:styleId="FootnoteText">
    <w:name w:val="footnote text"/>
    <w:basedOn w:val="Normal"/>
    <w:link w:val="FootnoteTextChar"/>
    <w:uiPriority w:val="99"/>
    <w:semiHidden/>
    <w:unhideWhenUsed/>
    <w:rsid w:val="009E72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2AD"/>
    <w:rPr>
      <w:rFonts w:ascii="Arial" w:eastAsia="Arial" w:hAnsi="Arial"/>
      <w:sz w:val="20"/>
      <w:szCs w:val="20"/>
    </w:rPr>
  </w:style>
  <w:style w:type="character" w:styleId="FootnoteReference">
    <w:name w:val="footnote reference"/>
    <w:basedOn w:val="DefaultParagraphFont"/>
    <w:uiPriority w:val="99"/>
    <w:semiHidden/>
    <w:unhideWhenUsed/>
    <w:rsid w:val="009E7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JRFZP62N7HVT-2044078101-1574</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https://hopuk.sharepoint.com/sites/hlc-builtenviro/_layouts/15/DocIdRedir.aspx?ID=JRFZP62N7HVT-2044078101-1574</Url>
      <Description>JRFZP62N7HVT-2044078101-1574</Description>
    </_dlc_DocIdUrl>
    <RecordNumber xmlns="4600776d-0a3c-44b4-bff2-0ceaafb13046" xsi:nil="true"/>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5</Value>
      <Value>104</Value>
      <Value>73</Value>
      <Value>105</Value>
      <Value>2</Value>
      <Value>54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70d2f4a9-7027-4c8b-acc6-1861eab93b19">2026-07-20T23:00:00+00:00</Meeting_x0020_Date>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6E79EA-5506-444A-9879-0C0884C44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33D3295-6E91-48E1-8C4C-BCE4F4089E89}">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4.xml><?xml version="1.0" encoding="utf-8"?>
<ds:datastoreItem xmlns:ds="http://schemas.openxmlformats.org/officeDocument/2006/customXml" ds:itemID="{37C71C53-75F1-4ED1-84E1-4176C46B75B7}">
  <ds:schemaRefs>
    <ds:schemaRef ds:uri="http://schemas.microsoft.com/sharepoint/v3/contenttype/forms"/>
  </ds:schemaRefs>
</ds:datastoreItem>
</file>

<file path=customXml/itemProps5.xml><?xml version="1.0" encoding="utf-8"?>
<ds:datastoreItem xmlns:ds="http://schemas.openxmlformats.org/officeDocument/2006/customXml" ds:itemID="{C19335DE-9F0B-4A98-B40A-63EF5E25D7D8}">
  <ds:schemaRefs>
    <ds:schemaRef ds:uri="http://schemas.microsoft.com/sharepoint/event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NTB0017</dc:title>
  <cp:revision>0</cp:revision>
</cp:coreProperties>
</file>