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C940D1" w:rsidRPr="00FA4AE3" w:rsidP="00FA4AE3">
      <w:pPr>
        <w:spacing w:after="160" w:line="259" w:lineRule="auto"/>
        <w:ind w:left="357" w:hanging="357"/>
        <w:rPr>
          <w:rFonts w:ascii="Verdana" w:hAnsi="Verdana"/>
          <w:b/>
          <w:sz w:val="28"/>
          <w:szCs w:val="28"/>
        </w:rPr>
      </w:pPr>
      <w:r w:rsidRPr="00510114">
        <w:rPr>
          <w:rFonts w:ascii="Verdana" w:hAnsi="Verdana"/>
          <w:b/>
          <w:bCs/>
          <w:sz w:val="28"/>
          <w:szCs w:val="28"/>
        </w:rPr>
        <w:t>Dr Adrienn Tomor</w:t>
      </w:r>
      <w:r w:rsidRPr="00510114" w:rsidR="00510114">
        <w:rPr>
          <w:rFonts w:ascii="Verdana" w:hAnsi="Verdana"/>
          <w:b/>
          <w:bCs/>
          <w:sz w:val="28"/>
          <w:szCs w:val="28"/>
        </w:rPr>
        <w:t xml:space="preserve"> – Written evidence (NTB0016)</w:t>
      </w:r>
    </w:p>
    <w:p w:rsidR="00C940D1" w:rsidRPr="00510114" w:rsidP="00FA4AE3">
      <w:pPr>
        <w:spacing w:after="160" w:line="259" w:lineRule="auto"/>
        <w:ind w:left="357" w:hanging="357"/>
        <w:rPr>
          <w:rFonts w:ascii="Verdana" w:hAnsi="Verdana"/>
          <w:b/>
          <w:bCs/>
        </w:rPr>
      </w:pPr>
      <w:r w:rsidRPr="00510114">
        <w:rPr>
          <w:rFonts w:ascii="Verdana" w:hAnsi="Verdana"/>
          <w:b/>
          <w:bCs/>
        </w:rPr>
        <w:t>Executive Summary</w:t>
      </w:r>
    </w:p>
    <w:p w:rsidR="00C940D1" w:rsidRPr="00FA4AE3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FA4AE3">
        <w:rPr>
          <w:rFonts w:ascii="Verdana" w:hAnsi="Verdana"/>
          <w:i/>
        </w:rPr>
        <w:t>Key Messages</w:t>
      </w:r>
    </w:p>
    <w:p w:rsidR="00C940D1" w:rsidRPr="00510114" w:rsidP="00FA4AE3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The principal </w:t>
      </w:r>
      <w:r w:rsidRPr="00FA4AE3">
        <w:rPr>
          <w:rFonts w:ascii="Verdana" w:hAnsi="Verdana"/>
        </w:rPr>
        <w:t>barriers</w:t>
      </w:r>
      <w:r w:rsidRPr="00510114">
        <w:rPr>
          <w:rFonts w:ascii="Verdana" w:hAnsi="Verdana"/>
        </w:rPr>
        <w:t xml:space="preserve"> to delivery are </w:t>
      </w:r>
      <w:r w:rsidRPr="00FA4AE3">
        <w:rPr>
          <w:rFonts w:ascii="Verdana" w:hAnsi="Verdana"/>
        </w:rPr>
        <w:t>capacity, skills, supply chains</w:t>
      </w:r>
      <w:r w:rsidRPr="00510114">
        <w:rPr>
          <w:rFonts w:ascii="Verdana" w:hAnsi="Verdana"/>
        </w:rPr>
        <w:t xml:space="preserve"> and investment </w:t>
      </w:r>
      <w:r w:rsidRPr="00FA4AE3">
        <w:rPr>
          <w:rFonts w:ascii="Verdana" w:hAnsi="Verdana"/>
        </w:rPr>
        <w:t>certainty</w:t>
      </w:r>
      <w:r w:rsidRPr="00510114">
        <w:rPr>
          <w:rFonts w:ascii="Verdana" w:hAnsi="Verdana"/>
        </w:rPr>
        <w:t>, rather than material availability.</w:t>
      </w:r>
    </w:p>
    <w:p w:rsidR="00C940D1" w:rsidRPr="00510114" w:rsidP="00FA4AE3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Natural </w:t>
      </w:r>
      <w:r w:rsidRPr="00FA4AE3">
        <w:rPr>
          <w:rFonts w:ascii="Verdana" w:hAnsi="Verdana"/>
        </w:rPr>
        <w:t>stone</w:t>
      </w:r>
      <w:r w:rsidRPr="00510114">
        <w:rPr>
          <w:rFonts w:ascii="Verdana" w:hAnsi="Verdana"/>
        </w:rPr>
        <w:t xml:space="preserve"> </w:t>
      </w:r>
      <w:r w:rsidRPr="00FA4AE3">
        <w:rPr>
          <w:rFonts w:ascii="Verdana" w:hAnsi="Verdana"/>
        </w:rPr>
        <w:t>can provide</w:t>
      </w:r>
      <w:r w:rsidRPr="00510114">
        <w:rPr>
          <w:rFonts w:ascii="Verdana" w:hAnsi="Verdana"/>
        </w:rPr>
        <w:t xml:space="preserve"> additional domestic manufacturing </w:t>
      </w:r>
      <w:r w:rsidRPr="00FA4AE3">
        <w:rPr>
          <w:rFonts w:ascii="Verdana" w:hAnsi="Verdana"/>
        </w:rPr>
        <w:t>capacity</w:t>
      </w:r>
      <w:r w:rsidRPr="00510114">
        <w:rPr>
          <w:rFonts w:ascii="Verdana" w:hAnsi="Verdana"/>
        </w:rPr>
        <w:t>, support local supply chains, and contribute to modern industrialised construction.</w:t>
      </w:r>
    </w:p>
    <w:p w:rsidR="00C940D1" w:rsidRPr="00510114" w:rsidP="00FA4AE3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Current carbon assessment, cost-benefit analysis and procurement frameworks do not adequately reward </w:t>
      </w:r>
      <w:r w:rsidRPr="00FA4AE3">
        <w:rPr>
          <w:rFonts w:ascii="Verdana" w:hAnsi="Verdana"/>
        </w:rPr>
        <w:t>durability, longevity and whole-life value.</w:t>
      </w:r>
    </w:p>
    <w:p w:rsidR="00C940D1" w:rsidRPr="00510114" w:rsidP="00FA4AE3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New towns represent an opportunity to support </w:t>
      </w:r>
      <w:r w:rsidRPr="00FA4AE3">
        <w:rPr>
          <w:rFonts w:ascii="Verdana" w:hAnsi="Verdana"/>
        </w:rPr>
        <w:t xml:space="preserve">innovation, advanced manufacturing, digital fabrication </w:t>
      </w:r>
      <w:r w:rsidRPr="00510114">
        <w:rPr>
          <w:rFonts w:ascii="Verdana" w:hAnsi="Verdana"/>
        </w:rPr>
        <w:t>and regional economic development.</w:t>
      </w:r>
    </w:p>
    <w:p w:rsidR="00C940D1" w:rsidRPr="00510114" w:rsidP="00FA4AE3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High-quality new towns should be designed for </w:t>
      </w:r>
      <w:r w:rsidRPr="00FA4AE3">
        <w:rPr>
          <w:rFonts w:ascii="Verdana" w:hAnsi="Verdana"/>
        </w:rPr>
        <w:t>centuries rather than decades</w:t>
      </w:r>
      <w:r w:rsidRPr="00510114">
        <w:rPr>
          <w:rFonts w:ascii="Verdana" w:hAnsi="Verdana"/>
        </w:rPr>
        <w:t>, with greater emphasis on durability, resilience, beauty and place-making.</w:t>
      </w:r>
    </w:p>
    <w:p w:rsidR="00C940D1" w:rsidRPr="00DC5C81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DC5C81">
        <w:rPr>
          <w:rFonts w:ascii="Verdana" w:hAnsi="Verdana"/>
          <w:i/>
        </w:rPr>
        <w:t>Key Recommendations</w:t>
      </w:r>
    </w:p>
    <w:p w:rsidR="00C940D1" w:rsidRPr="00510114" w:rsidP="00231B0E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Recognise natural </w:t>
      </w:r>
      <w:r w:rsidRPr="00231B0E">
        <w:rPr>
          <w:rFonts w:ascii="Verdana" w:hAnsi="Verdana"/>
        </w:rPr>
        <w:t>stone as a modern</w:t>
      </w:r>
      <w:r w:rsidRPr="00510114">
        <w:rPr>
          <w:rFonts w:ascii="Verdana" w:hAnsi="Verdana"/>
        </w:rPr>
        <w:t xml:space="preserve"> structural and low-carbon construction </w:t>
      </w:r>
      <w:r w:rsidRPr="00231B0E">
        <w:rPr>
          <w:rFonts w:ascii="Verdana" w:hAnsi="Verdana"/>
        </w:rPr>
        <w:t>material</w:t>
      </w:r>
      <w:r w:rsidRPr="00510114">
        <w:rPr>
          <w:rFonts w:ascii="Verdana" w:hAnsi="Verdana"/>
        </w:rPr>
        <w:t xml:space="preserve"> within government policy and industry strategies.</w:t>
      </w:r>
    </w:p>
    <w:p w:rsidR="00C940D1" w:rsidRPr="00510114" w:rsidP="00231B0E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Support domestic stone production through </w:t>
      </w:r>
      <w:r w:rsidRPr="00231B0E">
        <w:rPr>
          <w:rFonts w:ascii="Verdana" w:hAnsi="Verdana"/>
        </w:rPr>
        <w:t>long-term demand assurance,</w:t>
      </w:r>
      <w:r w:rsidRPr="00510114">
        <w:rPr>
          <w:rFonts w:ascii="Verdana" w:hAnsi="Verdana"/>
        </w:rPr>
        <w:t xml:space="preserve"> procurement support and innovation funding.</w:t>
      </w:r>
    </w:p>
    <w:p w:rsidR="00C940D1" w:rsidRPr="00231B0E" w:rsidP="00231B0E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231B0E">
        <w:rPr>
          <w:rFonts w:ascii="Verdana" w:hAnsi="Verdana"/>
        </w:rPr>
        <w:t>Mandate whole-life carbon and whole-life cost assessment.</w:t>
      </w:r>
    </w:p>
    <w:p w:rsidR="00C940D1" w:rsidRPr="00510114" w:rsidP="00231B0E">
      <w:pPr>
        <w:pStyle w:val="ListParagraph"/>
        <w:numPr>
          <w:ilvl w:val="0"/>
          <w:numId w:val="44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Assess buildings and infrastructure using </w:t>
      </w:r>
      <w:r w:rsidRPr="00231B0E">
        <w:rPr>
          <w:rFonts w:ascii="Verdana" w:hAnsi="Verdana"/>
        </w:rPr>
        <w:t>realistic service life</w:t>
      </w:r>
      <w:r w:rsidRPr="00510114">
        <w:rPr>
          <w:rFonts w:ascii="Verdana" w:hAnsi="Verdana"/>
        </w:rPr>
        <w:t xml:space="preserve"> rather than minimum design life.</w:t>
      </w:r>
    </w:p>
    <w:p w:rsidR="00C940D1" w:rsidRPr="00510114" w:rsidP="00813D30">
      <w:pPr>
        <w:pStyle w:val="ListParagraph"/>
        <w:numPr>
          <w:ilvl w:val="0"/>
          <w:numId w:val="47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Reward </w:t>
      </w:r>
      <w:r w:rsidRPr="00231B0E">
        <w:rPr>
          <w:rFonts w:ascii="Verdana" w:hAnsi="Verdana"/>
        </w:rPr>
        <w:t xml:space="preserve">durability, resilience </w:t>
      </w:r>
      <w:r w:rsidRPr="00510114">
        <w:rPr>
          <w:rFonts w:ascii="Verdana" w:hAnsi="Verdana"/>
        </w:rPr>
        <w:t>and whole-life value within procurement frameworks.</w:t>
      </w:r>
    </w:p>
    <w:p w:rsidR="00C940D1" w:rsidRPr="00510114" w:rsidP="00813D30">
      <w:pPr>
        <w:pStyle w:val="ListParagraph"/>
        <w:numPr>
          <w:ilvl w:val="0"/>
          <w:numId w:val="47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Promote </w:t>
      </w:r>
      <w:r w:rsidRPr="00231B0E">
        <w:rPr>
          <w:rFonts w:ascii="Verdana" w:hAnsi="Verdana"/>
        </w:rPr>
        <w:t>local materials</w:t>
      </w:r>
      <w:r w:rsidRPr="00510114">
        <w:rPr>
          <w:rFonts w:ascii="Verdana" w:hAnsi="Verdana"/>
        </w:rPr>
        <w:t xml:space="preserve"> and local distinctiveness.</w:t>
      </w:r>
    </w:p>
    <w:p w:rsidR="00B01450" w:rsidP="00231B0E">
      <w:pPr>
        <w:spacing w:after="160" w:line="259" w:lineRule="auto"/>
        <w:rPr>
          <w:rFonts w:ascii="Verdana" w:hAnsi="Verdana"/>
          <w:b/>
          <w:bCs/>
        </w:rPr>
      </w:pPr>
    </w:p>
    <w:p w:rsidR="00C940D1" w:rsidRPr="00231B0E" w:rsidP="00231B0E">
      <w:pPr>
        <w:spacing w:after="160" w:line="259" w:lineRule="auto"/>
        <w:rPr>
          <w:rFonts w:ascii="Verdana" w:hAnsi="Verdana"/>
        </w:rPr>
      </w:pPr>
      <w:r w:rsidRPr="00B01450">
        <w:rPr>
          <w:rFonts w:ascii="Verdana" w:hAnsi="Verdana"/>
          <w:b/>
          <w:bCs/>
        </w:rPr>
        <w:t>Q1</w:t>
      </w:r>
      <w:r>
        <w:rPr>
          <w:rFonts w:ascii="Verdana" w:hAnsi="Verdana"/>
        </w:rPr>
        <w:t xml:space="preserve"> </w:t>
      </w:r>
      <w:r w:rsidRPr="00397C13">
        <w:rPr>
          <w:rFonts w:ascii="Verdana" w:hAnsi="Verdana"/>
          <w:b/>
        </w:rPr>
        <w:t>Once locations have been agreed, what are the factors limiting the physical construction of new towns? Which are the most important? How can they be addressed?</w:t>
      </w:r>
    </w:p>
    <w:p w:rsidR="00C940D1" w:rsidRPr="00CC6EDA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CC6EDA">
        <w:rPr>
          <w:rFonts w:ascii="Verdana" w:hAnsi="Verdana"/>
          <w:i/>
        </w:rPr>
        <w:t>Evidence</w:t>
      </w:r>
    </w:p>
    <w:p w:rsidR="00C940D1" w:rsidRPr="00510114" w:rsidP="00813D30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Investment in new production facilities, skills and innovation is constrained by </w:t>
      </w:r>
      <w:r w:rsidRPr="00813D30">
        <w:rPr>
          <w:rFonts w:ascii="Verdana" w:hAnsi="Verdana"/>
        </w:rPr>
        <w:t>uncertainty</w:t>
      </w:r>
      <w:r w:rsidRPr="00510114">
        <w:rPr>
          <w:rFonts w:ascii="Verdana" w:hAnsi="Verdana"/>
        </w:rPr>
        <w:t xml:space="preserve"> over future project pipelines and demand. Delivery of new towns would benefit from a</w:t>
      </w:r>
      <w:r w:rsidRPr="00813D30">
        <w:rPr>
          <w:rFonts w:ascii="Verdana" w:hAnsi="Verdana"/>
        </w:rPr>
        <w:t xml:space="preserve"> diverse range </w:t>
      </w:r>
      <w:r w:rsidRPr="00510114">
        <w:rPr>
          <w:rFonts w:ascii="Verdana" w:hAnsi="Verdana"/>
        </w:rPr>
        <w:t xml:space="preserve">of domestic construction </w:t>
      </w:r>
      <w:r w:rsidRPr="00813D30">
        <w:rPr>
          <w:rFonts w:ascii="Verdana" w:hAnsi="Verdana"/>
        </w:rPr>
        <w:t>materials</w:t>
      </w:r>
      <w:r w:rsidRPr="00510114">
        <w:rPr>
          <w:rFonts w:ascii="Verdana" w:hAnsi="Verdana"/>
        </w:rPr>
        <w:t xml:space="preserve"> and manufacturers to improve supply-chain capacity and resilience.</w:t>
      </w:r>
    </w:p>
    <w:p w:rsidR="00C940D1" w:rsidRPr="00510114" w:rsidP="00813D30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The </w:t>
      </w:r>
      <w:r w:rsidRPr="00813D30">
        <w:rPr>
          <w:rFonts w:ascii="Verdana" w:hAnsi="Verdana"/>
        </w:rPr>
        <w:t>stone</w:t>
      </w:r>
      <w:r w:rsidRPr="00510114">
        <w:rPr>
          <w:rFonts w:ascii="Verdana" w:hAnsi="Verdana"/>
        </w:rPr>
        <w:t xml:space="preserve"> sector can offer significant</w:t>
      </w:r>
      <w:r w:rsidRPr="00813D30">
        <w:rPr>
          <w:rFonts w:ascii="Verdana" w:hAnsi="Verdana"/>
        </w:rPr>
        <w:t xml:space="preserve"> additional manufacturing capacity</w:t>
      </w:r>
      <w:r w:rsidRPr="00510114">
        <w:rPr>
          <w:rFonts w:ascii="Verdana" w:hAnsi="Verdana"/>
        </w:rPr>
        <w:t xml:space="preserve"> and domestic material supply at competitive rates through digital quarrying, processing, fabrication and off-site production. However, policy certainty, sufficient lead times and investment are needed to expand capacity.</w:t>
      </w:r>
    </w:p>
    <w:p w:rsidR="00C940D1" w:rsidRPr="00CC6EDA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CC6EDA">
        <w:rPr>
          <w:rFonts w:ascii="Verdana" w:hAnsi="Verdana"/>
          <w:i/>
        </w:rPr>
        <w:t>Policy Problem</w:t>
      </w:r>
    </w:p>
    <w:p w:rsidR="00C940D1" w:rsidRPr="00510114" w:rsidP="004D0CC2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The construction industry </w:t>
      </w:r>
      <w:r w:rsidRPr="004D0CC2">
        <w:rPr>
          <w:rFonts w:ascii="Verdana" w:hAnsi="Verdana"/>
        </w:rPr>
        <w:t>lacks</w:t>
      </w:r>
      <w:r w:rsidRPr="00510114">
        <w:rPr>
          <w:rFonts w:ascii="Verdana" w:hAnsi="Verdana"/>
        </w:rPr>
        <w:t xml:space="preserve"> </w:t>
      </w:r>
      <w:r w:rsidRPr="004D0CC2">
        <w:rPr>
          <w:rFonts w:ascii="Verdana" w:hAnsi="Verdana"/>
        </w:rPr>
        <w:t>certainty</w:t>
      </w:r>
      <w:r w:rsidRPr="00510114">
        <w:rPr>
          <w:rFonts w:ascii="Verdana" w:hAnsi="Verdana"/>
        </w:rPr>
        <w:t xml:space="preserve"> regarding future project pipelines. Procurement systems prioritise </w:t>
      </w:r>
      <w:r w:rsidRPr="004D0CC2">
        <w:rPr>
          <w:rFonts w:ascii="Verdana" w:hAnsi="Verdana"/>
        </w:rPr>
        <w:t>lowest capital cost</w:t>
      </w:r>
      <w:r w:rsidRPr="00510114">
        <w:rPr>
          <w:rFonts w:ascii="Verdana" w:hAnsi="Verdana"/>
        </w:rPr>
        <w:t xml:space="preserve"> rather than whole-life value and long-term performance.</w:t>
      </w:r>
    </w:p>
    <w:p w:rsidR="00C940D1" w:rsidRPr="00510114" w:rsidP="004D0CC2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>Policy discussions on sustainable construction materials focus primarily on timber. Natural</w:t>
      </w:r>
      <w:r w:rsidRPr="004D0CC2">
        <w:rPr>
          <w:rFonts w:ascii="Verdana" w:hAnsi="Verdana"/>
        </w:rPr>
        <w:t xml:space="preserve"> stone is absent from government policy, industry strategies and innovation initiatives, </w:t>
      </w:r>
      <w:r w:rsidRPr="00510114">
        <w:rPr>
          <w:rFonts w:ascii="Verdana" w:hAnsi="Verdana"/>
        </w:rPr>
        <w:t>despite its durability, low-carbon potential,</w:t>
      </w:r>
      <w:r w:rsidRPr="004D0CC2">
        <w:rPr>
          <w:rFonts w:ascii="Verdana" w:hAnsi="Verdana"/>
          <w:lang w:eastAsia="en-GB"/>
        </w:rPr>
        <w:t xml:space="preserve"> </w:t>
      </w:r>
      <w:r w:rsidRPr="00510114">
        <w:rPr>
          <w:rFonts w:ascii="Verdana" w:hAnsi="Verdana"/>
        </w:rPr>
        <w:t>manufacturing capacity and domestic supply-chain opportunities.</w:t>
      </w:r>
    </w:p>
    <w:p w:rsidR="00C940D1" w:rsidRPr="00CC6EDA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CC6EDA">
        <w:rPr>
          <w:rFonts w:ascii="Verdana" w:hAnsi="Verdana"/>
          <w:i/>
        </w:rPr>
        <w:t>Recommendations</w:t>
      </w:r>
    </w:p>
    <w:p w:rsidR="00C940D1" w:rsidRPr="00510114" w:rsidP="00DC5C81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Encourage a </w:t>
      </w:r>
      <w:r w:rsidRPr="00DC5C81">
        <w:rPr>
          <w:rFonts w:ascii="Verdana" w:hAnsi="Verdana"/>
        </w:rPr>
        <w:t xml:space="preserve">diverse range </w:t>
      </w:r>
      <w:r w:rsidRPr="00510114">
        <w:rPr>
          <w:rFonts w:ascii="Verdana" w:hAnsi="Verdana"/>
        </w:rPr>
        <w:t>of domestic and local</w:t>
      </w:r>
      <w:r w:rsidRPr="00DC5C81">
        <w:rPr>
          <w:rFonts w:ascii="Verdana" w:hAnsi="Verdana"/>
        </w:rPr>
        <w:t xml:space="preserve"> construction materials</w:t>
      </w:r>
      <w:r w:rsidRPr="00510114">
        <w:rPr>
          <w:rFonts w:ascii="Verdana" w:hAnsi="Verdana"/>
        </w:rPr>
        <w:t xml:space="preserve"> to increase supply-chain capacity and resilience and competition.</w:t>
      </w:r>
    </w:p>
    <w:p w:rsidR="00C940D1" w:rsidRPr="00510114" w:rsidP="00DC5C81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DC5C81">
        <w:rPr>
          <w:rFonts w:ascii="Verdana" w:hAnsi="Verdana"/>
        </w:rPr>
        <w:t xml:space="preserve">Recognise natural stone </w:t>
      </w:r>
      <w:r w:rsidRPr="00510114">
        <w:rPr>
          <w:rFonts w:ascii="Verdana" w:hAnsi="Verdana"/>
        </w:rPr>
        <w:t xml:space="preserve">as a modern structural and low-carbon construction material </w:t>
      </w:r>
      <w:r w:rsidRPr="00DC5C81">
        <w:rPr>
          <w:rFonts w:ascii="Verdana" w:hAnsi="Verdana"/>
        </w:rPr>
        <w:t>in government policy</w:t>
      </w:r>
      <w:r w:rsidRPr="00510114">
        <w:rPr>
          <w:rFonts w:ascii="Verdana" w:hAnsi="Verdana"/>
        </w:rPr>
        <w:t xml:space="preserve">, industry strategies and innovation programmes. </w:t>
      </w:r>
    </w:p>
    <w:p w:rsidR="00C940D1" w:rsidRPr="00510114" w:rsidP="00DC5C81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Support expansion of domestic stone capacity through long-term </w:t>
      </w:r>
      <w:r w:rsidRPr="00DC5C81">
        <w:rPr>
          <w:rFonts w:ascii="Verdana" w:hAnsi="Verdana"/>
        </w:rPr>
        <w:t>demand</w:t>
      </w:r>
      <w:r w:rsidRPr="00510114">
        <w:rPr>
          <w:rFonts w:ascii="Verdana" w:hAnsi="Verdana"/>
        </w:rPr>
        <w:t xml:space="preserve"> </w:t>
      </w:r>
      <w:r w:rsidRPr="00DC5C81">
        <w:rPr>
          <w:rFonts w:ascii="Verdana" w:hAnsi="Verdana"/>
        </w:rPr>
        <w:t>assurance, procurement support and innovation funding</w:t>
      </w:r>
      <w:r w:rsidRPr="00510114">
        <w:rPr>
          <w:rFonts w:ascii="Verdana" w:hAnsi="Verdana"/>
        </w:rPr>
        <w:t xml:space="preserve">. </w:t>
      </w:r>
    </w:p>
    <w:p w:rsidR="00C940D1" w:rsidRPr="00510114" w:rsidP="00DC5C81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Develop </w:t>
      </w:r>
      <w:r w:rsidRPr="00DC5C81">
        <w:rPr>
          <w:rFonts w:ascii="Verdana" w:hAnsi="Verdana"/>
        </w:rPr>
        <w:t>skills</w:t>
      </w:r>
      <w:r w:rsidRPr="00510114">
        <w:rPr>
          <w:rFonts w:ascii="Verdana" w:hAnsi="Verdana"/>
        </w:rPr>
        <w:t xml:space="preserve"> and training programmes for modern stone construction and digital fabrication.</w:t>
      </w:r>
    </w:p>
    <w:p w:rsidR="00C940D1" w:rsidRPr="00510114" w:rsidP="00FA4AE3">
      <w:pPr>
        <w:spacing w:after="160" w:line="259" w:lineRule="auto"/>
        <w:ind w:left="357" w:hanging="357"/>
        <w:rPr>
          <w:rFonts w:ascii="Verdana" w:hAnsi="Verdana"/>
        </w:rPr>
      </w:pPr>
    </w:p>
    <w:p w:rsidR="00C940D1" w:rsidRPr="00CC6EDA" w:rsidP="00FA4AE3">
      <w:pPr>
        <w:spacing w:after="160" w:line="259" w:lineRule="auto"/>
        <w:ind w:left="357" w:hanging="357"/>
        <w:rPr>
          <w:rFonts w:ascii="Verdana" w:hAnsi="Verdana"/>
          <w:b/>
        </w:rPr>
      </w:pPr>
      <w:r w:rsidRPr="005D6C56">
        <w:rPr>
          <w:rFonts w:ascii="Verdana" w:hAnsi="Verdana"/>
          <w:b/>
          <w:bCs/>
        </w:rPr>
        <w:t>Q2</w:t>
      </w:r>
      <w:r>
        <w:rPr>
          <w:rFonts w:ascii="Verdana" w:hAnsi="Verdana"/>
        </w:rPr>
        <w:t xml:space="preserve"> </w:t>
      </w:r>
      <w:r w:rsidRPr="00CC6EDA">
        <w:rPr>
          <w:rFonts w:ascii="Verdana" w:hAnsi="Verdana"/>
          <w:b/>
        </w:rPr>
        <w:t>What do you think are the greatest challenges associated with connecting new towns and expanded settlements to utilities? How can these challenges be addressed?</w:t>
      </w:r>
    </w:p>
    <w:p w:rsidR="00C940D1" w:rsidRPr="00510114" w:rsidP="00FA4AE3">
      <w:pPr>
        <w:spacing w:after="160" w:line="259" w:lineRule="auto"/>
        <w:ind w:left="357" w:hanging="357"/>
        <w:rPr>
          <w:rFonts w:ascii="Verdana" w:hAnsi="Verdana"/>
        </w:rPr>
      </w:pPr>
      <w:r w:rsidRPr="00510114">
        <w:rPr>
          <w:rFonts w:ascii="Verdana" w:hAnsi="Verdana"/>
        </w:rPr>
        <w:t>N/A</w:t>
      </w:r>
    </w:p>
    <w:p w:rsidR="00C940D1" w:rsidRPr="00510114" w:rsidP="00FA4AE3">
      <w:pPr>
        <w:spacing w:after="160" w:line="259" w:lineRule="auto"/>
        <w:ind w:left="357" w:hanging="357"/>
        <w:rPr>
          <w:rFonts w:ascii="Verdana" w:hAnsi="Verdana"/>
        </w:rPr>
      </w:pPr>
    </w:p>
    <w:p w:rsidR="00C940D1" w:rsidRPr="00D92BDE" w:rsidP="00FA4AE3">
      <w:pPr>
        <w:spacing w:after="160" w:line="259" w:lineRule="auto"/>
        <w:ind w:left="357" w:hanging="357"/>
        <w:rPr>
          <w:rFonts w:ascii="Verdana" w:hAnsi="Verdana"/>
        </w:rPr>
      </w:pPr>
      <w:r w:rsidRPr="005D6C56">
        <w:rPr>
          <w:rFonts w:ascii="Verdana" w:hAnsi="Verdana"/>
          <w:b/>
          <w:bCs/>
        </w:rPr>
        <w:t xml:space="preserve">Q3 </w:t>
      </w:r>
      <w:r w:rsidRPr="00CC6EDA">
        <w:rPr>
          <w:rFonts w:ascii="Verdana" w:hAnsi="Verdana"/>
          <w:b/>
        </w:rPr>
        <w:t>Which policy areas or barriers represent the ‘low-hanging fruit’ for this inquiry? Are there any ‘quick fixes’ that the Committee and Government could address?</w:t>
      </w:r>
    </w:p>
    <w:p w:rsidR="00C940D1" w:rsidRPr="00CC6EDA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CC6EDA">
        <w:rPr>
          <w:rFonts w:ascii="Verdana" w:hAnsi="Verdana"/>
          <w:i/>
        </w:rPr>
        <w:t>Evidence</w:t>
      </w:r>
    </w:p>
    <w:p w:rsidR="00C940D1" w:rsidRPr="00510114" w:rsidP="00CC6EDA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Evidence to the Committee highlighted the importance of whole-life thinking, including lifecycle carbon assessment and circular economy. Focus on </w:t>
      </w:r>
      <w:r w:rsidRPr="00CC6EDA">
        <w:rPr>
          <w:rFonts w:ascii="Verdana" w:hAnsi="Verdana"/>
        </w:rPr>
        <w:t>embodied carbon can be misleading</w:t>
      </w:r>
      <w:r w:rsidRPr="00510114">
        <w:rPr>
          <w:rFonts w:ascii="Verdana" w:hAnsi="Verdana"/>
        </w:rPr>
        <w:t xml:space="preserve"> - it overlooks service life, durability, maintenance, replacement cycles and end-of-life impacts.</w:t>
      </w:r>
    </w:p>
    <w:p w:rsidR="00C940D1" w:rsidRPr="00510114" w:rsidP="00CC6EDA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CC6EDA">
        <w:rPr>
          <w:rFonts w:ascii="Verdana" w:hAnsi="Verdana"/>
        </w:rPr>
        <w:t>HM Treasury's Green Book</w:t>
      </w:r>
      <w:r w:rsidRPr="00510114">
        <w:rPr>
          <w:rFonts w:ascii="Verdana" w:hAnsi="Verdana"/>
        </w:rPr>
        <w:t xml:space="preserve"> applies </w:t>
      </w:r>
      <w:r w:rsidRPr="00CC6EDA">
        <w:rPr>
          <w:rFonts w:ascii="Verdana" w:hAnsi="Verdana"/>
        </w:rPr>
        <w:t>discount rates</w:t>
      </w:r>
      <w:r w:rsidRPr="00510114">
        <w:rPr>
          <w:rFonts w:ascii="Verdana" w:hAnsi="Verdana"/>
        </w:rPr>
        <w:t xml:space="preserve"> that reduce the value of long-term benefits to around 60 years. Buildings and infrastructure designed to last 200+ years receive limited appraisal advantage over those designed to last 60 years or less, </w:t>
      </w:r>
      <w:r w:rsidRPr="00CC6EDA">
        <w:rPr>
          <w:rFonts w:ascii="Verdana" w:hAnsi="Verdana"/>
        </w:rPr>
        <w:t>reducing incentives for durable, long-life construction</w:t>
      </w:r>
      <w:r w:rsidRPr="00510114">
        <w:rPr>
          <w:rFonts w:ascii="Verdana" w:hAnsi="Verdana"/>
        </w:rPr>
        <w:t>.</w:t>
      </w:r>
    </w:p>
    <w:p w:rsidR="00C940D1" w:rsidRPr="00510114" w:rsidP="00CC6EDA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Modern structural </w:t>
      </w:r>
      <w:r w:rsidRPr="00CC6EDA">
        <w:rPr>
          <w:rFonts w:ascii="Verdana" w:hAnsi="Verdana"/>
        </w:rPr>
        <w:t>stone</w:t>
      </w:r>
      <w:r w:rsidRPr="00510114">
        <w:rPr>
          <w:rFonts w:ascii="Verdana" w:hAnsi="Verdana"/>
        </w:rPr>
        <w:t xml:space="preserve"> systems can achieve around </w:t>
      </w:r>
      <w:r w:rsidRPr="00CC6EDA">
        <w:rPr>
          <w:rFonts w:ascii="Verdana" w:hAnsi="Verdana"/>
        </w:rPr>
        <w:t>80% lower embodied carbon</w:t>
      </w:r>
      <w:r w:rsidRPr="00510114">
        <w:rPr>
          <w:rFonts w:ascii="Verdana" w:hAnsi="Verdana"/>
        </w:rPr>
        <w:t xml:space="preserve"> than conventional concrete and steel systems while offering service lives exceeding 200 years with minimal maintenance and replacement requirements. </w:t>
      </w:r>
    </w:p>
    <w:p w:rsidR="00C940D1" w:rsidRPr="00CC6EDA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CC6EDA">
        <w:rPr>
          <w:rFonts w:ascii="Verdana" w:hAnsi="Verdana"/>
          <w:i/>
        </w:rPr>
        <w:t>Policy Problem</w:t>
      </w:r>
    </w:p>
    <w:p w:rsidR="00C940D1" w:rsidRPr="00510114" w:rsidP="00CC6EDA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Current cost-benefit analysis, carbon assessment frameworks and project appraisal methods place greater emphasis on </w:t>
      </w:r>
      <w:r w:rsidRPr="00CC6EDA">
        <w:rPr>
          <w:rFonts w:ascii="Verdana" w:hAnsi="Verdana"/>
        </w:rPr>
        <w:t>upfront costs and short-term impacts</w:t>
      </w:r>
      <w:r w:rsidRPr="00510114">
        <w:rPr>
          <w:rFonts w:ascii="Verdana" w:hAnsi="Verdana"/>
        </w:rPr>
        <w:t xml:space="preserve"> than on long-term durability, maintenance requirements, replacement costs and service life. As a result, solutions that can reduce maintenance, repair and replacement costs over many decades may be disadvantaged despite offering greater lifetime economic and environmental value.</w:t>
      </w:r>
    </w:p>
    <w:p w:rsidR="00C940D1" w:rsidRPr="00510114" w:rsidP="00CC6EDA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Whole-life assessments are typically based on assumed design lives rather than actual expected service lives. This creates </w:t>
      </w:r>
      <w:r w:rsidRPr="00CC6EDA">
        <w:rPr>
          <w:rFonts w:ascii="Verdana" w:hAnsi="Verdana"/>
        </w:rPr>
        <w:t>little incentive</w:t>
      </w:r>
      <w:r w:rsidRPr="00510114">
        <w:rPr>
          <w:rFonts w:ascii="Verdana" w:hAnsi="Verdana"/>
        </w:rPr>
        <w:t xml:space="preserve"> to design for significantly </w:t>
      </w:r>
      <w:r w:rsidRPr="00CC6EDA">
        <w:rPr>
          <w:rFonts w:ascii="Verdana" w:hAnsi="Verdana"/>
        </w:rPr>
        <w:t>longer-lived</w:t>
      </w:r>
      <w:r w:rsidRPr="00510114">
        <w:rPr>
          <w:rFonts w:ascii="Verdana" w:hAnsi="Verdana"/>
        </w:rPr>
        <w:t xml:space="preserve"> </w:t>
      </w:r>
      <w:r w:rsidRPr="00CC6EDA">
        <w:rPr>
          <w:rFonts w:ascii="Verdana" w:hAnsi="Verdana"/>
        </w:rPr>
        <w:t>buildings</w:t>
      </w:r>
      <w:r w:rsidRPr="00510114">
        <w:rPr>
          <w:rFonts w:ascii="Verdana" w:hAnsi="Verdana"/>
        </w:rPr>
        <w:t xml:space="preserve"> </w:t>
      </w:r>
      <w:r w:rsidRPr="00CC6EDA">
        <w:rPr>
          <w:rFonts w:ascii="Verdana" w:hAnsi="Verdana"/>
        </w:rPr>
        <w:t>and infrastructure</w:t>
      </w:r>
      <w:r w:rsidRPr="00510114">
        <w:rPr>
          <w:rFonts w:ascii="Verdana" w:hAnsi="Verdana"/>
        </w:rPr>
        <w:t xml:space="preserve"> - assets with the potential to last 200+ years are assessed in a similar way to those for 60 years.</w:t>
      </w:r>
    </w:p>
    <w:p w:rsidR="00C940D1" w:rsidRPr="00510114" w:rsidP="00CC6EDA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Current assessment approaches also tend to express costs and carbon impacts as cumulative totals over an assumed design life. This can obscure the </w:t>
      </w:r>
      <w:r w:rsidRPr="00CC6EDA">
        <w:rPr>
          <w:rFonts w:ascii="Verdana" w:hAnsi="Verdana"/>
        </w:rPr>
        <w:t>annualised</w:t>
      </w:r>
      <w:r w:rsidRPr="00510114">
        <w:rPr>
          <w:rFonts w:ascii="Verdana" w:hAnsi="Verdana"/>
        </w:rPr>
        <w:t xml:space="preserve"> environmental and economic </w:t>
      </w:r>
      <w:r w:rsidRPr="00CC6EDA">
        <w:rPr>
          <w:rFonts w:ascii="Verdana" w:hAnsi="Verdana"/>
        </w:rPr>
        <w:t>performance</w:t>
      </w:r>
      <w:r w:rsidRPr="00510114">
        <w:rPr>
          <w:rFonts w:ascii="Verdana" w:hAnsi="Verdana"/>
        </w:rPr>
        <w:t xml:space="preserve"> of different solutions. Assessing impacts against expected service life (instead of design life) would provide a more realistic comparison for long-term environmental and economic values.</w:t>
      </w:r>
    </w:p>
    <w:p w:rsidR="00C940D1" w:rsidRPr="00510114" w:rsidP="00CC6EDA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</w:rPr>
      </w:pPr>
      <w:r w:rsidRPr="00510114">
        <w:rPr>
          <w:rFonts w:ascii="Verdana" w:hAnsi="Verdana"/>
        </w:rPr>
        <w:t xml:space="preserve">Relatively modest </w:t>
      </w:r>
      <w:r w:rsidRPr="00CC6EDA">
        <w:rPr>
          <w:rFonts w:ascii="Verdana" w:hAnsi="Verdana"/>
        </w:rPr>
        <w:t>modifications to cost-benefit analysis, carbon accounting and procurement frameworks</w:t>
      </w:r>
      <w:r w:rsidRPr="00510114">
        <w:rPr>
          <w:rFonts w:ascii="Verdana" w:hAnsi="Verdana"/>
        </w:rPr>
        <w:t xml:space="preserve"> could better recognise long-term value, making this a clear area of policy "low-hanging fruit".</w:t>
      </w:r>
    </w:p>
    <w:p w:rsidR="00C940D1" w:rsidRPr="00CC6EDA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CC6EDA">
        <w:rPr>
          <w:rFonts w:ascii="Verdana" w:hAnsi="Verdana"/>
          <w:i/>
        </w:rPr>
        <w:t>Recommendations</w:t>
      </w:r>
    </w:p>
    <w:p w:rsidR="00C940D1" w:rsidRPr="00510114" w:rsidP="00942E0B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942E0B">
        <w:rPr>
          <w:rFonts w:ascii="Verdana" w:hAnsi="Verdana"/>
          <w:lang w:eastAsia="en-GB"/>
        </w:rPr>
        <w:t xml:space="preserve">Mandate and standardise </w:t>
      </w:r>
      <w:r w:rsidRPr="00510114">
        <w:rPr>
          <w:rFonts w:ascii="Verdana" w:hAnsi="Verdana"/>
          <w:lang w:eastAsia="en-GB"/>
        </w:rPr>
        <w:t xml:space="preserve">whole-life carbon assessment. </w:t>
      </w:r>
    </w:p>
    <w:p w:rsidR="00C940D1" w:rsidRPr="00510114" w:rsidP="00942E0B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Include maintenance, replacement and end-of-life impacts within carbon assessments. </w:t>
      </w:r>
    </w:p>
    <w:p w:rsidR="00C940D1" w:rsidRPr="00510114" w:rsidP="00942E0B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942E0B">
        <w:rPr>
          <w:rFonts w:ascii="Verdana" w:hAnsi="Verdana"/>
          <w:lang w:eastAsia="en-GB"/>
        </w:rPr>
        <w:t>Review HM Treasury Green Book</w:t>
      </w:r>
      <w:r w:rsidRPr="00510114">
        <w:rPr>
          <w:rFonts w:ascii="Verdana" w:hAnsi="Verdana"/>
          <w:lang w:eastAsia="en-GB"/>
        </w:rPr>
        <w:t xml:space="preserve"> appraisal and cost-benefit methodologies to better recognise long-life assets. </w:t>
      </w:r>
    </w:p>
    <w:p w:rsidR="00C940D1" w:rsidRPr="00510114" w:rsidP="00942E0B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942E0B">
        <w:rPr>
          <w:rFonts w:ascii="Verdana" w:hAnsi="Verdana"/>
          <w:lang w:eastAsia="en-GB"/>
        </w:rPr>
        <w:t>Require lifecycle assessments based on expected service life and annualised carbon and cost performance rather than minimum design life alone.</w:t>
      </w:r>
    </w:p>
    <w:p w:rsidR="00B01450" w:rsidP="00FA4AE3">
      <w:pPr>
        <w:spacing w:after="160" w:line="259" w:lineRule="auto"/>
        <w:ind w:left="357" w:hanging="357"/>
        <w:rPr>
          <w:rFonts w:ascii="Verdana" w:hAnsi="Verdana"/>
          <w:b/>
          <w:bCs/>
        </w:rPr>
      </w:pPr>
    </w:p>
    <w:p w:rsidR="00C940D1" w:rsidRPr="00942E0B" w:rsidP="00FA4AE3">
      <w:pPr>
        <w:spacing w:after="160" w:line="259" w:lineRule="auto"/>
        <w:ind w:left="357" w:hanging="357"/>
        <w:rPr>
          <w:rFonts w:ascii="Verdana" w:hAnsi="Verdana"/>
          <w:b/>
        </w:rPr>
      </w:pPr>
      <w:r>
        <w:rPr>
          <w:rFonts w:ascii="Verdana" w:hAnsi="Verdana"/>
          <w:b/>
          <w:bCs/>
        </w:rPr>
        <w:t>Q</w:t>
      </w:r>
      <w:r w:rsidR="005D6C56">
        <w:rPr>
          <w:rFonts w:ascii="Verdana" w:hAnsi="Verdana"/>
          <w:b/>
          <w:bCs/>
        </w:rPr>
        <w:t xml:space="preserve">4 </w:t>
      </w:r>
      <w:r w:rsidRPr="00942E0B">
        <w:rPr>
          <w:rFonts w:ascii="Verdana" w:hAnsi="Verdana"/>
          <w:b/>
        </w:rPr>
        <w:t>What can the Government and new town delivery vehicles do in the short term to ensure that construction of new towns over the coming years and decades is successful?</w:t>
      </w:r>
    </w:p>
    <w:p w:rsidR="00C940D1" w:rsidRPr="005D6C56" w:rsidP="00FA4AE3">
      <w:pPr>
        <w:spacing w:after="160" w:line="259" w:lineRule="auto"/>
        <w:ind w:left="357" w:hanging="357"/>
        <w:rPr>
          <w:rFonts w:ascii="Verdana" w:hAnsi="Verdana"/>
          <w:i/>
          <w:lang w:eastAsia="en-GB"/>
        </w:rPr>
      </w:pPr>
      <w:r w:rsidRPr="005D6C56">
        <w:rPr>
          <w:rFonts w:ascii="Verdana" w:hAnsi="Verdana"/>
          <w:i/>
          <w:lang w:eastAsia="en-GB"/>
        </w:rPr>
        <w:t>Evidence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>Long-term certainty</w:t>
      </w:r>
      <w:r w:rsidRPr="00510114">
        <w:rPr>
          <w:rFonts w:ascii="Verdana" w:hAnsi="Verdana"/>
          <w:lang w:eastAsia="en-GB"/>
        </w:rPr>
        <w:t xml:space="preserve"> is essential before manufacturers and supply chains will invest in additional capacity, skills and innovation. The same challenge applies to the stone sector. New towns provide a unique opportunity to stimulate investment in local and domestic</w:t>
      </w:r>
      <w:r w:rsidRPr="005D6C56">
        <w:rPr>
          <w:rFonts w:ascii="Verdana" w:hAnsi="Verdana"/>
          <w:lang w:eastAsia="en-GB"/>
        </w:rPr>
        <w:t xml:space="preserve"> material production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digital design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CNC fabrication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advanced manufacturing</w:t>
      </w:r>
      <w:r w:rsidRPr="00510114">
        <w:rPr>
          <w:rFonts w:ascii="Verdana" w:hAnsi="Verdana"/>
          <w:lang w:eastAsia="en-GB"/>
        </w:rPr>
        <w:t xml:space="preserve"> and </w:t>
      </w:r>
      <w:r w:rsidRPr="005D6C56">
        <w:rPr>
          <w:rFonts w:ascii="Verdana" w:hAnsi="Verdana"/>
          <w:lang w:eastAsia="en-GB"/>
        </w:rPr>
        <w:t>modern construction methods</w:t>
      </w:r>
      <w:r w:rsidRPr="00510114">
        <w:rPr>
          <w:rFonts w:ascii="Verdana" w:hAnsi="Verdana"/>
          <w:lang w:eastAsia="en-GB"/>
        </w:rPr>
        <w:t>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Recent innovation in the stone sector includes </w:t>
      </w:r>
      <w:r w:rsidRPr="005D6C56">
        <w:rPr>
          <w:rFonts w:ascii="Verdana" w:hAnsi="Verdana"/>
          <w:lang w:eastAsia="en-GB"/>
        </w:rPr>
        <w:t>stone bricks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post-tensioned structural systems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off-site manufacturing</w:t>
      </w:r>
      <w:r w:rsidRPr="00510114">
        <w:rPr>
          <w:rFonts w:ascii="Verdana" w:hAnsi="Verdana"/>
          <w:lang w:eastAsia="en-GB"/>
        </w:rPr>
        <w:t xml:space="preserve"> and </w:t>
      </w:r>
      <w:r w:rsidRPr="005D6C56">
        <w:rPr>
          <w:rFonts w:ascii="Verdana" w:hAnsi="Verdana"/>
          <w:lang w:eastAsia="en-GB"/>
        </w:rPr>
        <w:t>rapid on-site assembly</w:t>
      </w:r>
      <w:r w:rsidRPr="00510114">
        <w:rPr>
          <w:rFonts w:ascii="Verdana" w:hAnsi="Verdana"/>
          <w:lang w:eastAsia="en-GB"/>
        </w:rPr>
        <w:t xml:space="preserve">. These </w:t>
      </w:r>
      <w:r w:rsidRPr="00510114">
        <w:rPr>
          <w:rFonts w:ascii="Verdana" w:hAnsi="Verdana"/>
          <w:lang w:eastAsia="en-GB"/>
        </w:rPr>
        <w:t xml:space="preserve">technologies can improve productivity, reduce labour requirements and significantly lower embodied carbon. Natural stone can support both industrial-scale production and local supply chains, creating opportunities for </w:t>
      </w:r>
      <w:r w:rsidRPr="005D6C56">
        <w:rPr>
          <w:rFonts w:ascii="Verdana" w:hAnsi="Verdana"/>
          <w:lang w:eastAsia="en-GB"/>
        </w:rPr>
        <w:t>regional economic development</w:t>
      </w:r>
      <w:r w:rsidRPr="00510114">
        <w:rPr>
          <w:rFonts w:ascii="Verdana" w:hAnsi="Verdana"/>
          <w:lang w:eastAsia="en-GB"/>
        </w:rPr>
        <w:t xml:space="preserve"> while increasing national manufacturing capacity.</w:t>
      </w:r>
    </w:p>
    <w:p w:rsidR="00C940D1" w:rsidRPr="005D6C56" w:rsidP="00FA4AE3">
      <w:pPr>
        <w:spacing w:after="160" w:line="259" w:lineRule="auto"/>
        <w:ind w:left="357" w:hanging="357"/>
        <w:rPr>
          <w:rFonts w:ascii="Verdana" w:hAnsi="Verdana"/>
          <w:i/>
          <w:lang w:eastAsia="en-GB"/>
        </w:rPr>
      </w:pPr>
      <w:r w:rsidRPr="005D6C56">
        <w:rPr>
          <w:rFonts w:ascii="Verdana" w:hAnsi="Verdana"/>
          <w:i/>
          <w:lang w:eastAsia="en-GB"/>
        </w:rPr>
        <w:t>Policy Problem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Investment in modern stone manufacturing technologies, including automation, CNC fabrication and off-site production, requires </w:t>
      </w:r>
      <w:r w:rsidRPr="005D6C56">
        <w:rPr>
          <w:rFonts w:ascii="Verdana" w:hAnsi="Verdana"/>
          <w:lang w:eastAsia="en-GB"/>
        </w:rPr>
        <w:t>long-term demand certainty</w:t>
      </w:r>
      <w:r w:rsidRPr="00510114">
        <w:rPr>
          <w:rFonts w:ascii="Verdana" w:hAnsi="Verdana"/>
          <w:lang w:eastAsia="en-GB"/>
        </w:rPr>
        <w:t>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Despite growing innovation in the sector, opportunities to use locally sourced stone and develop regional manufacturing capacity are rarely </w:t>
      </w:r>
      <w:r w:rsidRPr="005D6C56">
        <w:rPr>
          <w:rFonts w:ascii="Verdana" w:hAnsi="Verdana"/>
          <w:lang w:eastAsia="en-GB"/>
        </w:rPr>
        <w:t>embedded</w:t>
      </w:r>
      <w:r w:rsidRPr="00510114">
        <w:rPr>
          <w:rFonts w:ascii="Verdana" w:hAnsi="Verdana"/>
          <w:lang w:eastAsia="en-GB"/>
        </w:rPr>
        <w:t xml:space="preserve"> within the </w:t>
      </w:r>
      <w:r w:rsidRPr="005D6C56">
        <w:rPr>
          <w:rFonts w:ascii="Verdana" w:hAnsi="Verdana"/>
          <w:lang w:eastAsia="en-GB"/>
        </w:rPr>
        <w:t xml:space="preserve">planning, procurement and delivery </w:t>
      </w:r>
      <w:r w:rsidRPr="00510114">
        <w:rPr>
          <w:rFonts w:ascii="Verdana" w:hAnsi="Verdana"/>
          <w:lang w:eastAsia="en-GB"/>
        </w:rPr>
        <w:t>of major development programmes.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Procurement practices continue to prioritise </w:t>
      </w:r>
      <w:r w:rsidRPr="005D6C56">
        <w:rPr>
          <w:rFonts w:ascii="Verdana" w:hAnsi="Verdana"/>
          <w:lang w:eastAsia="en-GB"/>
        </w:rPr>
        <w:t>capital cost</w:t>
      </w:r>
      <w:r w:rsidRPr="00510114">
        <w:rPr>
          <w:rFonts w:ascii="Verdana" w:hAnsi="Verdana"/>
          <w:lang w:eastAsia="en-GB"/>
        </w:rPr>
        <w:t xml:space="preserve"> over whole-life value, reducing incentives to invest in durable, low-maintenance construction systems and materials.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While modern stone construction can be cost competitive, domestic producers face challenges </w:t>
      </w:r>
      <w:r w:rsidRPr="005D6C56">
        <w:rPr>
          <w:rFonts w:ascii="Verdana" w:hAnsi="Verdana"/>
          <w:lang w:eastAsia="en-GB"/>
        </w:rPr>
        <w:t>competing with imported products</w:t>
      </w:r>
      <w:r w:rsidRPr="00510114">
        <w:rPr>
          <w:rFonts w:ascii="Verdana" w:hAnsi="Verdana"/>
          <w:lang w:eastAsia="en-GB"/>
        </w:rPr>
        <w:t xml:space="preserve"> from countries with more established supply chains, manufacturing clusters and industry support mechanisms. This can discourage investment in UK production capacity, skills and innovation.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>Skills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manufacturing</w:t>
      </w:r>
      <w:r w:rsidRPr="00510114">
        <w:rPr>
          <w:rFonts w:ascii="Verdana" w:hAnsi="Verdana"/>
          <w:lang w:eastAsia="en-GB"/>
        </w:rPr>
        <w:t xml:space="preserve"> </w:t>
      </w:r>
      <w:r w:rsidRPr="005D6C56">
        <w:rPr>
          <w:rFonts w:ascii="Verdana" w:hAnsi="Verdana"/>
          <w:lang w:eastAsia="en-GB"/>
        </w:rPr>
        <w:t>and</w:t>
      </w:r>
      <w:r w:rsidRPr="00510114">
        <w:rPr>
          <w:rFonts w:ascii="Verdana" w:hAnsi="Verdana"/>
          <w:lang w:eastAsia="en-GB"/>
        </w:rPr>
        <w:t xml:space="preserve"> </w:t>
      </w:r>
      <w:r w:rsidRPr="005D6C56">
        <w:rPr>
          <w:rFonts w:ascii="Verdana" w:hAnsi="Verdana"/>
          <w:lang w:eastAsia="en-GB"/>
        </w:rPr>
        <w:t>innovation programmes</w:t>
      </w:r>
      <w:r w:rsidRPr="00510114">
        <w:rPr>
          <w:rFonts w:ascii="Verdana" w:hAnsi="Verdana"/>
          <w:lang w:eastAsia="en-GB"/>
        </w:rPr>
        <w:t xml:space="preserve"> </w:t>
      </w:r>
      <w:r w:rsidRPr="005D6C56">
        <w:rPr>
          <w:rFonts w:ascii="Verdana" w:hAnsi="Verdana"/>
          <w:lang w:eastAsia="en-GB"/>
        </w:rPr>
        <w:t>are often developed separately</w:t>
      </w:r>
      <w:r w:rsidRPr="00510114">
        <w:rPr>
          <w:rFonts w:ascii="Verdana" w:hAnsi="Verdana"/>
          <w:lang w:eastAsia="en-GB"/>
        </w:rPr>
        <w:t>, limiting opportunities to build integrated domestic supply chains around emerging construction technologies.</w:t>
      </w:r>
    </w:p>
    <w:p w:rsidR="00C940D1" w:rsidRPr="005D6C56" w:rsidP="00FA4AE3">
      <w:pPr>
        <w:spacing w:after="160" w:line="259" w:lineRule="auto"/>
        <w:ind w:left="357" w:hanging="357"/>
        <w:rPr>
          <w:rFonts w:ascii="Verdana" w:hAnsi="Verdana"/>
          <w:i/>
          <w:lang w:eastAsia="en-GB"/>
        </w:rPr>
      </w:pPr>
      <w:r w:rsidRPr="005D6C56">
        <w:rPr>
          <w:rFonts w:ascii="Verdana" w:hAnsi="Verdana"/>
          <w:i/>
          <w:lang w:eastAsia="en-GB"/>
        </w:rPr>
        <w:t>Recommendations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>Publish long-term delivery pipelines</w:t>
      </w:r>
      <w:r w:rsidRPr="00510114">
        <w:rPr>
          <w:rFonts w:ascii="Verdana" w:hAnsi="Verdana"/>
          <w:lang w:eastAsia="en-GB"/>
        </w:rPr>
        <w:t xml:space="preserve"> for new towns and associated infrastructure to support investment in stone processing, digital fabrication, automation, skills and manufacturing capacity.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>Engage stone suppliers, manufacturers and quarry operators early</w:t>
      </w:r>
      <w:r w:rsidRPr="00510114">
        <w:rPr>
          <w:rFonts w:ascii="Verdana" w:hAnsi="Verdana"/>
          <w:lang w:eastAsia="en-GB"/>
        </w:rPr>
        <w:t xml:space="preserve"> in planning and </w:t>
      </w:r>
      <w:r w:rsidRPr="00510114">
        <w:rPr>
          <w:rFonts w:ascii="Verdana" w:hAnsi="Verdana"/>
          <w:lang w:eastAsia="en-GB"/>
        </w:rPr>
        <w:t>masterplanning</w:t>
      </w:r>
      <w:r w:rsidRPr="00510114">
        <w:rPr>
          <w:rFonts w:ascii="Verdana" w:hAnsi="Verdana"/>
          <w:lang w:eastAsia="en-GB"/>
        </w:rPr>
        <w:t xml:space="preserve"> to maximise opportunities for local sourcing and supply-chain development.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>Support pilot and demonstration projects</w:t>
      </w:r>
      <w:r w:rsidRPr="00510114">
        <w:rPr>
          <w:rFonts w:ascii="Verdana" w:hAnsi="Verdana"/>
          <w:lang w:eastAsia="en-GB"/>
        </w:rPr>
        <w:t xml:space="preserve"> using modern stone construction, including digital fabrication, off-site manufacture and standardised structural stone systems, to accelerate market confidence and investment in UK production capacity.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>Use procurement frameworks to</w:t>
      </w:r>
      <w:r w:rsidRPr="005D6C56">
        <w:rPr>
          <w:rFonts w:ascii="Verdana" w:hAnsi="Verdana"/>
          <w:lang w:eastAsia="en-GB"/>
        </w:rPr>
        <w:t xml:space="preserve"> reward whole-life value, durability, local materials, </w:t>
      </w:r>
      <w:r w:rsidRPr="00510114">
        <w:rPr>
          <w:rFonts w:ascii="Verdana" w:hAnsi="Verdana"/>
          <w:lang w:eastAsia="en-GB"/>
        </w:rPr>
        <w:t>domestic supply chains and long-term skills development rather than lowest capital cost alone.</w:t>
      </w:r>
    </w:p>
    <w:p w:rsidR="00B01450" w:rsidP="00FA4AE3">
      <w:pPr>
        <w:spacing w:after="160" w:line="259" w:lineRule="auto"/>
        <w:ind w:left="357" w:hanging="357"/>
        <w:rPr>
          <w:rFonts w:ascii="Verdana" w:hAnsi="Verdana"/>
          <w:b/>
          <w:bCs/>
        </w:rPr>
      </w:pPr>
    </w:p>
    <w:p w:rsidR="00C940D1" w:rsidRPr="005D6C56" w:rsidP="00FA4AE3">
      <w:pPr>
        <w:spacing w:after="160" w:line="259" w:lineRule="auto"/>
        <w:ind w:left="357" w:hanging="357"/>
        <w:rPr>
          <w:rFonts w:ascii="Verdana" w:hAnsi="Verdana"/>
          <w:b/>
        </w:rPr>
      </w:pPr>
      <w:r w:rsidRPr="005D6C56">
        <w:rPr>
          <w:rFonts w:ascii="Verdana" w:hAnsi="Verdana"/>
          <w:b/>
          <w:bCs/>
        </w:rPr>
        <w:t>Q5</w:t>
      </w:r>
      <w:r>
        <w:rPr>
          <w:rFonts w:ascii="Verdana" w:hAnsi="Verdana"/>
          <w:b/>
          <w:bCs/>
        </w:rPr>
        <w:t xml:space="preserve"> </w:t>
      </w:r>
      <w:r w:rsidRPr="005D6C56">
        <w:rPr>
          <w:rFonts w:ascii="Verdana" w:hAnsi="Verdana"/>
          <w:b/>
        </w:rPr>
        <w:t>How can the Government give assurance to suppliers, builders and developers that new towns are a viable source of business and a credible investment opportunity?</w:t>
      </w:r>
    </w:p>
    <w:p w:rsidR="00C940D1" w:rsidRPr="00510114" w:rsidP="00FA4AE3">
      <w:pPr>
        <w:spacing w:after="160" w:line="259" w:lineRule="auto"/>
        <w:ind w:left="357" w:hanging="357"/>
        <w:rPr>
          <w:rFonts w:ascii="Verdana" w:hAnsi="Verdana"/>
        </w:rPr>
      </w:pPr>
      <w:r w:rsidRPr="00510114">
        <w:rPr>
          <w:rFonts w:ascii="Verdana" w:hAnsi="Verdana"/>
        </w:rPr>
        <w:t>N/A</w:t>
      </w:r>
    </w:p>
    <w:p w:rsidR="00C940D1" w:rsidRPr="00510114" w:rsidP="00FA4AE3">
      <w:pPr>
        <w:spacing w:after="160" w:line="259" w:lineRule="auto"/>
        <w:ind w:left="357" w:hanging="357"/>
        <w:rPr>
          <w:rFonts w:ascii="Verdana" w:hAnsi="Verdana"/>
        </w:rPr>
      </w:pPr>
    </w:p>
    <w:p w:rsidR="00C940D1" w:rsidRPr="005D6C56" w:rsidP="00FA4AE3">
      <w:pPr>
        <w:spacing w:after="160" w:line="259" w:lineRule="auto"/>
        <w:ind w:left="357" w:hanging="357"/>
        <w:rPr>
          <w:rFonts w:ascii="Verdana" w:hAnsi="Verdana"/>
          <w:b/>
        </w:rPr>
      </w:pPr>
      <w:r w:rsidRPr="005D6C56">
        <w:rPr>
          <w:rFonts w:ascii="Verdana" w:hAnsi="Verdana"/>
          <w:b/>
          <w:bCs/>
        </w:rPr>
        <w:t xml:space="preserve">Q6 </w:t>
      </w:r>
      <w:r w:rsidRPr="005D6C56">
        <w:rPr>
          <w:rFonts w:ascii="Verdana" w:hAnsi="Verdana"/>
          <w:b/>
        </w:rPr>
        <w:t>How can we ensure that new towns and expanded settlements are delivered to a high-quality standard that go beyond minimum expectations for construction and demonstrate best practice for sustainability, aesthetics and place-making?</w:t>
      </w:r>
    </w:p>
    <w:p w:rsidR="00C940D1" w:rsidRPr="005D6C56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5D6C56">
        <w:rPr>
          <w:rFonts w:ascii="Verdana" w:hAnsi="Verdana"/>
          <w:i/>
        </w:rPr>
        <w:t>Evidence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Witnesses repeatedly highlighted the importance of </w:t>
      </w:r>
      <w:r w:rsidRPr="005D6C56">
        <w:rPr>
          <w:rFonts w:ascii="Verdana" w:hAnsi="Verdana"/>
          <w:lang w:eastAsia="en-GB"/>
        </w:rPr>
        <w:t>sustainability, resilience, quality and place-making</w:t>
      </w:r>
      <w:r w:rsidRPr="00510114">
        <w:rPr>
          <w:rFonts w:ascii="Verdana" w:hAnsi="Verdana"/>
          <w:lang w:eastAsia="en-GB"/>
        </w:rPr>
        <w:t>. New towns provide a rare opportunity to create places that remain attractive, adaptable and functional for centuries rather than decades.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Natural stone aligns strongly with these objectives through its </w:t>
      </w:r>
      <w:r w:rsidRPr="005D6C56">
        <w:rPr>
          <w:rFonts w:ascii="Verdana" w:hAnsi="Verdana"/>
          <w:lang w:eastAsia="en-GB"/>
        </w:rPr>
        <w:t>low embodied carbon, long service life, durability and low maintenance requirements</w:t>
      </w:r>
      <w:r w:rsidRPr="00510114">
        <w:rPr>
          <w:rFonts w:ascii="Verdana" w:hAnsi="Verdana"/>
          <w:lang w:eastAsia="en-GB"/>
        </w:rPr>
        <w:t xml:space="preserve">. The use of locally sourced stone can strengthen </w:t>
      </w:r>
      <w:r w:rsidRPr="005D6C56">
        <w:rPr>
          <w:rFonts w:ascii="Verdana" w:hAnsi="Verdana"/>
          <w:lang w:eastAsia="en-GB"/>
        </w:rPr>
        <w:t xml:space="preserve">local character </w:t>
      </w:r>
      <w:r w:rsidRPr="00510114">
        <w:rPr>
          <w:rFonts w:ascii="Verdana" w:hAnsi="Verdana"/>
          <w:lang w:eastAsia="en-GB"/>
        </w:rPr>
        <w:t>and sense of place.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While modern houses are often designed to minimum design lives of around </w:t>
      </w:r>
      <w:r w:rsidRPr="005D6C56">
        <w:rPr>
          <w:rFonts w:ascii="Verdana" w:hAnsi="Verdana"/>
          <w:lang w:eastAsia="en-GB"/>
        </w:rPr>
        <w:t>60 years</w:t>
      </w:r>
      <w:r w:rsidRPr="00510114">
        <w:rPr>
          <w:rFonts w:ascii="Verdana" w:hAnsi="Verdana"/>
          <w:lang w:eastAsia="en-GB"/>
        </w:rPr>
        <w:t xml:space="preserve">, stone buildings and infrastructure can remain in use for </w:t>
      </w:r>
      <w:r w:rsidRPr="005D6C56">
        <w:rPr>
          <w:rFonts w:ascii="Verdana" w:hAnsi="Verdana"/>
          <w:lang w:eastAsia="en-GB"/>
        </w:rPr>
        <w:t>200 years</w:t>
      </w:r>
      <w:r w:rsidRPr="00510114">
        <w:rPr>
          <w:rFonts w:ascii="Verdana" w:hAnsi="Verdana"/>
          <w:lang w:eastAsia="en-GB"/>
        </w:rPr>
        <w:t xml:space="preserve"> or more, providing greater </w:t>
      </w:r>
      <w:r w:rsidRPr="005D6C56">
        <w:rPr>
          <w:rFonts w:ascii="Verdana" w:hAnsi="Verdana"/>
          <w:lang w:eastAsia="en-GB"/>
        </w:rPr>
        <w:t>permanence, durability and long-term value.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>Natural stone is often perceived as a luxury material, yet modern construction methods, digital fabrication and standardised systems can make stone cost competitive, particularly at scale.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Modern stone construction is compatible with contemporary approaches including </w:t>
      </w:r>
      <w:r w:rsidRPr="005D6C56">
        <w:rPr>
          <w:rFonts w:ascii="Verdana" w:hAnsi="Verdana"/>
          <w:lang w:eastAsia="en-GB"/>
        </w:rPr>
        <w:t>digital design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BIM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CNC fabrication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robotics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off-site manufacture</w:t>
      </w:r>
      <w:r w:rsidRPr="00510114">
        <w:rPr>
          <w:rFonts w:ascii="Verdana" w:hAnsi="Verdana"/>
          <w:lang w:eastAsia="en-GB"/>
        </w:rPr>
        <w:t xml:space="preserve"> and </w:t>
      </w:r>
      <w:r w:rsidRPr="005D6C56">
        <w:rPr>
          <w:rFonts w:ascii="Verdana" w:hAnsi="Verdana"/>
          <w:lang w:eastAsia="en-GB"/>
        </w:rPr>
        <w:t>industrialised construction</w:t>
      </w:r>
      <w:r w:rsidRPr="00510114">
        <w:rPr>
          <w:rFonts w:ascii="Verdana" w:hAnsi="Verdana"/>
          <w:lang w:eastAsia="en-GB"/>
        </w:rPr>
        <w:t>.</w:t>
      </w:r>
    </w:p>
    <w:p w:rsidR="00C940D1" w:rsidRPr="005D6C56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5D6C56">
        <w:rPr>
          <w:rFonts w:ascii="Verdana" w:hAnsi="Verdana"/>
          <w:i/>
        </w:rPr>
        <w:t>Policy Problem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Current assessment, design and procurement approaches often prioritise </w:t>
      </w:r>
      <w:r w:rsidRPr="005D6C56">
        <w:rPr>
          <w:rFonts w:ascii="Verdana" w:hAnsi="Verdana"/>
          <w:lang w:eastAsia="en-GB"/>
        </w:rPr>
        <w:t>minimum compliance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short-term costs</w:t>
      </w:r>
      <w:r w:rsidRPr="00510114">
        <w:rPr>
          <w:rFonts w:ascii="Verdana" w:hAnsi="Verdana"/>
          <w:lang w:eastAsia="en-GB"/>
        </w:rPr>
        <w:t xml:space="preserve"> and </w:t>
      </w:r>
      <w:r w:rsidRPr="005D6C56">
        <w:rPr>
          <w:rFonts w:ascii="Verdana" w:hAnsi="Verdana"/>
          <w:lang w:eastAsia="en-GB"/>
        </w:rPr>
        <w:t>embodied carbon metrics</w:t>
      </w:r>
      <w:r w:rsidRPr="00510114">
        <w:rPr>
          <w:rFonts w:ascii="Verdana" w:hAnsi="Verdana"/>
          <w:lang w:eastAsia="en-GB"/>
        </w:rPr>
        <w:t xml:space="preserve">. Qualities that contribute to successful long-term places—including </w:t>
      </w:r>
      <w:r w:rsidRPr="005D6C56">
        <w:rPr>
          <w:rFonts w:ascii="Verdana" w:hAnsi="Verdana"/>
          <w:lang w:eastAsia="en-GB"/>
        </w:rPr>
        <w:t>durability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adaptability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resilience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beauty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local character</w:t>
      </w:r>
      <w:r w:rsidRPr="00510114">
        <w:rPr>
          <w:rFonts w:ascii="Verdana" w:hAnsi="Verdana"/>
          <w:lang w:eastAsia="en-GB"/>
        </w:rPr>
        <w:t xml:space="preserve"> and </w:t>
      </w:r>
      <w:r w:rsidRPr="005D6C56">
        <w:rPr>
          <w:rFonts w:ascii="Verdana" w:hAnsi="Verdana"/>
          <w:lang w:eastAsia="en-GB"/>
        </w:rPr>
        <w:t>stewardship</w:t>
      </w:r>
      <w:r w:rsidRPr="00510114">
        <w:rPr>
          <w:rFonts w:ascii="Verdana" w:hAnsi="Verdana"/>
          <w:lang w:eastAsia="en-GB"/>
        </w:rPr>
        <w:t>—are not consistently rewarded.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Many of the benefits of </w:t>
      </w:r>
      <w:r w:rsidRPr="005D6C56">
        <w:rPr>
          <w:rFonts w:ascii="Verdana" w:hAnsi="Verdana"/>
          <w:lang w:eastAsia="en-GB"/>
        </w:rPr>
        <w:t>durability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resilience</w:t>
      </w:r>
      <w:r w:rsidRPr="00510114">
        <w:rPr>
          <w:rFonts w:ascii="Verdana" w:hAnsi="Verdana"/>
          <w:lang w:eastAsia="en-GB"/>
        </w:rPr>
        <w:t xml:space="preserve"> and </w:t>
      </w:r>
      <w:r w:rsidRPr="005D6C56">
        <w:rPr>
          <w:rFonts w:ascii="Verdana" w:hAnsi="Verdana"/>
          <w:lang w:eastAsia="en-GB"/>
        </w:rPr>
        <w:t>reduced maintenance</w:t>
      </w:r>
      <w:r w:rsidRPr="00510114">
        <w:rPr>
          <w:rFonts w:ascii="Verdana" w:hAnsi="Verdana"/>
          <w:lang w:eastAsia="en-GB"/>
        </w:rPr>
        <w:t xml:space="preserve"> accrue to future owners and society rather than the original developer. As a result, there are limited incentives to invest in higher-quality, longer-life buildings and infrastructure.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Sustainability assessments also tend to focus on environmental impacts in isolation rather than considering </w:t>
      </w:r>
      <w:r w:rsidRPr="005D6C56">
        <w:rPr>
          <w:rFonts w:ascii="Verdana" w:hAnsi="Verdana"/>
          <w:lang w:eastAsia="en-GB"/>
        </w:rPr>
        <w:t>environmental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economic</w:t>
      </w:r>
      <w:r w:rsidRPr="00510114">
        <w:rPr>
          <w:rFonts w:ascii="Verdana" w:hAnsi="Verdana"/>
          <w:lang w:eastAsia="en-GB"/>
        </w:rPr>
        <w:t xml:space="preserve"> and </w:t>
      </w:r>
      <w:r w:rsidRPr="005D6C56">
        <w:rPr>
          <w:rFonts w:ascii="Verdana" w:hAnsi="Verdana"/>
          <w:lang w:eastAsia="en-GB"/>
        </w:rPr>
        <w:t>social</w:t>
      </w:r>
      <w:r w:rsidRPr="00510114">
        <w:rPr>
          <w:rFonts w:ascii="Verdana" w:hAnsi="Verdana"/>
          <w:lang w:eastAsia="en-GB"/>
        </w:rPr>
        <w:t xml:space="preserve"> outcomes together. </w:t>
      </w:r>
      <w:r w:rsidRPr="005D6C56">
        <w:rPr>
          <w:rFonts w:ascii="Verdana" w:hAnsi="Verdana"/>
          <w:lang w:eastAsia="en-GB"/>
        </w:rPr>
        <w:t>Carbon and cost impacts are typically assessed against design lives rather than realistic service lives, which can disadvantage durable materials and long-life design solutions.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Current frameworks do not consistently reward </w:t>
      </w:r>
      <w:r w:rsidRPr="005D6C56">
        <w:rPr>
          <w:rFonts w:ascii="Verdana" w:hAnsi="Verdana"/>
          <w:lang w:eastAsia="en-GB"/>
        </w:rPr>
        <w:t>resilience</w:t>
      </w:r>
      <w:r w:rsidRPr="00510114">
        <w:rPr>
          <w:rFonts w:ascii="Verdana" w:hAnsi="Verdana"/>
          <w:lang w:eastAsia="en-GB"/>
        </w:rPr>
        <w:t xml:space="preserve">, </w:t>
      </w:r>
      <w:r w:rsidRPr="005D6C56">
        <w:rPr>
          <w:rFonts w:ascii="Verdana" w:hAnsi="Verdana"/>
          <w:lang w:eastAsia="en-GB"/>
        </w:rPr>
        <w:t>long-term stewardship</w:t>
      </w:r>
      <w:r w:rsidRPr="00510114">
        <w:rPr>
          <w:rFonts w:ascii="Verdana" w:hAnsi="Verdana"/>
          <w:lang w:eastAsia="en-GB"/>
        </w:rPr>
        <w:t xml:space="preserve"> and </w:t>
      </w:r>
      <w:r w:rsidRPr="005D6C56">
        <w:rPr>
          <w:rFonts w:ascii="Verdana" w:hAnsi="Verdana"/>
          <w:lang w:eastAsia="en-GB"/>
        </w:rPr>
        <w:t>whole-life value</w:t>
      </w:r>
      <w:r w:rsidRPr="00510114">
        <w:rPr>
          <w:rFonts w:ascii="Verdana" w:hAnsi="Verdana"/>
          <w:lang w:eastAsia="en-GB"/>
        </w:rPr>
        <w:t>, despite their importance to sustainability, place-making and community value.</w:t>
      </w:r>
    </w:p>
    <w:p w:rsidR="00C940D1" w:rsidRPr="005D6C56" w:rsidP="00FA4AE3">
      <w:pPr>
        <w:spacing w:after="160" w:line="259" w:lineRule="auto"/>
        <w:ind w:left="357" w:hanging="357"/>
        <w:rPr>
          <w:rFonts w:ascii="Verdana" w:hAnsi="Verdana"/>
          <w:i/>
        </w:rPr>
      </w:pPr>
      <w:r w:rsidRPr="005D6C56">
        <w:rPr>
          <w:rFonts w:ascii="Verdana" w:hAnsi="Verdana"/>
          <w:i/>
        </w:rPr>
        <w:t>Recommendations</w:t>
      </w:r>
    </w:p>
    <w:p w:rsidR="00C940D1" w:rsidRPr="005D6C56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 xml:space="preserve">Mandate whole-life carbon and whole-life cost assessment. 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Assess materials and buildings over </w:t>
      </w:r>
      <w:r w:rsidRPr="005D6C56">
        <w:rPr>
          <w:rFonts w:ascii="Verdana" w:hAnsi="Verdana"/>
          <w:lang w:eastAsia="en-GB"/>
        </w:rPr>
        <w:t>realistic expected service lives</w:t>
      </w:r>
      <w:r w:rsidRPr="00510114">
        <w:rPr>
          <w:rFonts w:ascii="Verdana" w:hAnsi="Verdana"/>
          <w:lang w:eastAsia="en-GB"/>
        </w:rPr>
        <w:t xml:space="preserve"> rather than minimum design lives. 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Express carbon and cost impacts on an </w:t>
      </w:r>
      <w:r w:rsidRPr="005D6C56">
        <w:rPr>
          <w:rFonts w:ascii="Verdana" w:hAnsi="Verdana"/>
          <w:lang w:eastAsia="en-GB"/>
        </w:rPr>
        <w:t>annualised basis</w:t>
      </w:r>
      <w:r w:rsidRPr="00510114">
        <w:rPr>
          <w:rFonts w:ascii="Verdana" w:hAnsi="Verdana"/>
          <w:lang w:eastAsia="en-GB"/>
        </w:rPr>
        <w:t xml:space="preserve"> over expected service life. </w:t>
      </w:r>
    </w:p>
    <w:p w:rsidR="00C940D1" w:rsidRPr="005D6C56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>Reward durability, resilience, aesthetics and whole-life value within procurement and design frameworks.</w:t>
      </w:r>
    </w:p>
    <w:p w:rsidR="00C940D1" w:rsidRPr="005D6C56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>Require sustainability assessments to explicitly consider environmental, economic and social impacts.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10114">
        <w:rPr>
          <w:rFonts w:ascii="Verdana" w:hAnsi="Verdana"/>
          <w:lang w:eastAsia="en-GB"/>
        </w:rPr>
        <w:t xml:space="preserve">Promote </w:t>
      </w:r>
      <w:r w:rsidRPr="005D6C56">
        <w:rPr>
          <w:rFonts w:ascii="Verdana" w:hAnsi="Verdana"/>
          <w:lang w:eastAsia="en-GB"/>
        </w:rPr>
        <w:t>local materials</w:t>
      </w:r>
      <w:r w:rsidRPr="00510114">
        <w:rPr>
          <w:rFonts w:ascii="Verdana" w:hAnsi="Verdana"/>
          <w:lang w:eastAsia="en-GB"/>
        </w:rPr>
        <w:t xml:space="preserve"> and local distinctiveness where appropriate. </w:t>
      </w:r>
    </w:p>
    <w:p w:rsidR="00C940D1" w:rsidRPr="00510114" w:rsidP="005D6C56">
      <w:pPr>
        <w:pStyle w:val="ListParagraph"/>
        <w:numPr>
          <w:ilvl w:val="0"/>
          <w:numId w:val="46"/>
        </w:numPr>
        <w:spacing w:after="160" w:line="259" w:lineRule="auto"/>
        <w:ind w:left="357" w:hanging="357"/>
        <w:contextualSpacing w:val="0"/>
        <w:rPr>
          <w:rFonts w:ascii="Verdana" w:hAnsi="Verdana"/>
          <w:lang w:eastAsia="en-GB"/>
        </w:rPr>
      </w:pPr>
      <w:r w:rsidRPr="005D6C56">
        <w:rPr>
          <w:rFonts w:ascii="Verdana" w:hAnsi="Verdana"/>
          <w:lang w:eastAsia="en-GB"/>
        </w:rPr>
        <w:t>Encourage buildings and infrastructure to deliver value for generations rather than decades.</w:t>
      </w:r>
    </w:p>
    <w:p w:rsidR="00B01450" w:rsidP="005D6C56">
      <w:pPr>
        <w:spacing w:after="160" w:line="259" w:lineRule="auto"/>
        <w:ind w:left="357" w:hanging="357"/>
        <w:rPr>
          <w:rFonts w:ascii="Verdana" w:hAnsi="Verdana"/>
          <w:b/>
          <w:bCs/>
        </w:rPr>
      </w:pPr>
    </w:p>
    <w:p w:rsidR="00C25C94" w:rsidP="005D6C56">
      <w:pPr>
        <w:spacing w:after="160" w:line="259" w:lineRule="auto"/>
        <w:ind w:left="357" w:hanging="357"/>
        <w:rPr>
          <w:rFonts w:ascii="Verdana" w:hAnsi="Verdana"/>
          <w:b/>
        </w:rPr>
      </w:pPr>
      <w:r>
        <w:rPr>
          <w:rFonts w:ascii="Verdana" w:hAnsi="Verdana"/>
          <w:b/>
          <w:bCs/>
        </w:rPr>
        <w:t xml:space="preserve">Q7 </w:t>
      </w:r>
      <w:r w:rsidRPr="005D6C56" w:rsidR="00C940D1">
        <w:rPr>
          <w:rFonts w:ascii="Verdana" w:hAnsi="Verdana"/>
          <w:b/>
        </w:rPr>
        <w:t>Which case studies of large-scale construction projects should the Committee and Government look at to learn from best and worst practice in construction and supply logistics?</w:t>
      </w:r>
    </w:p>
    <w:p w:rsidR="005D6C56" w:rsidRPr="005D6C56" w:rsidP="005D6C56">
      <w:pPr>
        <w:spacing w:after="160" w:line="259" w:lineRule="auto"/>
        <w:ind w:left="357" w:hanging="357"/>
        <w:rPr>
          <w:rFonts w:ascii="Verdana" w:hAnsi="Verdana"/>
        </w:rPr>
      </w:pPr>
      <w:r w:rsidRPr="005D6C56">
        <w:rPr>
          <w:rFonts w:ascii="Verdana" w:hAnsi="Verdana"/>
        </w:rPr>
        <w:t>N/A</w:t>
      </w:r>
    </w:p>
    <w:p w:rsidR="00C940D1" w:rsidRPr="00C25C94" w:rsidP="00FA4AE3">
      <w:pPr>
        <w:spacing w:after="160" w:line="259" w:lineRule="auto"/>
        <w:ind w:left="357" w:hanging="357"/>
        <w:rPr>
          <w:rFonts w:ascii="Verdana" w:hAnsi="Verdana"/>
          <w:i/>
          <w:iCs/>
        </w:rPr>
      </w:pPr>
      <w:r w:rsidRPr="00C25C94">
        <w:rPr>
          <w:rFonts w:ascii="Verdana" w:hAnsi="Verdana"/>
          <w:i/>
          <w:iCs/>
        </w:rPr>
        <w:t>11 July 2026</w:t>
      </w:r>
    </w:p>
    <w:sectPr w:rsidSect="00FC29F9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2D42AA"/>
    <w:multiLevelType w:val="multilevel"/>
    <w:tmpl w:val="5B26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A6904"/>
    <w:multiLevelType w:val="multilevel"/>
    <w:tmpl w:val="0FF0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D4B04"/>
    <w:multiLevelType w:val="multilevel"/>
    <w:tmpl w:val="5C12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34A24"/>
    <w:multiLevelType w:val="multilevel"/>
    <w:tmpl w:val="100A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93E44"/>
    <w:multiLevelType w:val="multilevel"/>
    <w:tmpl w:val="FF52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947D3"/>
    <w:multiLevelType w:val="multilevel"/>
    <w:tmpl w:val="A0D48872"/>
    <w:lvl w:ilvl="0">
      <w:start w:val="1"/>
      <w:numFmt w:val="decimal"/>
      <w:suff w:val="nothing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0D6E84"/>
    <w:multiLevelType w:val="multilevel"/>
    <w:tmpl w:val="29DC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065D1"/>
    <w:multiLevelType w:val="multilevel"/>
    <w:tmpl w:val="243EDD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1C9B103D"/>
    <w:multiLevelType w:val="multilevel"/>
    <w:tmpl w:val="1C78876E"/>
    <w:lvl w:ilvl="0">
      <w:start w:val="1"/>
      <w:numFmt w:val="decimal"/>
      <w:pStyle w:val="Heading1"/>
      <w:lvlText w:val="Q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57044"/>
    <w:multiLevelType w:val="hybridMultilevel"/>
    <w:tmpl w:val="6A92E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56F55"/>
    <w:multiLevelType w:val="multilevel"/>
    <w:tmpl w:val="A2B4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630D25"/>
    <w:multiLevelType w:val="hybridMultilevel"/>
    <w:tmpl w:val="FEDE3A74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F0ED5"/>
    <w:multiLevelType w:val="multilevel"/>
    <w:tmpl w:val="4E2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76473D"/>
    <w:multiLevelType w:val="hybridMultilevel"/>
    <w:tmpl w:val="413AB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17B75"/>
    <w:multiLevelType w:val="multilevel"/>
    <w:tmpl w:val="0FF0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81F91"/>
    <w:multiLevelType w:val="multilevel"/>
    <w:tmpl w:val="0FF0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F27F25"/>
    <w:multiLevelType w:val="multilevel"/>
    <w:tmpl w:val="E894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3C1810"/>
    <w:multiLevelType w:val="multilevel"/>
    <w:tmpl w:val="9CA6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987BBB"/>
    <w:multiLevelType w:val="hybridMultilevel"/>
    <w:tmpl w:val="1338C9F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C71000"/>
    <w:multiLevelType w:val="multilevel"/>
    <w:tmpl w:val="0FF0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BD2472"/>
    <w:multiLevelType w:val="multilevel"/>
    <w:tmpl w:val="C5F2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466754"/>
    <w:multiLevelType w:val="multilevel"/>
    <w:tmpl w:val="944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A5FC7"/>
    <w:multiLevelType w:val="multilevel"/>
    <w:tmpl w:val="0FF0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625F2C"/>
    <w:multiLevelType w:val="multilevel"/>
    <w:tmpl w:val="CF76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195F0E"/>
    <w:multiLevelType w:val="multilevel"/>
    <w:tmpl w:val="BEBC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0C6C55"/>
    <w:multiLevelType w:val="hybridMultilevel"/>
    <w:tmpl w:val="D6B46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A34F8E"/>
    <w:multiLevelType w:val="multilevel"/>
    <w:tmpl w:val="7DF0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463E37"/>
    <w:multiLevelType w:val="multilevel"/>
    <w:tmpl w:val="F832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9374E8"/>
    <w:multiLevelType w:val="multilevel"/>
    <w:tmpl w:val="5D7A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602A7A"/>
    <w:multiLevelType w:val="multilevel"/>
    <w:tmpl w:val="670A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223B6D"/>
    <w:multiLevelType w:val="multilevel"/>
    <w:tmpl w:val="13F8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3B0E45"/>
    <w:multiLevelType w:val="multilevel"/>
    <w:tmpl w:val="3F3E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EF1465"/>
    <w:multiLevelType w:val="multilevel"/>
    <w:tmpl w:val="152E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473D90"/>
    <w:multiLevelType w:val="multilevel"/>
    <w:tmpl w:val="EA7A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9C47B7"/>
    <w:multiLevelType w:val="multilevel"/>
    <w:tmpl w:val="0FF0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165A65"/>
    <w:multiLevelType w:val="multilevel"/>
    <w:tmpl w:val="5A44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AB383D"/>
    <w:multiLevelType w:val="multilevel"/>
    <w:tmpl w:val="5C14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CF1027"/>
    <w:multiLevelType w:val="multilevel"/>
    <w:tmpl w:val="92BE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C20634"/>
    <w:multiLevelType w:val="multilevel"/>
    <w:tmpl w:val="570E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C72B3C"/>
    <w:multiLevelType w:val="hybridMultilevel"/>
    <w:tmpl w:val="96C0CA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AF766F"/>
    <w:multiLevelType w:val="multilevel"/>
    <w:tmpl w:val="7EA2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71762E"/>
    <w:multiLevelType w:val="hybridMultilevel"/>
    <w:tmpl w:val="29C6FE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047D5"/>
    <w:multiLevelType w:val="multilevel"/>
    <w:tmpl w:val="1492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0C6EA6"/>
    <w:multiLevelType w:val="multilevel"/>
    <w:tmpl w:val="46A0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85591C"/>
    <w:multiLevelType w:val="multilevel"/>
    <w:tmpl w:val="9EEC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8"/>
  </w:num>
  <w:num w:numId="3">
    <w:abstractNumId w:val="19"/>
  </w:num>
  <w:num w:numId="4">
    <w:abstractNumId w:val="20"/>
  </w:num>
  <w:num w:numId="5">
    <w:abstractNumId w:val="40"/>
  </w:num>
  <w:num w:numId="6">
    <w:abstractNumId w:val="37"/>
  </w:num>
  <w:num w:numId="7">
    <w:abstractNumId w:val="0"/>
  </w:num>
  <w:num w:numId="8">
    <w:abstractNumId w:val="38"/>
  </w:num>
  <w:num w:numId="9">
    <w:abstractNumId w:val="23"/>
  </w:num>
  <w:num w:numId="10">
    <w:abstractNumId w:val="12"/>
  </w:num>
  <w:num w:numId="11">
    <w:abstractNumId w:val="27"/>
  </w:num>
  <w:num w:numId="12">
    <w:abstractNumId w:val="30"/>
  </w:num>
  <w:num w:numId="13">
    <w:abstractNumId w:val="43"/>
  </w:num>
  <w:num w:numId="14">
    <w:abstractNumId w:val="10"/>
  </w:num>
  <w:num w:numId="15">
    <w:abstractNumId w:val="29"/>
  </w:num>
  <w:num w:numId="16">
    <w:abstractNumId w:val="6"/>
  </w:num>
  <w:num w:numId="17">
    <w:abstractNumId w:val="36"/>
  </w:num>
  <w:num w:numId="18">
    <w:abstractNumId w:val="31"/>
  </w:num>
  <w:num w:numId="19">
    <w:abstractNumId w:val="2"/>
  </w:num>
  <w:num w:numId="20">
    <w:abstractNumId w:val="21"/>
  </w:num>
  <w:num w:numId="21">
    <w:abstractNumId w:val="44"/>
  </w:num>
  <w:num w:numId="22">
    <w:abstractNumId w:val="16"/>
  </w:num>
  <w:num w:numId="23">
    <w:abstractNumId w:val="4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3"/>
  </w:num>
  <w:num w:numId="27">
    <w:abstractNumId w:val="14"/>
  </w:num>
  <w:num w:numId="28">
    <w:abstractNumId w:val="15"/>
  </w:num>
  <w:num w:numId="29">
    <w:abstractNumId w:val="34"/>
  </w:num>
  <w:num w:numId="30">
    <w:abstractNumId w:val="22"/>
  </w:num>
  <w:num w:numId="31">
    <w:abstractNumId w:val="1"/>
  </w:num>
  <w:num w:numId="32">
    <w:abstractNumId w:val="7"/>
  </w:num>
  <w:num w:numId="33">
    <w:abstractNumId w:val="8"/>
  </w:num>
  <w:num w:numId="34">
    <w:abstractNumId w:val="42"/>
  </w:num>
  <w:num w:numId="35">
    <w:abstractNumId w:val="33"/>
  </w:num>
  <w:num w:numId="36">
    <w:abstractNumId w:val="9"/>
  </w:num>
  <w:num w:numId="37">
    <w:abstractNumId w:val="25"/>
  </w:num>
  <w:num w:numId="38">
    <w:abstractNumId w:val="26"/>
  </w:num>
  <w:num w:numId="39">
    <w:abstractNumId w:val="13"/>
  </w:num>
  <w:num w:numId="40">
    <w:abstractNumId w:val="41"/>
  </w:num>
  <w:num w:numId="41">
    <w:abstractNumId w:val="39"/>
  </w:num>
  <w:num w:numId="42">
    <w:abstractNumId w:val="5"/>
  </w:num>
  <w:num w:numId="43">
    <w:abstractNumId w:val="17"/>
  </w:num>
  <w:num w:numId="44">
    <w:abstractNumId w:val="18"/>
  </w:num>
  <w:num w:numId="45">
    <w:abstractNumId w:val="11"/>
  </w:num>
  <w:num w:numId="46">
    <w:abstractNumId w:val="18"/>
    <w:lvlOverride w:ilvl="0">
      <w:lvl w:ilvl="0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7">
    <w:abstractNumId w:val="18"/>
    <w:lvlOverride w:ilvl="0">
      <w:lvl w:ilvl="0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1BC0"/>
    <w:pPr>
      <w:spacing w:after="12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07F"/>
    <w:pPr>
      <w:keepNext/>
      <w:keepLines/>
      <w:numPr>
        <w:numId w:val="33"/>
      </w:numPr>
      <w:shd w:val="clear" w:color="auto" w:fill="F2F2F2" w:themeFill="background1" w:themeFillShade="F2"/>
      <w:spacing w:before="360" w:after="80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178"/>
    <w:pPr>
      <w:keepNext/>
      <w:keepLines/>
      <w:numPr>
        <w:ilvl w:val="1"/>
        <w:numId w:val="33"/>
      </w:numPr>
      <w:spacing w:before="160" w:after="80"/>
      <w:outlineLvl w:val="1"/>
    </w:pPr>
    <w:rPr>
      <w:rFonts w:eastAsiaTheme="majorEastAsia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996"/>
    <w:pPr>
      <w:keepNext/>
      <w:keepLines/>
      <w:numPr>
        <w:ilvl w:val="2"/>
        <w:numId w:val="33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996"/>
    <w:pPr>
      <w:keepNext/>
      <w:keepLines/>
      <w:numPr>
        <w:ilvl w:val="3"/>
        <w:numId w:val="33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996"/>
    <w:pPr>
      <w:keepNext/>
      <w:keepLines/>
      <w:numPr>
        <w:ilvl w:val="4"/>
        <w:numId w:val="33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996"/>
    <w:pPr>
      <w:keepNext/>
      <w:keepLines/>
      <w:numPr>
        <w:ilvl w:val="5"/>
        <w:numId w:val="3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996"/>
    <w:pPr>
      <w:keepNext/>
      <w:keepLines/>
      <w:numPr>
        <w:ilvl w:val="6"/>
        <w:numId w:val="3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996"/>
    <w:pPr>
      <w:keepNext/>
      <w:keepLines/>
      <w:numPr>
        <w:ilvl w:val="7"/>
        <w:numId w:val="3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996"/>
    <w:pPr>
      <w:keepNext/>
      <w:keepLines/>
      <w:numPr>
        <w:ilvl w:val="8"/>
        <w:numId w:val="3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07F"/>
    <w:rPr>
      <w:rFonts w:eastAsiaTheme="majorEastAsia" w:cstheme="majorBidi"/>
      <w:b/>
      <w:bCs/>
      <w:shd w:val="clear" w:color="auto" w:fill="F2F2F2" w:themeFill="background1" w:themeFillShade="F2"/>
    </w:rPr>
  </w:style>
  <w:style w:type="character" w:customStyle="1" w:styleId="Heading2Char">
    <w:name w:val="Heading 2 Char"/>
    <w:basedOn w:val="DefaultParagraphFont"/>
    <w:link w:val="Heading2"/>
    <w:uiPriority w:val="9"/>
    <w:rsid w:val="00DF7178"/>
    <w:rPr>
      <w:rFonts w:eastAsiaTheme="majorEastAsia" w:cstheme="majorBidi"/>
      <w:b/>
      <w:b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9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9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9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9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9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9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9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9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9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9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9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99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258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58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</w:rPr>
  </w:style>
  <w:style w:type="character" w:styleId="Hyperlink">
    <w:name w:val="Hyperlink"/>
    <w:basedOn w:val="DefaultParagraphFont"/>
    <w:uiPriority w:val="99"/>
    <w:unhideWhenUsed/>
    <w:rsid w:val="00075EEF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5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_dlc_DocId xmlns="70d2f4a9-7027-4c8b-acc6-1861eab93b19">JRFZP62N7HVT-2044078101-1573</_dlc_DocId>
    <TransfertoArchives xmlns="4600776d-0a3c-44b4-bff2-0ceaafb13046">false</TransfertoArchives>
    <c10fc15a1e374d7faacfa4b870e47730 xmlns="70d2f4a9-7027-4c8b-acc6-1861eab93b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Written Evidence - Unpublished</TermName>
          <TermId xmlns="http://schemas.microsoft.com/office/infopath/2007/PartnerControls">0be253cd-a155-4ec9-872a-26fd359e68f0</TermId>
        </TermInfo>
      </Terms>
    </c10fc15a1e374d7faacfa4b870e47730>
    <edc898bf3bb343549b83ac391d519ef2 xmlns="70d2f4a9-7027-4c8b-acc6-1861eab93b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Towns: Bricks and Mortar</TermName>
          <TermId xmlns="http://schemas.microsoft.com/office/infopath/2007/PartnerControls">f8c7e7a8-34b4-42c2-8a32-8ac970a121ac</TermId>
        </TermInfo>
      </Terms>
    </edc898bf3bb343549b83ac391d519ef2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Restricted: For Committee use only</TermName>
          <TermId xmlns="http://schemas.microsoft.com/office/infopath/2007/PartnerControls">48231b65-b073-4b70-bea2-7eed96ffc402</TermId>
        </TermInfo>
      </Terms>
    </k5b153ee974a4a57a7568e533217f2cb>
    <Meeting_x0020_Date xmlns="70d2f4a9-7027-4c8b-acc6-1861eab93b19">2026-07-20T23:00:00+00:00</Meeting_x0020_Date>
    <RetentionTriggerDate xmlns="4600776d-0a3c-44b4-bff2-0ceaafb13046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fa5079ca-fd3f-4f9f-9e9e-7726fbbe0838</TermId>
        </TermInfo>
      </Terms>
    </e6f926d7f5b14a74bee86c3452d91372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Url xmlns="70d2f4a9-7027-4c8b-acc6-1861eab93b19">
      <Url>https://hopuk.sharepoint.com/sites/hlc-builtenviro/_layouts/15/DocIdRedir.aspx?ID=JRFZP62N7HVT-2044078101-1573</Url>
      <Description>JRFZP62N7HVT-2044078101-1573</Description>
    </_dlc_DocIdUrl>
    <RecordNumber xmlns="4600776d-0a3c-44b4-bff2-0ceaafb13046" xsi:nil="true"/>
    <Document_x0020_Status1 xmlns="70d2f4a9-7027-4c8b-acc6-1861eab93b19">N/A</Document_x0020_Status1>
    <g3ef09377e3444258679b6035a1ff93a xmlns="4600776d-0a3c-44b4-bff2-0ceaafb13046">
      <Terms xmlns="http://schemas.microsoft.com/office/infopath/2007/PartnerControls"/>
    </g3ef09377e3444258679b6035a1ff93a>
    <TaxCatchAll xmlns="4600776d-0a3c-44b4-bff2-0ceaafb13046">
      <Value>5</Value>
      <Value>104</Value>
      <Value>73</Value>
      <Value>105</Value>
      <Value>2</Value>
      <Value>54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AEC37402C6145BB418B99DC879C2F" ma:contentTypeVersion="142" ma:contentTypeDescription="Create a new document." ma:contentTypeScope="" ma:versionID="bede8a6e59b9cf804aae913f3ec8a661">
  <xsd:schema xmlns:xsd="http://www.w3.org/2001/XMLSchema" xmlns:xs="http://www.w3.org/2001/XMLSchema" xmlns:p="http://schemas.microsoft.com/office/2006/metadata/properties" xmlns:ns2="70d2f4a9-7027-4c8b-acc6-1861eab93b19" xmlns:ns3="4600776d-0a3c-44b4-bff2-0ceaafb13046" xmlns:ns4="899733ae-5711-47d1-bf6b-1aad0d576b8f" targetNamespace="http://schemas.microsoft.com/office/2006/metadata/properties" ma:root="true" ma:fieldsID="ca367f0a5b7fc8a502817a0af1300ca0" ns2:_="" ns3:_="" ns4:_="">
    <xsd:import namespace="70d2f4a9-7027-4c8b-acc6-1861eab93b19"/>
    <xsd:import namespace="4600776d-0a3c-44b4-bff2-0ceaafb13046"/>
    <xsd:import namespace="899733ae-5711-47d1-bf6b-1aad0d576b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edc898bf3bb343549b83ac391d519ef2" minOccurs="0"/>
                <xsd:element ref="ns2:c10fc15a1e374d7faacfa4b870e47730" minOccurs="0"/>
                <xsd:element ref="ns2:Document_x0020_Status1"/>
                <xsd:element ref="ns2:Meeting_x0020_Date" minOccurs="0"/>
                <xsd:element ref="ns3:e6f926d7f5b14a74bee86c3452d91372" minOccurs="0"/>
                <xsd:element ref="ns3:c4838c65c76546ae93d5703426802f7f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f4a9-7027-4c8b-acc6-1861eab93b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12" ma:taxonomy="true" ma:internalName="edc898bf3bb343549b83ac391d519ef2" ma:taxonomyFieldName="Inquiry" ma:displayName="Inquiry" ma:readOnly="false" ma:default="45;#Not set|e8cd569a-5369-4e4f-ad9b-8d833cbb2bb3" ma:fieldId="{edc898bf-3bb3-4354-9b83-ac391d519ef2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14" ma:taxonomy="true" ma:internalName="c10fc15a1e374d7faacfa4b870e47730" ma:taxonomyFieldName="Document_x0020_Type" ma:displayName="Document Type" ma:readOnly="false" ma:default="44;#Not set|946977a2-afe1-4f89-ac89-357bacc37f01" ma:fieldId="{3a64d384-2ecf-464c-941b-c639f74f23c4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6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17" nillable="true" ma:displayName="Meeting Date" ma:format="DateOnly" ma:internalName="Meeting_x0020_Date" ma:readOnly="false">
      <xsd:simpleType>
        <xsd:restriction base="dms:DateTime"/>
      </xsd:simple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f4649852-c0eb-4bee-a0a4-8da5cea12975}" ma:internalName="TaxCatchAll" ma:showField="CatchAllData" ma:web="70d2f4a9-7027-4c8b-acc6-1861eab93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f926d7f5b14a74bee86c3452d91372" ma:index="18" nillable="true" ma:taxonomy="true" ma:internalName="e6f926d7f5b14a74bee86c3452d91372" ma:taxonomyFieldName="Sessions" ma:displayName="Sessions" ma:default="104;#2026-27|fa5079ca-fd3f-4f9f-9e9e-7726fbbe0838" ma:fieldId="{e6f926d7-f5b1-4a74-bee8-6c3452d91372}" ma:taxonomyMulti="true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0" nillable="true" ma:taxonomy="true" ma:internalName="c4838c65c76546ae93d5703426802f7f" ma:taxonomyFieldName="RMKeyword1" ma:displayName="RM Keyword 1" ma:readOnly="false" ma:default="2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2" nillable="true" ma:taxonomy="true" ma:internalName="j6c5b17cd04246da82e5604daf08bc68" ma:taxonomyFieldName="RMKeyword2" ma:displayName="RM Keyword 2" ma:readOnly="false" ma:default="5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4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6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8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0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31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32" nillable="true" ma:displayName="Transfer to Archives" ma:default="0" ma:internalName="TransfertoArchives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733ae-5711-47d1-bf6b-1aad0d576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B2AF1-59F5-4B42-94A4-4695947F24B5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70d2f4a9-7027-4c8b-acc6-1861eab93b19"/>
  </ds:schemaRefs>
</ds:datastoreItem>
</file>

<file path=customXml/itemProps2.xml><?xml version="1.0" encoding="utf-8"?>
<ds:datastoreItem xmlns:ds="http://schemas.openxmlformats.org/officeDocument/2006/customXml" ds:itemID="{0974E68A-2711-4A78-A947-BC0899600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3CC4C-82BB-4CAF-B644-A705522E9AF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770BBB-017A-4794-BB22-50039C365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2f4a9-7027-4c8b-acc6-1861eab93b19"/>
    <ds:schemaRef ds:uri="4600776d-0a3c-44b4-bff2-0ceaafb13046"/>
    <ds:schemaRef ds:uri="899733ae-5711-47d1-bf6b-1aad0d576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f82c930-76ad-4e10-8f68-9399c9560797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NTB0016</dc:title>
  <cp:revision>0</cp:revision>
</cp:coreProperties>
</file>