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C5F7E" w:rsidRPr="005B3073" w:rsidP="002D03C7">
      <w:pPr>
        <w:ind w:left="357" w:hanging="357"/>
        <w:rPr>
          <w:rFonts w:ascii="Verdana" w:hAnsi="Verdana" w:cs="Calibri"/>
          <w:b/>
          <w:bCs/>
          <w:sz w:val="28"/>
          <w:szCs w:val="28"/>
        </w:rPr>
      </w:pPr>
      <w:r w:rsidRPr="005B3073">
        <w:rPr>
          <w:rFonts w:ascii="Verdana" w:hAnsi="Verdana" w:cs="Calibri"/>
          <w:b/>
          <w:bCs/>
          <w:sz w:val="28"/>
          <w:szCs w:val="28"/>
        </w:rPr>
        <w:t>City &amp; Guilds</w:t>
      </w:r>
      <w:r w:rsidRPr="005B3073" w:rsidR="005B3073">
        <w:rPr>
          <w:rFonts w:ascii="Verdana" w:hAnsi="Verdana" w:cs="Calibri"/>
          <w:b/>
          <w:bCs/>
          <w:sz w:val="28"/>
          <w:szCs w:val="28"/>
        </w:rPr>
        <w:t xml:space="preserve"> – Written evidence (NTB0014)</w:t>
      </w:r>
    </w:p>
    <w:p w:rsidR="004C5F7E" w:rsidRPr="00882E9C" w:rsidP="002D03C7">
      <w:pPr>
        <w:pStyle w:val="ListParagraph"/>
        <w:numPr>
          <w:ilvl w:val="0"/>
          <w:numId w:val="2"/>
        </w:numPr>
        <w:ind w:left="357" w:hanging="357"/>
        <w:contextualSpacing w:val="0"/>
        <w:rPr>
          <w:rFonts w:ascii="Verdana" w:hAnsi="Verdana" w:cs="Calibri"/>
          <w:sz w:val="22"/>
        </w:rPr>
      </w:pPr>
      <w:r w:rsidRPr="00882E9C">
        <w:rPr>
          <w:rFonts w:ascii="Verdana" w:hAnsi="Verdana" w:cs="Calibri"/>
          <w:sz w:val="22"/>
        </w:rPr>
        <w:t>City &amp; Guilds welcomes the opportunity to provide written evidence to the Built Environment Committee’s inquiry into the practical and physical challenges facing the construction and development sector in delivering new towns.</w:t>
      </w:r>
    </w:p>
    <w:p w:rsidR="004C5F7E" w:rsidRPr="00882E9C" w:rsidP="002D03C7">
      <w:pPr>
        <w:pStyle w:val="ListParagraph"/>
        <w:numPr>
          <w:ilvl w:val="0"/>
          <w:numId w:val="2"/>
        </w:numPr>
        <w:ind w:left="357" w:hanging="357"/>
        <w:contextualSpacing w:val="0"/>
        <w:rPr>
          <w:rFonts w:ascii="Verdana" w:hAnsi="Verdana" w:cs="Calibri"/>
          <w:sz w:val="22"/>
        </w:rPr>
      </w:pPr>
      <w:r w:rsidRPr="00882E9C">
        <w:rPr>
          <w:rFonts w:ascii="Verdana" w:hAnsi="Verdana" w:cs="Calibri"/>
          <w:sz w:val="22"/>
        </w:rPr>
        <w:t xml:space="preserve">City &amp; Guilds has been fulfilling our purpose since 1878, by advancing skills for people, organisations, and societies. With 5.1 million learners worldwide, we understand the life-changing link between skills development, social mobility, prosperity, and success. We champion vocational and technical training routes and collaborate with industries and government to campaign for improvements across the global skills landscape. </w:t>
      </w:r>
    </w:p>
    <w:p w:rsidR="004C5F7E" w:rsidRPr="00882E9C" w:rsidP="002D03C7">
      <w:pPr>
        <w:pStyle w:val="ListParagraph"/>
        <w:numPr>
          <w:ilvl w:val="0"/>
          <w:numId w:val="2"/>
        </w:numPr>
        <w:ind w:left="357" w:hanging="357"/>
        <w:contextualSpacing w:val="0"/>
        <w:rPr>
          <w:rFonts w:ascii="Verdana" w:hAnsi="Verdana" w:cs="Calibri"/>
          <w:sz w:val="22"/>
        </w:rPr>
      </w:pPr>
      <w:r w:rsidRPr="00882E9C">
        <w:rPr>
          <w:rFonts w:ascii="Verdana" w:hAnsi="Verdana" w:cs="Calibri"/>
          <w:sz w:val="22"/>
        </w:rPr>
        <w:t xml:space="preserve">This submission draws primarily on our report, </w:t>
      </w:r>
      <w:r w:rsidRPr="00882E9C">
        <w:rPr>
          <w:rFonts w:ascii="Verdana" w:hAnsi="Verdana" w:cs="Calibri"/>
          <w:i/>
          <w:iCs/>
          <w:sz w:val="22"/>
        </w:rPr>
        <w:t>Foundations for the future: Building the skills to deliver 1.5 million homes</w:t>
      </w:r>
      <w:r w:rsidRPr="00882E9C">
        <w:rPr>
          <w:rFonts w:ascii="Verdana" w:hAnsi="Verdana" w:cs="Calibri"/>
          <w:sz w:val="22"/>
        </w:rPr>
        <w:t xml:space="preserve">. It also reflects our wider work on skills, productivity and social impact, including </w:t>
      </w:r>
      <w:r w:rsidRPr="00882E9C">
        <w:rPr>
          <w:rFonts w:ascii="Verdana" w:hAnsi="Verdana" w:cs="Calibri"/>
          <w:i/>
          <w:iCs/>
          <w:sz w:val="22"/>
        </w:rPr>
        <w:t>Making Skills Work: The Path to Solving the Productivity Crisis</w:t>
      </w:r>
      <w:r w:rsidRPr="00882E9C">
        <w:rPr>
          <w:rFonts w:ascii="Verdana" w:hAnsi="Verdana" w:cs="Calibri"/>
          <w:sz w:val="22"/>
        </w:rPr>
        <w:t>.</w:t>
      </w:r>
    </w:p>
    <w:p w:rsidR="004C5F7E" w:rsidRPr="00882E9C" w:rsidP="002D03C7">
      <w:pPr>
        <w:pStyle w:val="ListParagraph"/>
        <w:numPr>
          <w:ilvl w:val="0"/>
          <w:numId w:val="2"/>
        </w:numPr>
        <w:ind w:left="357" w:hanging="357"/>
        <w:contextualSpacing w:val="0"/>
        <w:rPr>
          <w:rFonts w:ascii="Verdana" w:hAnsi="Verdana" w:cs="Calibri"/>
          <w:sz w:val="22"/>
        </w:rPr>
      </w:pPr>
      <w:r w:rsidRPr="00882E9C">
        <w:rPr>
          <w:rFonts w:ascii="Verdana" w:hAnsi="Verdana" w:cs="Calibri"/>
          <w:sz w:val="22"/>
        </w:rPr>
        <w:t>Our evidence focuses on workforce capacity as a delivery constraint. New towns will not be delivered through planning consent and infrastructure investment alone. They will require a workforce with the scale, skills and confidence to build at pace, to a high standard, and over a sustained period. That workforce will be easier to attract, train and retain if employers have confidence in a clear mid to long term pipeline of new build work. Greater certainty over future demand will help turn housing ambition into recruitment, training and investment decisions across the construction supply chain.</w:t>
      </w:r>
    </w:p>
    <w:p w:rsidR="004C5F7E" w:rsidRPr="00882E9C" w:rsidP="002D03C7">
      <w:pPr>
        <w:pStyle w:val="ListParagraph"/>
        <w:numPr>
          <w:ilvl w:val="0"/>
          <w:numId w:val="2"/>
        </w:numPr>
        <w:ind w:left="357" w:hanging="357"/>
        <w:contextualSpacing w:val="0"/>
        <w:rPr>
          <w:rFonts w:ascii="Verdana" w:hAnsi="Verdana" w:cs="Calibri"/>
          <w:sz w:val="22"/>
        </w:rPr>
      </w:pPr>
      <w:r w:rsidRPr="00882E9C">
        <w:rPr>
          <w:rFonts w:ascii="Verdana" w:hAnsi="Verdana" w:cs="Calibri"/>
          <w:sz w:val="22"/>
        </w:rPr>
        <w:t>Our construction report found that 84% of construction employers agree the sector is suffering from critical skills gaps, while 76% are struggling to recruit the skilled people they need. Industry forecasts for 2024 to 2028 estimate that an additional 251,500 workers will be needed to meet current UK construction output.</w:t>
      </w:r>
      <w:r w:rsidRPr="00882E9C">
        <w:rPr>
          <w:rFonts w:ascii="Verdana" w:hAnsi="Verdana"/>
          <w:sz w:val="22"/>
        </w:rPr>
        <w:t xml:space="preserve"> </w:t>
      </w:r>
      <w:r w:rsidRPr="00882E9C">
        <w:rPr>
          <w:rFonts w:ascii="Verdana" w:hAnsi="Verdana" w:cs="Calibri"/>
          <w:sz w:val="22"/>
        </w:rPr>
        <w:t xml:space="preserve">Employers report </w:t>
      </w:r>
      <w:r w:rsidRPr="00882E9C">
        <w:rPr>
          <w:rFonts w:ascii="Verdana" w:hAnsi="Verdana" w:cs="Calibri"/>
          <w:sz w:val="22"/>
        </w:rPr>
        <w:t>particular gaps</w:t>
      </w:r>
      <w:r w:rsidRPr="00882E9C">
        <w:rPr>
          <w:rFonts w:ascii="Verdana" w:hAnsi="Verdana" w:cs="Calibri"/>
          <w:sz w:val="22"/>
        </w:rPr>
        <w:t xml:space="preserve"> in qualified tradespeople and sustainable construction skills, while local labour shortages were the most common barrier identified by employers. For new towns, this means workforce planning needs to identify not only how many workers are needed, but which skills are required, when they are needed, and whether they can be mobilised locally and regionally.</w:t>
      </w:r>
    </w:p>
    <w:p w:rsidR="004C5F7E" w:rsidRPr="00882E9C" w:rsidP="002D03C7">
      <w:pPr>
        <w:pStyle w:val="ListParagraph"/>
        <w:numPr>
          <w:ilvl w:val="0"/>
          <w:numId w:val="2"/>
        </w:numPr>
        <w:ind w:left="357" w:hanging="357"/>
        <w:contextualSpacing w:val="0"/>
        <w:rPr>
          <w:rFonts w:ascii="Verdana" w:hAnsi="Verdana" w:cs="Calibri"/>
          <w:sz w:val="22"/>
        </w:rPr>
      </w:pPr>
      <w:r w:rsidRPr="00882E9C">
        <w:rPr>
          <w:rFonts w:ascii="Verdana" w:hAnsi="Verdana" w:cs="Calibri"/>
          <w:sz w:val="22"/>
        </w:rPr>
        <w:t>This creates a direct challenge for the delivery of new towns. If the sector is already struggling to meet current demand, the Government and new town delivery vehicles will need to ensure that skills planning is built into delivery from the outset.</w:t>
      </w:r>
    </w:p>
    <w:p w:rsidR="004C5F7E" w:rsidRPr="00882E9C" w:rsidP="002D03C7">
      <w:pPr>
        <w:pStyle w:val="ListParagraph"/>
        <w:numPr>
          <w:ilvl w:val="0"/>
          <w:numId w:val="2"/>
        </w:numPr>
        <w:ind w:left="357" w:hanging="357"/>
        <w:contextualSpacing w:val="0"/>
        <w:rPr>
          <w:rFonts w:ascii="Verdana" w:hAnsi="Verdana" w:cs="Calibri"/>
          <w:color w:val="000000" w:themeColor="text1"/>
          <w:sz w:val="22"/>
        </w:rPr>
      </w:pPr>
      <w:r w:rsidRPr="00882E9C">
        <w:rPr>
          <w:rFonts w:ascii="Verdana" w:hAnsi="Verdana" w:cs="Calibri"/>
          <w:color w:val="000000" w:themeColor="text1"/>
          <w:sz w:val="22"/>
        </w:rPr>
        <w:t xml:space="preserve">You can find our full reports on </w:t>
      </w:r>
      <w:r w:rsidRPr="00882E9C">
        <w:rPr>
          <w:rFonts w:ascii="Verdana" w:hAnsi="Verdana" w:cs="Calibri"/>
          <w:i/>
          <w:iCs/>
          <w:color w:val="000000" w:themeColor="text1"/>
          <w:sz w:val="22"/>
        </w:rPr>
        <w:t>Foundations for the future: Building the skills to deliver 1.5 million homes</w:t>
      </w:r>
      <w:r w:rsidRPr="00882E9C">
        <w:rPr>
          <w:rFonts w:ascii="Verdana" w:hAnsi="Verdana" w:cs="Calibri"/>
          <w:color w:val="000000" w:themeColor="text1"/>
          <w:sz w:val="22"/>
        </w:rPr>
        <w:t xml:space="preserve"> here - </w:t>
      </w:r>
      <w:r>
        <w:fldChar w:fldCharType="begin"/>
      </w:r>
      <w:r>
        <w:instrText xml:space="preserve"> HYPERLINK "https://www.cityandguilds.com/news/July-2025/foundations-for-the-future" </w:instrText>
      </w:r>
      <w:r>
        <w:fldChar w:fldCharType="separate"/>
      </w:r>
      <w:r w:rsidRPr="00882E9C">
        <w:rPr>
          <w:rStyle w:val="Hyperlink"/>
          <w:rFonts w:ascii="Verdana" w:hAnsi="Verdana" w:cs="Calibri"/>
          <w:color w:val="000000" w:themeColor="text1"/>
          <w:sz w:val="22"/>
        </w:rPr>
        <w:t>https://www.cityandguilds.com/news/July-2025/foundations-for-the-future</w:t>
      </w:r>
      <w:r>
        <w:fldChar w:fldCharType="end"/>
      </w:r>
      <w:r w:rsidRPr="00882E9C">
        <w:rPr>
          <w:rFonts w:ascii="Verdana" w:hAnsi="Verdana" w:cs="Calibri"/>
          <w:color w:val="000000" w:themeColor="text1"/>
          <w:sz w:val="22"/>
        </w:rPr>
        <w:t xml:space="preserve"> and </w:t>
      </w:r>
      <w:r w:rsidRPr="00882E9C">
        <w:rPr>
          <w:rFonts w:ascii="Verdana" w:hAnsi="Verdana" w:cs="Calibri"/>
          <w:i/>
          <w:iCs/>
          <w:color w:val="000000" w:themeColor="text1"/>
          <w:sz w:val="22"/>
        </w:rPr>
        <w:t xml:space="preserve">Making Skills Work: The Path to Solving the Productivity Crisis </w:t>
      </w:r>
      <w:r w:rsidRPr="00882E9C">
        <w:rPr>
          <w:rFonts w:ascii="Verdana" w:hAnsi="Verdana" w:cs="Calibri"/>
          <w:color w:val="000000" w:themeColor="text1"/>
          <w:sz w:val="22"/>
        </w:rPr>
        <w:t xml:space="preserve">here - </w:t>
      </w:r>
      <w:r>
        <w:fldChar w:fldCharType="begin"/>
      </w:r>
      <w:r>
        <w:instrText xml:space="preserve"> HYPERLINK "https://www.cityandguilds.com/news/September-2024/productivity" </w:instrText>
      </w:r>
      <w:r>
        <w:fldChar w:fldCharType="separate"/>
      </w:r>
      <w:r w:rsidRPr="00882E9C">
        <w:rPr>
          <w:rStyle w:val="Hyperlink"/>
          <w:rFonts w:ascii="Verdana" w:hAnsi="Verdana" w:cs="Calibri"/>
          <w:color w:val="000000" w:themeColor="text1"/>
          <w:sz w:val="22"/>
        </w:rPr>
        <w:t>https://www.cityandguilds.com/news/September-2024/productivity</w:t>
      </w:r>
      <w:r>
        <w:fldChar w:fldCharType="end"/>
      </w:r>
      <w:r w:rsidRPr="00882E9C">
        <w:rPr>
          <w:rFonts w:ascii="Verdana" w:hAnsi="Verdana"/>
          <w:color w:val="000000" w:themeColor="text1"/>
          <w:sz w:val="22"/>
        </w:rPr>
        <w:t>.</w:t>
      </w:r>
    </w:p>
    <w:p w:rsidR="004C5F7E" w:rsidRPr="005B3073" w:rsidP="002D03C7">
      <w:pPr>
        <w:ind w:left="357" w:hanging="357"/>
        <w:rPr>
          <w:rFonts w:ascii="Verdana" w:hAnsi="Verdana" w:cs="Calibri"/>
          <w:b/>
          <w:bCs/>
          <w:sz w:val="22"/>
          <w:highlight w:val="yellow"/>
        </w:rPr>
      </w:pPr>
    </w:p>
    <w:p w:rsidR="004C5F7E" w:rsidRPr="007D1EC4" w:rsidP="002D03C7">
      <w:pPr>
        <w:ind w:left="357" w:hanging="357"/>
        <w:rPr>
          <w:rFonts w:ascii="Verdana" w:hAnsi="Verdana" w:cs="Calibri"/>
          <w:b/>
          <w:bCs/>
          <w:sz w:val="22"/>
        </w:rPr>
      </w:pPr>
      <w:r w:rsidRPr="007D1EC4">
        <w:rPr>
          <w:rFonts w:ascii="Verdana" w:hAnsi="Verdana" w:cs="Calibri"/>
          <w:b/>
          <w:bCs/>
          <w:sz w:val="22"/>
        </w:rPr>
        <w:t>Question 1: Once locations have been agreed, what are the factors limiting the physical construction of new towns?</w:t>
      </w:r>
    </w:p>
    <w:p w:rsidR="007D1EC4" w:rsidRPr="007467A9" w:rsidP="002D03C7">
      <w:pPr>
        <w:ind w:left="357" w:hanging="357"/>
        <w:rPr>
          <w:rFonts w:ascii="Verdana" w:hAnsi="Verdana" w:cs="Calibri"/>
          <w:i/>
          <w:iCs/>
          <w:sz w:val="22"/>
        </w:rPr>
      </w:pPr>
      <w:r w:rsidRPr="007467A9">
        <w:rPr>
          <w:rFonts w:ascii="Verdana" w:hAnsi="Verdana" w:cs="Calibri"/>
          <w:i/>
          <w:iCs/>
          <w:sz w:val="22"/>
        </w:rPr>
        <w:t>Workforce capacity is a limiting factor</w:t>
      </w:r>
    </w:p>
    <w:p w:rsidR="004C5F7E" w:rsidRPr="00882E9C" w:rsidP="002D03C7">
      <w:pPr>
        <w:pStyle w:val="ListParagraph"/>
        <w:numPr>
          <w:ilvl w:val="0"/>
          <w:numId w:val="2"/>
        </w:numPr>
        <w:ind w:left="357" w:hanging="357"/>
        <w:contextualSpacing w:val="0"/>
        <w:rPr>
          <w:rFonts w:ascii="Verdana" w:hAnsi="Verdana" w:cs="Calibri"/>
          <w:sz w:val="22"/>
        </w:rPr>
      </w:pPr>
      <w:r w:rsidRPr="00882E9C">
        <w:rPr>
          <w:rFonts w:ascii="Verdana" w:hAnsi="Verdana" w:cs="Calibri"/>
          <w:sz w:val="22"/>
        </w:rPr>
        <w:t>The construction sector is already facing significant labour and skills shortages. Our report found that more than half of business leaders are not confident that the UK construction sector will have the skilled workforce in place to meet targets for new homes over the next five years. The same proportion are not confident that the sector will have the skilled workforce required to deliver net-zero housing targets.</w:t>
      </w:r>
      <w:r w:rsidRPr="00882E9C">
        <w:rPr>
          <w:rFonts w:ascii="Verdana" w:hAnsi="Verdana"/>
          <w:sz w:val="22"/>
        </w:rPr>
        <w:t xml:space="preserve"> </w:t>
      </w:r>
      <w:r w:rsidRPr="00882E9C">
        <w:rPr>
          <w:rFonts w:ascii="Verdana" w:hAnsi="Verdana" w:cs="Calibri"/>
          <w:sz w:val="22"/>
        </w:rPr>
        <w:t>New towns will require a stronger domestic skills pipeline, including apprenticeships and training routes that are easier for employers to access. This should include models that help employers, particularly SMEs, share the cost and risk of taking on and training new entrants.</w:t>
      </w:r>
    </w:p>
    <w:p w:rsidR="008E1E68" w:rsidRPr="00276225" w:rsidP="002D03C7">
      <w:pPr>
        <w:ind w:left="357" w:hanging="357"/>
        <w:rPr>
          <w:rFonts w:ascii="Verdana" w:hAnsi="Verdana" w:cs="Calibri"/>
          <w:i/>
          <w:iCs/>
          <w:sz w:val="22"/>
        </w:rPr>
      </w:pPr>
      <w:r w:rsidRPr="00276225">
        <w:rPr>
          <w:rFonts w:ascii="Verdana" w:hAnsi="Verdana" w:cs="Calibri"/>
          <w:i/>
          <w:iCs/>
          <w:sz w:val="22"/>
        </w:rPr>
        <w:t>Housing targets require a larger domestic skills pipeline</w:t>
      </w:r>
    </w:p>
    <w:p w:rsidR="008E1E68" w:rsidRPr="00626BEF" w:rsidP="002D03C7">
      <w:pPr>
        <w:pStyle w:val="ListParagraph"/>
        <w:numPr>
          <w:ilvl w:val="0"/>
          <w:numId w:val="2"/>
        </w:numPr>
        <w:ind w:left="357" w:hanging="357"/>
        <w:contextualSpacing w:val="0"/>
        <w:rPr>
          <w:rFonts w:ascii="Verdana" w:hAnsi="Verdana" w:cs="Calibri"/>
          <w:sz w:val="22"/>
        </w:rPr>
      </w:pPr>
      <w:r w:rsidRPr="00882E9C">
        <w:rPr>
          <w:rFonts w:ascii="Verdana" w:hAnsi="Verdana" w:cs="Calibri"/>
          <w:sz w:val="22"/>
        </w:rPr>
        <w:t>Delivering 1.5 million new homes will require a substantial increase in the homebuilding workforce. Our report highlights that the sector would need the equivalent of 161,000 new workers, representing a 30% increase on the existing homebuilding workforce. This makes workforce planning central to whether new towns can be built at the scale and speed required.</w:t>
      </w:r>
    </w:p>
    <w:p w:rsidR="007D1EC4" w:rsidRPr="00276225" w:rsidP="002D03C7">
      <w:pPr>
        <w:ind w:left="357" w:hanging="357"/>
        <w:rPr>
          <w:rFonts w:ascii="Verdana" w:hAnsi="Verdana" w:cs="Calibri"/>
          <w:i/>
          <w:iCs/>
          <w:sz w:val="22"/>
        </w:rPr>
      </w:pPr>
      <w:r w:rsidRPr="00276225">
        <w:rPr>
          <w:rFonts w:ascii="Verdana" w:hAnsi="Verdana" w:cs="Calibri"/>
          <w:i/>
          <w:iCs/>
          <w:sz w:val="22"/>
        </w:rPr>
        <w:t xml:space="preserve">Shortages are concentrated in key areas </w:t>
      </w:r>
    </w:p>
    <w:p w:rsidR="004C5F7E" w:rsidRPr="00882E9C" w:rsidP="002D03C7">
      <w:pPr>
        <w:pStyle w:val="ListParagraph"/>
        <w:numPr>
          <w:ilvl w:val="0"/>
          <w:numId w:val="8"/>
        </w:numPr>
        <w:ind w:left="357" w:hanging="357"/>
        <w:contextualSpacing w:val="0"/>
        <w:rPr>
          <w:rFonts w:ascii="Verdana" w:hAnsi="Verdana" w:cs="Calibri"/>
          <w:sz w:val="22"/>
        </w:rPr>
      </w:pPr>
      <w:r w:rsidRPr="00882E9C">
        <w:rPr>
          <w:rFonts w:ascii="Verdana" w:hAnsi="Verdana" w:cs="Calibri"/>
          <w:sz w:val="22"/>
        </w:rPr>
        <w:t>These are not just general recruitment pressures. Employers report gaps in the areas most critical to housing delivery, with 49% citing a lack of qualified tradespeople and 45% citing a lack of tradespeople for sustainable construction. These skills will be essential not only for building new homes, but for ensuring that new towns meet higher expectations on quality, sustainability and long-term resilience. For new towns, this means skills planning must move beyond overall workforce numbers and identify the specific trades and technical roles needed at each stage of delivery, including where shortages are most acute locally and regionally.</w:t>
      </w:r>
    </w:p>
    <w:p w:rsidR="008E1E68" w:rsidRPr="00276225" w:rsidP="002D03C7">
      <w:pPr>
        <w:ind w:left="357" w:hanging="357"/>
        <w:rPr>
          <w:rFonts w:ascii="Verdana" w:hAnsi="Verdana" w:cs="Calibri"/>
          <w:i/>
          <w:iCs/>
          <w:sz w:val="22"/>
        </w:rPr>
      </w:pPr>
      <w:r w:rsidRPr="00276225">
        <w:rPr>
          <w:rFonts w:ascii="Verdana" w:hAnsi="Verdana" w:cs="Calibri"/>
          <w:i/>
          <w:iCs/>
          <w:sz w:val="22"/>
        </w:rPr>
        <w:t xml:space="preserve">Local labour shortages will affect delivery </w:t>
      </w:r>
    </w:p>
    <w:p w:rsidR="004C5F7E" w:rsidRPr="007D1EC4" w:rsidP="002D03C7">
      <w:pPr>
        <w:pStyle w:val="ListParagraph"/>
        <w:numPr>
          <w:ilvl w:val="0"/>
          <w:numId w:val="7"/>
        </w:numPr>
        <w:ind w:left="357" w:hanging="357"/>
        <w:contextualSpacing w:val="0"/>
        <w:rPr>
          <w:rFonts w:ascii="Verdana" w:hAnsi="Verdana" w:cs="Calibri"/>
          <w:sz w:val="22"/>
        </w:rPr>
      </w:pPr>
      <w:r w:rsidRPr="007D1EC4">
        <w:rPr>
          <w:rFonts w:ascii="Verdana" w:hAnsi="Verdana" w:cs="Calibri"/>
          <w:sz w:val="22"/>
        </w:rPr>
        <w:t>Our report found that the most common barrier identified by employers was a shortage of labour in local areas, cited by 41%. This matters for new towns because delivery will depend on whether enough skilled workers can be mobilised locally and regionally, not just whether there is national policy ambition. Poor perceptions of construction and weak learner demand could also limit the future pipeline, making it harder to attract young people and career changers into the sector.</w:t>
      </w:r>
      <w:r w:rsidRPr="007D1EC4">
        <w:rPr>
          <w:rFonts w:ascii="Verdana" w:hAnsi="Verdana"/>
          <w:sz w:val="22"/>
        </w:rPr>
        <w:t xml:space="preserve"> </w:t>
      </w:r>
      <w:r w:rsidRPr="007D1EC4">
        <w:rPr>
          <w:rFonts w:ascii="Verdana" w:hAnsi="Verdana" w:cs="Calibri"/>
          <w:sz w:val="22"/>
        </w:rPr>
        <w:t>There is also a transition challenge between training and employment. FE based routes need to be better connected to site based experience and employer recognised competence, so learners can move more easily from training into construction roles.</w:t>
      </w:r>
    </w:p>
    <w:p w:rsidR="004C5F7E" w:rsidRPr="005B3073" w:rsidP="002D03C7">
      <w:pPr>
        <w:ind w:left="357" w:hanging="357"/>
        <w:rPr>
          <w:rFonts w:ascii="Verdana" w:hAnsi="Verdana" w:cs="Calibri"/>
          <w:sz w:val="22"/>
        </w:rPr>
      </w:pPr>
    </w:p>
    <w:p w:rsidR="004C5F7E" w:rsidRPr="00276225" w:rsidP="002D03C7">
      <w:pPr>
        <w:ind w:left="357" w:hanging="357"/>
        <w:rPr>
          <w:rFonts w:ascii="Verdana" w:hAnsi="Verdana" w:cs="Calibri"/>
          <w:i/>
          <w:iCs/>
          <w:sz w:val="22"/>
        </w:rPr>
      </w:pPr>
      <w:r w:rsidRPr="005B3073">
        <w:rPr>
          <w:rFonts w:ascii="Verdana" w:hAnsi="Verdana" w:cs="Calibri"/>
          <w:b/>
          <w:bCs/>
          <w:sz w:val="22"/>
        </w:rPr>
        <w:t>Question 4: What can the Government and new town delivery vehicles do in the short term to ensure that construction of new towns is successful?</w:t>
      </w:r>
    </w:p>
    <w:p w:rsidR="008E1E68" w:rsidRPr="00276225" w:rsidP="002D03C7">
      <w:pPr>
        <w:ind w:left="357" w:hanging="357"/>
        <w:rPr>
          <w:rFonts w:ascii="Verdana" w:hAnsi="Verdana" w:cs="Calibri"/>
          <w:i/>
          <w:iCs/>
          <w:sz w:val="22"/>
        </w:rPr>
      </w:pPr>
      <w:r w:rsidRPr="00276225">
        <w:rPr>
          <w:rFonts w:ascii="Verdana" w:hAnsi="Verdana" w:cs="Calibri"/>
          <w:i/>
          <w:iCs/>
          <w:sz w:val="22"/>
        </w:rPr>
        <w:t xml:space="preserve">Build skills planning into delivery from the start </w:t>
      </w:r>
    </w:p>
    <w:p w:rsidR="004C5F7E" w:rsidRPr="007D1EC4" w:rsidP="002D03C7">
      <w:pPr>
        <w:pStyle w:val="ListParagraph"/>
        <w:numPr>
          <w:ilvl w:val="0"/>
          <w:numId w:val="9"/>
        </w:numPr>
        <w:ind w:left="357" w:hanging="357"/>
        <w:contextualSpacing w:val="0"/>
        <w:rPr>
          <w:rFonts w:ascii="Verdana" w:hAnsi="Verdana" w:cs="Calibri"/>
          <w:sz w:val="22"/>
        </w:rPr>
      </w:pPr>
      <w:r w:rsidRPr="007D1EC4">
        <w:rPr>
          <w:rFonts w:ascii="Verdana" w:hAnsi="Verdana" w:cs="Calibri"/>
          <w:sz w:val="22"/>
        </w:rPr>
        <w:t>New town delivery vehicles should consider workforce capacity at the earliest stage of delivery planning, before construction demand peaks. Our report shows that funding and access to training are already major constraints, with 60% of providers and 44% of employers citing lack of funding as the top challenge in delivering training. Only 17% of employers say they are always able to fund the training they need. This means skills planning cannot be left until projects are ready to begin on site.</w:t>
      </w:r>
    </w:p>
    <w:p w:rsidR="008E1E68" w:rsidRPr="00276225" w:rsidP="002D03C7">
      <w:pPr>
        <w:ind w:left="357" w:hanging="357"/>
        <w:rPr>
          <w:rFonts w:ascii="Verdana" w:hAnsi="Verdana" w:cs="Calibri"/>
          <w:i/>
          <w:iCs/>
          <w:sz w:val="22"/>
        </w:rPr>
      </w:pPr>
      <w:r w:rsidRPr="00276225">
        <w:rPr>
          <w:rFonts w:ascii="Verdana" w:hAnsi="Verdana" w:cs="Calibri"/>
          <w:i/>
          <w:iCs/>
          <w:sz w:val="22"/>
        </w:rPr>
        <w:t>Funding complexity</w:t>
      </w:r>
    </w:p>
    <w:p w:rsidR="004C5F7E" w:rsidRPr="007D1EC4" w:rsidP="002D03C7">
      <w:pPr>
        <w:pStyle w:val="ListParagraph"/>
        <w:numPr>
          <w:ilvl w:val="0"/>
          <w:numId w:val="9"/>
        </w:numPr>
        <w:ind w:left="357" w:hanging="357"/>
        <w:contextualSpacing w:val="0"/>
        <w:rPr>
          <w:rFonts w:ascii="Verdana" w:hAnsi="Verdana" w:cs="Calibri"/>
          <w:sz w:val="22"/>
        </w:rPr>
      </w:pPr>
      <w:r w:rsidRPr="007D1EC4">
        <w:rPr>
          <w:rFonts w:ascii="Verdana" w:hAnsi="Verdana" w:cs="Calibri"/>
          <w:sz w:val="22"/>
        </w:rPr>
        <w:t>The issue is not simply the absence of funding, but the complexity of the funding landscape. Construction training draws on several routes, including state grant funding for 16-18 provision, Growth and Skills Levy funding, the Adult Skills Budget and CITB levy funding for wider sector training. New town delivery vehicles should help employers and providers navigate these routes more easily, so funding can be aligned to local workforce needs. The new network of Construction Technical Excellence Colleges (CTECs) could also help improve access to specialist training, provided they are closely linked to local delivery plans and employer demand.</w:t>
      </w:r>
    </w:p>
    <w:p w:rsidR="007D1EC4" w:rsidRPr="00276225" w:rsidP="002D03C7">
      <w:pPr>
        <w:ind w:left="357" w:hanging="357"/>
        <w:rPr>
          <w:rFonts w:ascii="Verdana" w:hAnsi="Verdana" w:cs="Calibri"/>
          <w:i/>
          <w:iCs/>
          <w:sz w:val="22"/>
        </w:rPr>
      </w:pPr>
      <w:r w:rsidRPr="00276225">
        <w:rPr>
          <w:rFonts w:ascii="Verdana" w:hAnsi="Verdana" w:cs="Calibri"/>
          <w:i/>
          <w:iCs/>
          <w:sz w:val="22"/>
        </w:rPr>
        <w:t xml:space="preserve">Join up local employers, colleges and training providers </w:t>
      </w:r>
    </w:p>
    <w:p w:rsidR="004C5F7E" w:rsidRPr="007D1EC4" w:rsidP="002D03C7">
      <w:pPr>
        <w:pStyle w:val="ListParagraph"/>
        <w:numPr>
          <w:ilvl w:val="0"/>
          <w:numId w:val="9"/>
        </w:numPr>
        <w:ind w:left="357" w:hanging="357"/>
        <w:contextualSpacing w:val="0"/>
        <w:rPr>
          <w:rFonts w:ascii="Verdana" w:hAnsi="Verdana" w:cs="Calibri"/>
          <w:sz w:val="22"/>
        </w:rPr>
      </w:pPr>
      <w:r w:rsidRPr="007D1EC4">
        <w:rPr>
          <w:rFonts w:ascii="Verdana" w:hAnsi="Verdana" w:cs="Calibri"/>
          <w:sz w:val="22"/>
        </w:rPr>
        <w:t>Delivery vehicles should work with local employers, colleges and training providers to understand the trades and skills that will be needed, when they will be needed, and whether local training capacity is in place. Our report recommends closer collaboration between schools, employers and industry, including meaningful work experience. This would help ensure the skills pipeline is shaped around real construction demand, rather than planned separately from it. Mayoral Strategic Authorities and strategic authorities are well placed to support this convening role, particularly where they already bring together local skills planning, employer engagement and devolved adult skills funding.</w:t>
      </w:r>
    </w:p>
    <w:p w:rsidR="008E1E68" w:rsidRPr="00276225" w:rsidP="002D03C7">
      <w:pPr>
        <w:ind w:left="357" w:hanging="357"/>
        <w:rPr>
          <w:rFonts w:ascii="Verdana" w:hAnsi="Verdana" w:cs="Calibri"/>
          <w:i/>
          <w:iCs/>
          <w:sz w:val="22"/>
        </w:rPr>
      </w:pPr>
      <w:r w:rsidRPr="00276225">
        <w:rPr>
          <w:rFonts w:ascii="Verdana" w:hAnsi="Verdana" w:cs="Calibri"/>
          <w:i/>
          <w:iCs/>
          <w:sz w:val="22"/>
        </w:rPr>
        <w:t xml:space="preserve">Make training more flexible and easier to access </w:t>
      </w:r>
    </w:p>
    <w:p w:rsidR="004C5F7E" w:rsidRPr="007D1EC4" w:rsidP="002D03C7">
      <w:pPr>
        <w:pStyle w:val="ListParagraph"/>
        <w:numPr>
          <w:ilvl w:val="0"/>
          <w:numId w:val="9"/>
        </w:numPr>
        <w:ind w:left="357" w:hanging="357"/>
        <w:contextualSpacing w:val="0"/>
        <w:rPr>
          <w:rFonts w:ascii="Verdana" w:hAnsi="Verdana" w:cs="Calibri"/>
          <w:sz w:val="22"/>
        </w:rPr>
      </w:pPr>
      <w:r w:rsidRPr="007D1EC4">
        <w:rPr>
          <w:rFonts w:ascii="Verdana" w:hAnsi="Verdana" w:cs="Calibri"/>
          <w:sz w:val="22"/>
        </w:rPr>
        <w:t>New towns will require both new entrants and existing workers to develop the right skills over time. Our report found that 40% of employers would like government to introduce more funded bite-sized training, including modules, short courses and in-work training. This would help workers train throughout their careers, while allowing employers to respond more quickly to changing demand. Which the government has recognised, through apprenticeship units and the existing CITB training offer. For new towns, the opportunity is to ensure these routes are responsive to employer demand and can be used quickly as workforce needs change across different phases of delivery.</w:t>
      </w:r>
    </w:p>
    <w:p w:rsidR="007D1EC4" w:rsidRPr="00276225" w:rsidP="002D03C7">
      <w:pPr>
        <w:ind w:left="357" w:hanging="357"/>
        <w:rPr>
          <w:rFonts w:ascii="Verdana" w:hAnsi="Verdana" w:cs="Calibri"/>
          <w:i/>
          <w:iCs/>
          <w:sz w:val="22"/>
        </w:rPr>
      </w:pPr>
      <w:r w:rsidRPr="00276225">
        <w:rPr>
          <w:rFonts w:ascii="Verdana" w:hAnsi="Verdana" w:cs="Calibri"/>
          <w:i/>
          <w:iCs/>
          <w:sz w:val="22"/>
        </w:rPr>
        <w:t xml:space="preserve">Support people to stay and progress in construction </w:t>
      </w:r>
    </w:p>
    <w:p w:rsidR="008E1E68" w:rsidRPr="007D1EC4" w:rsidP="002D03C7">
      <w:pPr>
        <w:ind w:left="357" w:hanging="357"/>
        <w:rPr>
          <w:rFonts w:ascii="Verdana" w:hAnsi="Verdana" w:cs="Calibri"/>
          <w:sz w:val="22"/>
        </w:rPr>
      </w:pPr>
    </w:p>
    <w:p w:rsidR="004C5F7E" w:rsidRPr="007D1EC4" w:rsidP="002D03C7">
      <w:pPr>
        <w:pStyle w:val="ListParagraph"/>
        <w:numPr>
          <w:ilvl w:val="0"/>
          <w:numId w:val="9"/>
        </w:numPr>
        <w:ind w:left="357" w:hanging="357"/>
        <w:contextualSpacing w:val="0"/>
        <w:rPr>
          <w:rFonts w:ascii="Verdana" w:hAnsi="Verdana" w:cs="Calibri"/>
          <w:sz w:val="22"/>
        </w:rPr>
      </w:pPr>
      <w:r w:rsidRPr="007D1EC4">
        <w:rPr>
          <w:rFonts w:ascii="Verdana" w:hAnsi="Verdana" w:cs="Calibri"/>
          <w:sz w:val="22"/>
        </w:rPr>
        <w:t xml:space="preserve">Attracting people into construction is only part of the challenge. Our report found that 66% of current construction learners recognise the value of gaining a qualification for career progression, but poor completion and retention rates remain a barrier. Government and delivery vehicles should therefore support clearer progression routes, employer engagement and mentoring, so that people entering construction training are more likely to complete and build long-term careers in the sector. This is made harder by the structure of the construction sector, which has a high proportion of SMEs and sole traders. Smaller employers may have less capacity to provide formal progression routes, mentoring or time away from site for training, even where they recognise the need to develop and retain talent. New town delivery vehicles should therefore consider how local skills partnerships can help smaller firms engage in training and progression without placing </w:t>
      </w:r>
      <w:r w:rsidRPr="007D1EC4">
        <w:rPr>
          <w:rFonts w:ascii="Verdana" w:hAnsi="Verdana" w:cs="Calibri"/>
          <w:sz w:val="22"/>
        </w:rPr>
        <w:t>all of</w:t>
      </w:r>
      <w:r w:rsidRPr="007D1EC4">
        <w:rPr>
          <w:rFonts w:ascii="Verdana" w:hAnsi="Verdana" w:cs="Calibri"/>
          <w:sz w:val="22"/>
        </w:rPr>
        <w:t xml:space="preserve"> the administrative or financial burden on individual employers.</w:t>
      </w:r>
    </w:p>
    <w:p w:rsidR="008E1E68" w:rsidRPr="00276225" w:rsidP="002D03C7">
      <w:pPr>
        <w:ind w:left="357" w:hanging="357"/>
        <w:rPr>
          <w:rFonts w:ascii="Verdana" w:hAnsi="Verdana" w:cs="Calibri"/>
          <w:i/>
          <w:iCs/>
          <w:sz w:val="22"/>
        </w:rPr>
      </w:pPr>
      <w:r w:rsidRPr="00276225">
        <w:rPr>
          <w:rFonts w:ascii="Verdana" w:hAnsi="Verdana" w:cs="Calibri"/>
          <w:i/>
          <w:iCs/>
          <w:sz w:val="22"/>
        </w:rPr>
        <w:t xml:space="preserve">Build sustainable construction skills into the pipeline </w:t>
      </w:r>
    </w:p>
    <w:p w:rsidR="004C5F7E" w:rsidRPr="007467A9" w:rsidP="002D03C7">
      <w:pPr>
        <w:pStyle w:val="ListParagraph"/>
        <w:numPr>
          <w:ilvl w:val="0"/>
          <w:numId w:val="10"/>
        </w:numPr>
        <w:ind w:left="357" w:hanging="357"/>
        <w:contextualSpacing w:val="0"/>
        <w:rPr>
          <w:rFonts w:ascii="Verdana" w:hAnsi="Verdana" w:cs="Calibri"/>
          <w:sz w:val="22"/>
        </w:rPr>
      </w:pPr>
      <w:r w:rsidRPr="007D1EC4">
        <w:rPr>
          <w:rFonts w:ascii="Verdana" w:hAnsi="Verdana" w:cs="Calibri"/>
          <w:sz w:val="22"/>
        </w:rPr>
        <w:t xml:space="preserve">New towns will need workers with the skills to support sustainable construction and low-carbon homes. Our report found that only 7% of employers do not expect to need green skills in the next five years. Among learners, 65% expect to need knowledge of sustainable construction practices and 63% expect to need training in sustainable materials, yet only 51% have received green skills training so far. Sustainable construction skills should be built into local workforce planning from the outset, with employers and workers needing support to take time away from site to undertake this training. Targeted incentives could help offset the </w:t>
      </w:r>
      <w:r w:rsidRPr="007D1EC4">
        <w:rPr>
          <w:rFonts w:ascii="Verdana" w:hAnsi="Verdana" w:cs="Calibri"/>
          <w:sz w:val="22"/>
        </w:rPr>
        <w:t>short term</w:t>
      </w:r>
      <w:r w:rsidRPr="007D1EC4">
        <w:rPr>
          <w:rFonts w:ascii="Verdana" w:hAnsi="Verdana" w:cs="Calibri"/>
          <w:sz w:val="22"/>
        </w:rPr>
        <w:t xml:space="preserve"> cost of releasing workers, while building the sustainable construction skills needed for future delivery.</w:t>
      </w:r>
    </w:p>
    <w:p w:rsidR="008E1E68" w:rsidRPr="005B3073" w:rsidP="002D03C7">
      <w:pPr>
        <w:ind w:left="357" w:hanging="357"/>
        <w:rPr>
          <w:rFonts w:ascii="Verdana" w:hAnsi="Verdana" w:cs="Calibri"/>
          <w:b/>
          <w:bCs/>
          <w:sz w:val="22"/>
        </w:rPr>
      </w:pPr>
      <w:r w:rsidRPr="005B3073">
        <w:rPr>
          <w:rFonts w:ascii="Verdana" w:hAnsi="Verdana" w:cs="Calibri"/>
          <w:b/>
          <w:bCs/>
          <w:sz w:val="22"/>
        </w:rPr>
        <w:t>Question 5: How can the Government give assurance to suppliers, builders and developers that new towns are a viable source of business and a credible investment opportunity?</w:t>
      </w:r>
    </w:p>
    <w:p w:rsidR="007D1EC4" w:rsidRPr="007467A9" w:rsidP="002D03C7">
      <w:pPr>
        <w:ind w:left="357" w:hanging="357"/>
        <w:rPr>
          <w:rFonts w:ascii="Verdana" w:hAnsi="Verdana" w:cs="Calibri"/>
          <w:i/>
          <w:iCs/>
          <w:sz w:val="22"/>
        </w:rPr>
      </w:pPr>
      <w:r w:rsidRPr="007467A9">
        <w:rPr>
          <w:rFonts w:ascii="Verdana" w:hAnsi="Verdana" w:cs="Calibri"/>
          <w:i/>
          <w:iCs/>
          <w:sz w:val="22"/>
        </w:rPr>
        <w:t xml:space="preserve">Provide confidence in long term demand </w:t>
      </w:r>
    </w:p>
    <w:p w:rsidR="008E1E68" w:rsidRPr="00276225" w:rsidP="002D03C7">
      <w:pPr>
        <w:pStyle w:val="ListParagraph"/>
        <w:numPr>
          <w:ilvl w:val="0"/>
          <w:numId w:val="11"/>
        </w:numPr>
        <w:ind w:left="357" w:hanging="357"/>
        <w:contextualSpacing w:val="0"/>
        <w:rPr>
          <w:rFonts w:ascii="Verdana" w:hAnsi="Verdana" w:cs="Calibri"/>
          <w:sz w:val="22"/>
        </w:rPr>
      </w:pPr>
      <w:r w:rsidRPr="007D1EC4">
        <w:rPr>
          <w:rFonts w:ascii="Verdana" w:hAnsi="Verdana" w:cs="Calibri"/>
          <w:sz w:val="22"/>
        </w:rPr>
        <w:t>Employers are more likely to invest in training and workforce development when there is confidence in the future pipeline of work. Our report found that uncertainty about future demand can cause construction businesses to hesitate when investing in training, particularly where skills relate to longer term plans rather than immediate needs. For new towns, government and delivery vehicles should provide clear signals on phasing, expected construction timelines and future workforce demand, so employers can plan with greater confidence. A visible mid to long term pipeline would help turn housing ambition into recruitment, training and investment decisions across the construction supply chain.</w:t>
      </w:r>
    </w:p>
    <w:p w:rsidR="007D1EC4" w:rsidRPr="008E1E68" w:rsidP="002D03C7">
      <w:pPr>
        <w:ind w:left="357" w:hanging="357"/>
        <w:rPr>
          <w:rFonts w:ascii="Verdana" w:hAnsi="Verdana" w:cs="Calibri"/>
          <w:b/>
          <w:bCs/>
          <w:sz w:val="22"/>
        </w:rPr>
      </w:pPr>
      <w:r w:rsidRPr="008E1E68">
        <w:rPr>
          <w:rFonts w:ascii="Verdana" w:hAnsi="Verdana" w:cs="Calibri"/>
          <w:b/>
          <w:bCs/>
          <w:sz w:val="22"/>
        </w:rPr>
        <w:t xml:space="preserve">Make training part of the business case </w:t>
      </w:r>
    </w:p>
    <w:p w:rsidR="008E1E68" w:rsidRPr="00276225" w:rsidP="002D03C7">
      <w:pPr>
        <w:pStyle w:val="ListParagraph"/>
        <w:numPr>
          <w:ilvl w:val="0"/>
          <w:numId w:val="12"/>
        </w:numPr>
        <w:ind w:left="357" w:hanging="357"/>
        <w:contextualSpacing w:val="0"/>
        <w:rPr>
          <w:rFonts w:ascii="Verdana" w:hAnsi="Verdana" w:cs="Calibri"/>
          <w:b/>
          <w:bCs/>
          <w:sz w:val="22"/>
        </w:rPr>
      </w:pPr>
      <w:r w:rsidRPr="008E1E68">
        <w:rPr>
          <w:rFonts w:ascii="Verdana" w:hAnsi="Verdana" w:cs="Calibri"/>
          <w:sz w:val="22"/>
        </w:rPr>
        <w:t xml:space="preserve">Skills investment should be presented as part of the solution to delivery, not just as an added cost for employers. Our report recommends shifting the </w:t>
      </w:r>
      <w:r w:rsidRPr="008E1E68">
        <w:rPr>
          <w:rFonts w:ascii="Verdana" w:hAnsi="Verdana" w:cs="Calibri"/>
          <w:sz w:val="22"/>
        </w:rPr>
        <w:t xml:space="preserve">narrative around </w:t>
      </w:r>
      <w:r w:rsidRPr="008E1E68">
        <w:rPr>
          <w:rFonts w:ascii="Verdana" w:hAnsi="Verdana" w:cs="Calibri"/>
          <w:sz w:val="22"/>
        </w:rPr>
        <w:t>training</w:t>
      </w:r>
      <w:r w:rsidRPr="008E1E68">
        <w:rPr>
          <w:rFonts w:ascii="Verdana" w:hAnsi="Verdana" w:cs="Calibri"/>
          <w:sz w:val="22"/>
        </w:rPr>
        <w:t xml:space="preserve"> so it is seen as a necessary investment to secure existing and new business, with a clearer link to productivity, efficiency, retention and recruitment. This would help suppliers, builders and developers see workforce development as part of preparing for new town delivery. Procurement could play a role in supporting this shift, particularly where public sector bodies, Mayoral Strategic Authorities or new town delivery vehicles are shaping major construction pipelines. Where appropriate, procurement processes should encourage suppliers to show how they will support local skills development, apprenticeships, progression and employer provider partnerships as part of delivery. This would help make workforce development a practical part of the business case, rather than a separate activity outside the project.</w:t>
      </w:r>
    </w:p>
    <w:p w:rsidR="007D1EC4" w:rsidP="002D03C7">
      <w:pPr>
        <w:pStyle w:val="ListParagraph"/>
        <w:ind w:left="357" w:hanging="357"/>
        <w:contextualSpacing w:val="0"/>
        <w:rPr>
          <w:rFonts w:ascii="Verdana" w:hAnsi="Verdana" w:cs="Calibri"/>
          <w:sz w:val="22"/>
        </w:rPr>
      </w:pPr>
      <w:r w:rsidRPr="007D1EC4">
        <w:rPr>
          <w:rFonts w:ascii="Verdana" w:hAnsi="Verdana" w:cs="Calibri"/>
          <w:b/>
          <w:bCs/>
          <w:sz w:val="22"/>
        </w:rPr>
        <w:t xml:space="preserve">Make funding clearer and easier to use </w:t>
      </w:r>
    </w:p>
    <w:p w:rsidR="008E1E68" w:rsidRPr="00276225" w:rsidP="002D03C7">
      <w:pPr>
        <w:pStyle w:val="ListParagraph"/>
        <w:numPr>
          <w:ilvl w:val="0"/>
          <w:numId w:val="13"/>
        </w:numPr>
        <w:ind w:left="357" w:hanging="357"/>
        <w:contextualSpacing w:val="0"/>
        <w:rPr>
          <w:rFonts w:ascii="Verdana" w:hAnsi="Verdana" w:cs="Calibri"/>
          <w:sz w:val="22"/>
        </w:rPr>
      </w:pPr>
      <w:r w:rsidRPr="007D1EC4">
        <w:rPr>
          <w:rFonts w:ascii="Verdana" w:hAnsi="Verdana" w:cs="Calibri"/>
          <w:sz w:val="22"/>
        </w:rPr>
        <w:t xml:space="preserve">Employers need greater clarity on the funding available to support training. Our report highlights that fewer than one in five employers say they are always able to fund necessary training, while more than half say they are unable to fund training either all or some of the time. We would also recommend greater clarity on changes to the Growth and Skills Levy, including more flexibility for in-work training and upskilling. </w:t>
      </w:r>
    </w:p>
    <w:p w:rsidR="007D1EC4" w:rsidRPr="008E1E68" w:rsidP="002D03C7">
      <w:pPr>
        <w:ind w:left="357" w:hanging="357"/>
        <w:rPr>
          <w:rFonts w:ascii="Verdana" w:hAnsi="Verdana" w:cs="Calibri"/>
          <w:sz w:val="22"/>
        </w:rPr>
      </w:pPr>
      <w:r w:rsidRPr="008E1E68">
        <w:rPr>
          <w:rFonts w:ascii="Verdana" w:hAnsi="Verdana" w:cs="Calibri"/>
          <w:b/>
          <w:bCs/>
          <w:sz w:val="22"/>
        </w:rPr>
        <w:t xml:space="preserve">Support SMEs to participate </w:t>
      </w:r>
    </w:p>
    <w:p w:rsidR="008E1E68" w:rsidRPr="00276225" w:rsidP="002D03C7">
      <w:pPr>
        <w:pStyle w:val="ListParagraph"/>
        <w:numPr>
          <w:ilvl w:val="0"/>
          <w:numId w:val="14"/>
        </w:numPr>
        <w:ind w:left="357" w:hanging="357"/>
        <w:contextualSpacing w:val="0"/>
        <w:rPr>
          <w:rFonts w:ascii="Verdana" w:hAnsi="Verdana" w:cs="Calibri"/>
          <w:sz w:val="22"/>
        </w:rPr>
      </w:pPr>
      <w:r w:rsidRPr="007D1EC4">
        <w:rPr>
          <w:rFonts w:ascii="Verdana" w:hAnsi="Verdana" w:cs="Calibri"/>
          <w:sz w:val="22"/>
        </w:rPr>
        <w:t>SMEs are a vital part of the construction supply chain, but our report notes that current funding models are seen by employers as too complex, too administration-heavy and not financially viable for some. If new towns are to be a credible opportunity for the whole supply chain, delivery vehicles and government should help smaller firms access training routes, apprenticeships and local skills partnerships.</w:t>
      </w:r>
    </w:p>
    <w:p w:rsidR="007D1EC4" w:rsidRPr="00626BEF" w:rsidP="002D03C7">
      <w:pPr>
        <w:ind w:left="357" w:hanging="357"/>
        <w:rPr>
          <w:rFonts w:ascii="Verdana" w:hAnsi="Verdana" w:cs="Calibri"/>
          <w:sz w:val="22"/>
        </w:rPr>
      </w:pPr>
      <w:r w:rsidRPr="00626BEF">
        <w:rPr>
          <w:rFonts w:ascii="Verdana" w:hAnsi="Verdana" w:cs="Calibri"/>
          <w:b/>
          <w:bCs/>
          <w:sz w:val="22"/>
        </w:rPr>
        <w:t xml:space="preserve">Summary </w:t>
      </w:r>
    </w:p>
    <w:p w:rsidR="004C5F7E" w:rsidP="002D03C7">
      <w:pPr>
        <w:pStyle w:val="ListParagraph"/>
        <w:numPr>
          <w:ilvl w:val="0"/>
          <w:numId w:val="15"/>
        </w:numPr>
        <w:ind w:left="357" w:hanging="357"/>
        <w:contextualSpacing w:val="0"/>
        <w:rPr>
          <w:rFonts w:ascii="Verdana" w:hAnsi="Verdana" w:cs="Calibri"/>
          <w:sz w:val="22"/>
        </w:rPr>
      </w:pPr>
      <w:r w:rsidRPr="007D1EC4">
        <w:rPr>
          <w:rFonts w:ascii="Verdana" w:hAnsi="Verdana" w:cs="Calibri"/>
          <w:sz w:val="22"/>
        </w:rPr>
        <w:t>The delivery of new towns will depend on more than planning approval and capital investment. It will also require a skilled construction workforce that is large enough, locally available and able to meet demand over a sustained period. Our evidence shows that the sector is already facing significant skills and labour shortages, with employers struggling to recruit, providers facing funding constraints, and learners needing clearer routes into long-term construction careers. New town delivery vehicles should therefore treat workforce planning as part of the core delivery model from the outset, working with employers, colleges, training providers and local partners. Without a stronger domestic skills pipeline, there is a risk that the ambition for new towns will be held back by the workforce needed to build them.</w:t>
      </w:r>
    </w:p>
    <w:p w:rsidR="00F85A33" w:rsidRPr="00F85A33" w:rsidP="00DC11A8">
      <w:pPr>
        <w:pStyle w:val="ListParagraph"/>
        <w:ind w:left="357" w:hanging="357"/>
        <w:contextualSpacing w:val="0"/>
        <w:rPr>
          <w:rFonts w:ascii="Verdana" w:hAnsi="Verdana" w:cs="Calibri"/>
          <w:i/>
          <w:iCs/>
          <w:sz w:val="22"/>
        </w:rPr>
      </w:pPr>
      <w:r w:rsidRPr="00F85A33">
        <w:rPr>
          <w:rFonts w:ascii="Verdana" w:hAnsi="Verdana" w:cs="Calibri"/>
          <w:i/>
          <w:iCs/>
          <w:sz w:val="22"/>
        </w:rPr>
        <w:t xml:space="preserve">10 July </w:t>
      </w:r>
      <w:r w:rsidR="00DC11A8">
        <w:rPr>
          <w:rFonts w:ascii="Verdana" w:hAnsi="Verdana" w:cs="Calibri"/>
          <w:i/>
          <w:iCs/>
          <w:sz w:val="22"/>
        </w:rPr>
        <w:t>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2493CAE"/>
    <w:multiLevelType w:val="hybridMultilevel"/>
    <w:tmpl w:val="4A2AC4E0"/>
    <w:lvl w:ilvl="0">
      <w:start w:val="1"/>
      <w:numFmt w:val="decimal"/>
      <w:lvlText w:val="%1."/>
      <w:lvlJc w:val="left"/>
      <w:pPr>
        <w:ind w:left="1434" w:hanging="360"/>
      </w:pPr>
      <w:rPr>
        <w:b w:val="0"/>
        <w:bCs w:val="0"/>
      </w:rPr>
    </w:lvl>
    <w:lvl w:ilvl="1" w:tentative="1">
      <w:start w:val="1"/>
      <w:numFmt w:val="lowerLetter"/>
      <w:lvlText w:val="%2."/>
      <w:lvlJc w:val="left"/>
      <w:pPr>
        <w:ind w:left="1797" w:hanging="360"/>
      </w:pPr>
    </w:lvl>
    <w:lvl w:ilvl="2" w:tentative="1">
      <w:start w:val="1"/>
      <w:numFmt w:val="lowerRoman"/>
      <w:lvlText w:val="%3."/>
      <w:lvlJc w:val="right"/>
      <w:pPr>
        <w:ind w:left="2517" w:hanging="180"/>
      </w:pPr>
    </w:lvl>
    <w:lvl w:ilvl="3" w:tentative="1">
      <w:start w:val="1"/>
      <w:numFmt w:val="decimal"/>
      <w:lvlText w:val="%4."/>
      <w:lvlJc w:val="left"/>
      <w:pPr>
        <w:ind w:left="3237" w:hanging="360"/>
      </w:pPr>
    </w:lvl>
    <w:lvl w:ilvl="4" w:tentative="1">
      <w:start w:val="1"/>
      <w:numFmt w:val="lowerLetter"/>
      <w:lvlText w:val="%5."/>
      <w:lvlJc w:val="left"/>
      <w:pPr>
        <w:ind w:left="3957" w:hanging="360"/>
      </w:pPr>
    </w:lvl>
    <w:lvl w:ilvl="5" w:tentative="1">
      <w:start w:val="1"/>
      <w:numFmt w:val="lowerRoman"/>
      <w:lvlText w:val="%6."/>
      <w:lvlJc w:val="right"/>
      <w:pPr>
        <w:ind w:left="4677" w:hanging="180"/>
      </w:pPr>
    </w:lvl>
    <w:lvl w:ilvl="6" w:tentative="1">
      <w:start w:val="1"/>
      <w:numFmt w:val="decimal"/>
      <w:lvlText w:val="%7."/>
      <w:lvlJc w:val="left"/>
      <w:pPr>
        <w:ind w:left="5397" w:hanging="360"/>
      </w:pPr>
    </w:lvl>
    <w:lvl w:ilvl="7" w:tentative="1">
      <w:start w:val="1"/>
      <w:numFmt w:val="lowerLetter"/>
      <w:lvlText w:val="%8."/>
      <w:lvlJc w:val="left"/>
      <w:pPr>
        <w:ind w:left="6117" w:hanging="360"/>
      </w:pPr>
    </w:lvl>
    <w:lvl w:ilvl="8" w:tentative="1">
      <w:start w:val="1"/>
      <w:numFmt w:val="lowerRoman"/>
      <w:lvlText w:val="%9."/>
      <w:lvlJc w:val="right"/>
      <w:pPr>
        <w:ind w:left="6837" w:hanging="180"/>
      </w:pPr>
    </w:lvl>
  </w:abstractNum>
  <w:abstractNum w:abstractNumId="1">
    <w:nsid w:val="1B314C5C"/>
    <w:multiLevelType w:val="hybridMultilevel"/>
    <w:tmpl w:val="9B42A226"/>
    <w:lvl w:ilvl="0">
      <w:start w:val="1"/>
      <w:numFmt w:val="decimal"/>
      <w:lvlText w:val="%1."/>
      <w:lvlJc w:val="left"/>
      <w:pPr>
        <w:ind w:left="4613" w:hanging="360"/>
      </w:pPr>
      <w:rPr>
        <w:rFonts w:hint="default"/>
        <w:b w:val="0"/>
        <w:bCs w:val="0"/>
      </w:rPr>
    </w:lvl>
    <w:lvl w:ilvl="1" w:tentative="1">
      <w:start w:val="1"/>
      <w:numFmt w:val="lowerLetter"/>
      <w:lvlText w:val="%2."/>
      <w:lvlJc w:val="left"/>
      <w:pPr>
        <w:ind w:left="2072" w:hanging="360"/>
      </w:pPr>
    </w:lvl>
    <w:lvl w:ilvl="2" w:tentative="1">
      <w:start w:val="1"/>
      <w:numFmt w:val="lowerRoman"/>
      <w:lvlText w:val="%3."/>
      <w:lvlJc w:val="right"/>
      <w:pPr>
        <w:ind w:left="2792" w:hanging="180"/>
      </w:pPr>
    </w:lvl>
    <w:lvl w:ilvl="3" w:tentative="1">
      <w:start w:val="1"/>
      <w:numFmt w:val="decimal"/>
      <w:lvlText w:val="%4."/>
      <w:lvlJc w:val="left"/>
      <w:pPr>
        <w:ind w:left="3512" w:hanging="360"/>
      </w:pPr>
    </w:lvl>
    <w:lvl w:ilvl="4" w:tentative="1">
      <w:start w:val="1"/>
      <w:numFmt w:val="lowerLetter"/>
      <w:lvlText w:val="%5."/>
      <w:lvlJc w:val="left"/>
      <w:pPr>
        <w:ind w:left="4232" w:hanging="360"/>
      </w:pPr>
    </w:lvl>
    <w:lvl w:ilvl="5" w:tentative="1">
      <w:start w:val="1"/>
      <w:numFmt w:val="lowerRoman"/>
      <w:lvlText w:val="%6."/>
      <w:lvlJc w:val="right"/>
      <w:pPr>
        <w:ind w:left="4952" w:hanging="180"/>
      </w:pPr>
    </w:lvl>
    <w:lvl w:ilvl="6" w:tentative="1">
      <w:start w:val="1"/>
      <w:numFmt w:val="decimal"/>
      <w:lvlText w:val="%7."/>
      <w:lvlJc w:val="left"/>
      <w:pPr>
        <w:ind w:left="5672" w:hanging="360"/>
      </w:pPr>
    </w:lvl>
    <w:lvl w:ilvl="7" w:tentative="1">
      <w:start w:val="1"/>
      <w:numFmt w:val="lowerLetter"/>
      <w:lvlText w:val="%8."/>
      <w:lvlJc w:val="left"/>
      <w:pPr>
        <w:ind w:left="6392" w:hanging="360"/>
      </w:pPr>
    </w:lvl>
    <w:lvl w:ilvl="8" w:tentative="1">
      <w:start w:val="1"/>
      <w:numFmt w:val="lowerRoman"/>
      <w:lvlText w:val="%9."/>
      <w:lvlJc w:val="right"/>
      <w:pPr>
        <w:ind w:left="7112" w:hanging="180"/>
      </w:pPr>
    </w:lvl>
  </w:abstractNum>
  <w:abstractNum w:abstractNumId="2">
    <w:nsid w:val="2EF24436"/>
    <w:multiLevelType w:val="hybridMultilevel"/>
    <w:tmpl w:val="2FFEA4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1F8579E"/>
    <w:multiLevelType w:val="hybridMultilevel"/>
    <w:tmpl w:val="259062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ABF7CDD"/>
    <w:multiLevelType w:val="hybridMultilevel"/>
    <w:tmpl w:val="FB98968C"/>
    <w:lvl w:ilvl="0">
      <w:start w:val="1"/>
      <w:numFmt w:val="decimal"/>
      <w:lvlText w:val="%1."/>
      <w:lvlJc w:val="left"/>
      <w:pPr>
        <w:ind w:left="1077" w:hanging="360"/>
      </w:pPr>
      <w:rPr>
        <w:b w:val="0"/>
        <w:bCs w:val="0"/>
      </w:rPr>
    </w:lvl>
    <w:lvl w:ilvl="1" w:tentative="1">
      <w:start w:val="1"/>
      <w:numFmt w:val="lowerLetter"/>
      <w:lvlText w:val="%2."/>
      <w:lvlJc w:val="left"/>
      <w:pPr>
        <w:ind w:left="1797" w:hanging="360"/>
      </w:pPr>
    </w:lvl>
    <w:lvl w:ilvl="2" w:tentative="1">
      <w:start w:val="1"/>
      <w:numFmt w:val="lowerRoman"/>
      <w:lvlText w:val="%3."/>
      <w:lvlJc w:val="right"/>
      <w:pPr>
        <w:ind w:left="2517" w:hanging="180"/>
      </w:pPr>
    </w:lvl>
    <w:lvl w:ilvl="3" w:tentative="1">
      <w:start w:val="1"/>
      <w:numFmt w:val="decimal"/>
      <w:lvlText w:val="%4."/>
      <w:lvlJc w:val="left"/>
      <w:pPr>
        <w:ind w:left="3237" w:hanging="360"/>
      </w:pPr>
    </w:lvl>
    <w:lvl w:ilvl="4" w:tentative="1">
      <w:start w:val="1"/>
      <w:numFmt w:val="lowerLetter"/>
      <w:lvlText w:val="%5."/>
      <w:lvlJc w:val="left"/>
      <w:pPr>
        <w:ind w:left="3957" w:hanging="360"/>
      </w:pPr>
    </w:lvl>
    <w:lvl w:ilvl="5" w:tentative="1">
      <w:start w:val="1"/>
      <w:numFmt w:val="lowerRoman"/>
      <w:lvlText w:val="%6."/>
      <w:lvlJc w:val="right"/>
      <w:pPr>
        <w:ind w:left="4677" w:hanging="180"/>
      </w:pPr>
    </w:lvl>
    <w:lvl w:ilvl="6" w:tentative="1">
      <w:start w:val="1"/>
      <w:numFmt w:val="decimal"/>
      <w:lvlText w:val="%7."/>
      <w:lvlJc w:val="left"/>
      <w:pPr>
        <w:ind w:left="5397" w:hanging="360"/>
      </w:pPr>
    </w:lvl>
    <w:lvl w:ilvl="7" w:tentative="1">
      <w:start w:val="1"/>
      <w:numFmt w:val="lowerLetter"/>
      <w:lvlText w:val="%8."/>
      <w:lvlJc w:val="left"/>
      <w:pPr>
        <w:ind w:left="6117" w:hanging="360"/>
      </w:pPr>
    </w:lvl>
    <w:lvl w:ilvl="8" w:tentative="1">
      <w:start w:val="1"/>
      <w:numFmt w:val="lowerRoman"/>
      <w:lvlText w:val="%9."/>
      <w:lvlJc w:val="right"/>
      <w:pPr>
        <w:ind w:left="6837" w:hanging="180"/>
      </w:pPr>
    </w:lvl>
  </w:abstractNum>
  <w:abstractNum w:abstractNumId="5">
    <w:nsid w:val="6D035ABD"/>
    <w:multiLevelType w:val="multilevel"/>
    <w:tmpl w:val="A9E07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2"/>
  </w:num>
  <w:num w:numId="4">
    <w:abstractNumId w:val="3"/>
  </w:num>
  <w:num w:numId="5">
    <w:abstractNumId w:val="4"/>
  </w:num>
  <w:num w:numId="6">
    <w:abstractNumId w:val="0"/>
  </w:num>
  <w:num w:numId="7">
    <w:abstractNumId w:val="1"/>
    <w:lvlOverride w:ilvl="0">
      <w:lvl w:ilvl="0">
        <w:start w:val="1"/>
        <w:numFmt w:val="decimal"/>
        <w:suff w:val="nothing"/>
        <w:lvlText w:val="%1."/>
        <w:lvlJc w:val="left"/>
        <w:pPr>
          <w:ind w:left="720" w:hanging="360"/>
        </w:pPr>
        <w:rPr>
          <w:rFonts w:hint="default"/>
          <w:b w:val="0"/>
          <w:bCs w:val="0"/>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8">
    <w:abstractNumId w:val="1"/>
    <w:lvlOverride w:ilvl="0">
      <w:lvl w:ilvl="0">
        <w:start w:val="1"/>
        <w:numFmt w:val="decimal"/>
        <w:suff w:val="nothing"/>
        <w:lvlText w:val="%1."/>
        <w:lvlJc w:val="left"/>
        <w:pPr>
          <w:ind w:left="720" w:hanging="360"/>
        </w:pPr>
        <w:rPr>
          <w:rFonts w:hint="default"/>
          <w:b w:val="0"/>
          <w:bCs w:val="0"/>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9">
    <w:abstractNumId w:val="1"/>
    <w:lvlOverride w:ilvl="0">
      <w:lvl w:ilvl="0">
        <w:start w:val="1"/>
        <w:numFmt w:val="decimal"/>
        <w:suff w:val="nothing"/>
        <w:lvlText w:val="%1."/>
        <w:lvlJc w:val="left"/>
        <w:pPr>
          <w:ind w:left="720" w:hanging="360"/>
        </w:pPr>
        <w:rPr>
          <w:rFonts w:hint="default"/>
          <w:b w:val="0"/>
          <w:bCs w:val="0"/>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0">
    <w:abstractNumId w:val="1"/>
    <w:lvlOverride w:ilvl="0">
      <w:lvl w:ilvl="0">
        <w:start w:val="1"/>
        <w:numFmt w:val="decimal"/>
        <w:suff w:val="nothing"/>
        <w:lvlText w:val="%1."/>
        <w:lvlJc w:val="left"/>
        <w:pPr>
          <w:ind w:left="720" w:hanging="360"/>
        </w:pPr>
        <w:rPr>
          <w:rFonts w:hint="default"/>
          <w:b w:val="0"/>
          <w:bCs w:val="0"/>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1">
    <w:abstractNumId w:val="1"/>
    <w:lvlOverride w:ilvl="0">
      <w:lvl w:ilvl="0">
        <w:start w:val="1"/>
        <w:numFmt w:val="decimal"/>
        <w:suff w:val="nothing"/>
        <w:lvlText w:val="%1."/>
        <w:lvlJc w:val="left"/>
        <w:pPr>
          <w:ind w:left="720" w:hanging="360"/>
        </w:pPr>
        <w:rPr>
          <w:rFonts w:hint="default"/>
          <w:b w:val="0"/>
          <w:bCs w:val="0"/>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2">
    <w:abstractNumId w:val="1"/>
    <w:lvlOverride w:ilvl="0">
      <w:lvl w:ilvl="0">
        <w:start w:val="1"/>
        <w:numFmt w:val="decimal"/>
        <w:suff w:val="nothing"/>
        <w:lvlText w:val="%1."/>
        <w:lvlJc w:val="left"/>
        <w:pPr>
          <w:ind w:left="4613" w:hanging="360"/>
        </w:pPr>
        <w:rPr>
          <w:rFonts w:hint="default"/>
          <w:b w:val="0"/>
          <w:bCs w:val="0"/>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3">
    <w:abstractNumId w:val="1"/>
    <w:lvlOverride w:ilvl="0">
      <w:lvl w:ilvl="0">
        <w:start w:val="1"/>
        <w:numFmt w:val="decimal"/>
        <w:suff w:val="nothing"/>
        <w:lvlText w:val="%1."/>
        <w:lvlJc w:val="left"/>
        <w:pPr>
          <w:ind w:left="4613" w:hanging="360"/>
        </w:pPr>
        <w:rPr>
          <w:rFonts w:hint="default"/>
          <w:b w:val="0"/>
          <w:bCs w:val="0"/>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1"/>
    <w:lvlOverride w:ilvl="0">
      <w:lvl w:ilvl="0">
        <w:start w:val="1"/>
        <w:numFmt w:val="decimal"/>
        <w:suff w:val="nothing"/>
        <w:lvlText w:val="%1."/>
        <w:lvlJc w:val="left"/>
        <w:pPr>
          <w:ind w:left="4613" w:hanging="360"/>
        </w:pPr>
        <w:rPr>
          <w:rFonts w:hint="default"/>
          <w:b w:val="0"/>
          <w:bCs w:val="0"/>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5">
    <w:abstractNumId w:val="1"/>
    <w:lvlOverride w:ilvl="0">
      <w:lvl w:ilvl="0">
        <w:start w:val="1"/>
        <w:numFmt w:val="decimal"/>
        <w:suff w:val="nothing"/>
        <w:lvlText w:val="%1."/>
        <w:lvlJc w:val="left"/>
        <w:pPr>
          <w:ind w:left="4613" w:hanging="360"/>
        </w:pPr>
        <w:rPr>
          <w:rFonts w:hint="default"/>
          <w:b w:val="0"/>
          <w:bCs w:val="0"/>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HAnsi"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11E2"/>
  </w:style>
  <w:style w:type="paragraph" w:styleId="Heading1">
    <w:name w:val="heading 1"/>
    <w:basedOn w:val="Normal"/>
    <w:next w:val="Normal"/>
    <w:link w:val="Heading1Char"/>
    <w:uiPriority w:val="9"/>
    <w:qFormat/>
    <w:rsid w:val="00E00F9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00F9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00F9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00F90"/>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00F90"/>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E00F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00F9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00F9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00F9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F9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00F9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00F90"/>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00F90"/>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E00F90"/>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E00F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00F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00F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00F9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00F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F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F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F9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00F90"/>
    <w:pPr>
      <w:spacing w:before="160"/>
      <w:jc w:val="center"/>
    </w:pPr>
    <w:rPr>
      <w:i/>
      <w:iCs/>
      <w:color w:val="404040" w:themeColor="text1" w:themeTint="BF"/>
    </w:rPr>
  </w:style>
  <w:style w:type="character" w:customStyle="1" w:styleId="QuoteChar">
    <w:name w:val="Quote Char"/>
    <w:basedOn w:val="DefaultParagraphFont"/>
    <w:link w:val="Quote"/>
    <w:uiPriority w:val="29"/>
    <w:rsid w:val="00E00F90"/>
    <w:rPr>
      <w:i/>
      <w:iCs/>
      <w:color w:val="404040" w:themeColor="text1" w:themeTint="BF"/>
    </w:rPr>
  </w:style>
  <w:style w:type="paragraph" w:styleId="ListParagraph">
    <w:name w:val="List Paragraph"/>
    <w:basedOn w:val="Normal"/>
    <w:uiPriority w:val="34"/>
    <w:qFormat/>
    <w:rsid w:val="00E00F90"/>
    <w:pPr>
      <w:ind w:left="720"/>
      <w:contextualSpacing/>
    </w:pPr>
  </w:style>
  <w:style w:type="character" w:styleId="IntenseEmphasis">
    <w:name w:val="Intense Emphasis"/>
    <w:basedOn w:val="DefaultParagraphFont"/>
    <w:uiPriority w:val="21"/>
    <w:qFormat/>
    <w:rsid w:val="00E00F90"/>
    <w:rPr>
      <w:i/>
      <w:iCs/>
      <w:color w:val="2E74B5" w:themeColor="accent1" w:themeShade="BF"/>
    </w:rPr>
  </w:style>
  <w:style w:type="paragraph" w:styleId="IntenseQuote">
    <w:name w:val="Intense Quote"/>
    <w:basedOn w:val="Normal"/>
    <w:next w:val="Normal"/>
    <w:link w:val="IntenseQuoteChar"/>
    <w:uiPriority w:val="30"/>
    <w:qFormat/>
    <w:rsid w:val="00E00F9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00F90"/>
    <w:rPr>
      <w:i/>
      <w:iCs/>
      <w:color w:val="2E74B5" w:themeColor="accent1" w:themeShade="BF"/>
    </w:rPr>
  </w:style>
  <w:style w:type="character" w:styleId="IntenseReference">
    <w:name w:val="Intense Reference"/>
    <w:basedOn w:val="DefaultParagraphFont"/>
    <w:uiPriority w:val="32"/>
    <w:qFormat/>
    <w:rsid w:val="00E00F90"/>
    <w:rPr>
      <w:b/>
      <w:bCs/>
      <w:smallCaps/>
      <w:color w:val="2E74B5" w:themeColor="accent1" w:themeShade="BF"/>
      <w:spacing w:val="5"/>
    </w:rPr>
  </w:style>
  <w:style w:type="character" w:styleId="CommentReference">
    <w:name w:val="annotation reference"/>
    <w:basedOn w:val="DefaultParagraphFont"/>
    <w:uiPriority w:val="99"/>
    <w:semiHidden/>
    <w:unhideWhenUsed/>
    <w:rsid w:val="00EB4945"/>
    <w:rPr>
      <w:sz w:val="16"/>
      <w:szCs w:val="16"/>
    </w:rPr>
  </w:style>
  <w:style w:type="paragraph" w:styleId="CommentText">
    <w:name w:val="annotation text"/>
    <w:basedOn w:val="Normal"/>
    <w:link w:val="CommentTextChar"/>
    <w:uiPriority w:val="99"/>
    <w:unhideWhenUsed/>
    <w:rsid w:val="00EB4945"/>
    <w:pPr>
      <w:spacing w:line="240" w:lineRule="auto"/>
    </w:pPr>
    <w:rPr>
      <w:sz w:val="20"/>
      <w:szCs w:val="20"/>
    </w:rPr>
  </w:style>
  <w:style w:type="character" w:customStyle="1" w:styleId="CommentTextChar">
    <w:name w:val="Comment Text Char"/>
    <w:basedOn w:val="DefaultParagraphFont"/>
    <w:link w:val="CommentText"/>
    <w:uiPriority w:val="99"/>
    <w:rsid w:val="00EB4945"/>
    <w:rPr>
      <w:sz w:val="20"/>
      <w:szCs w:val="20"/>
    </w:rPr>
  </w:style>
  <w:style w:type="paragraph" w:styleId="CommentSubject">
    <w:name w:val="annotation subject"/>
    <w:basedOn w:val="CommentText"/>
    <w:next w:val="CommentText"/>
    <w:link w:val="CommentSubjectChar"/>
    <w:uiPriority w:val="99"/>
    <w:semiHidden/>
    <w:unhideWhenUsed/>
    <w:rsid w:val="00EB4945"/>
    <w:rPr>
      <w:b/>
      <w:bCs/>
    </w:rPr>
  </w:style>
  <w:style w:type="character" w:customStyle="1" w:styleId="CommentSubjectChar">
    <w:name w:val="Comment Subject Char"/>
    <w:basedOn w:val="CommentTextChar"/>
    <w:link w:val="CommentSubject"/>
    <w:uiPriority w:val="99"/>
    <w:semiHidden/>
    <w:rsid w:val="00EB4945"/>
    <w:rPr>
      <w:b/>
      <w:bCs/>
      <w:sz w:val="20"/>
      <w:szCs w:val="20"/>
    </w:rPr>
  </w:style>
  <w:style w:type="character" w:styleId="Hyperlink">
    <w:name w:val="Hyperlink"/>
    <w:basedOn w:val="DefaultParagraphFont"/>
    <w:uiPriority w:val="99"/>
    <w:unhideWhenUsed/>
    <w:rsid w:val="003645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cd0fc526a5c840319a97fd94028e9904 xmlns="4600776d-0a3c-44b4-bff2-0ceaafb13046">
      <Terms xmlns="http://schemas.microsoft.com/office/infopath/2007/PartnerControls"/>
    </cd0fc526a5c840319a97fd94028e9904>
    <_dlc_DocId xmlns="70d2f4a9-7027-4c8b-acc6-1861eab93b19">JRFZP62N7HVT-2044078101-1570</_dlc_DocId>
    <TransfertoArchives xmlns="4600776d-0a3c-44b4-bff2-0ceaafb13046">false</TransfertoArchives>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Towns: Bricks and Mortar</TermName>
          <TermId xmlns="http://schemas.microsoft.com/office/infopath/2007/PartnerControls">f8c7e7a8-34b4-42c2-8a32-8ac970a121ac</TermId>
        </TermInfo>
      </Terms>
    </edc898bf3bb343549b83ac391d519ef2>
    <RetentionTriggerDate xmlns="4600776d-0a3c-44b4-bff2-0ceaafb1304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70d2f4a9-7027-4c8b-acc6-1861eab93b19">
      <Url>https://hopuk.sharepoint.com/sites/hlc-builtenviro/_layouts/15/DocIdRedir.aspx?ID=JRFZP62N7HVT-2044078101-1570</Url>
      <Description>JRFZP62N7HVT-2044078101-1570</Description>
    </_dlc_DocIdUrl>
    <RecordNumber xmlns="4600776d-0a3c-44b4-bff2-0ceaafb13046" xsi:nil="true"/>
    <Document_x0020_Status1 xmlns="70d2f4a9-7027-4c8b-acc6-1861eab93b19">N/A</Document_x0020_Status1>
    <g3ef09377e3444258679b6035a1ff93a xmlns="4600776d-0a3c-44b4-bff2-0ceaafb13046">
      <Terms xmlns="http://schemas.microsoft.com/office/infopath/2007/PartnerControls"/>
    </g3ef09377e3444258679b6035a1ff93a>
    <TaxCatchAll xmlns="4600776d-0a3c-44b4-bff2-0ceaafb13046">
      <Value>104</Value>
      <Value>54</Value>
      <Value>5</Value>
      <Value>2</Value>
      <Value>105</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70d2f4a9-7027-4c8b-acc6-1861eab93b19">2026-07-20T23:00:00+00:00</Meeting_x0020_Dat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A1AEC37402C6145BB418B99DC879C2F" ma:contentTypeVersion="142" ma:contentTypeDescription="Create a new document." ma:contentTypeScope="" ma:versionID="bede8a6e59b9cf804aae913f3ec8a661">
  <xsd:schema xmlns:xsd="http://www.w3.org/2001/XMLSchema" xmlns:xs="http://www.w3.org/2001/XMLSchema" xmlns:p="http://schemas.microsoft.com/office/2006/metadata/properties" xmlns:ns2="70d2f4a9-7027-4c8b-acc6-1861eab93b19" xmlns:ns3="4600776d-0a3c-44b4-bff2-0ceaafb13046" xmlns:ns4="899733ae-5711-47d1-bf6b-1aad0d576b8f" targetNamespace="http://schemas.microsoft.com/office/2006/metadata/properties" ma:root="true" ma:fieldsID="ca367f0a5b7fc8a502817a0af1300ca0" ns2:_="" ns3:_="" ns4:_="">
    <xsd:import namespace="70d2f4a9-7027-4c8b-acc6-1861eab93b19"/>
    <xsd:import namespace="4600776d-0a3c-44b4-bff2-0ceaafb13046"/>
    <xsd:import namespace="899733ae-5711-47d1-bf6b-1aad0d576b8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4;#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4649852-c0eb-4bee-a0a4-8da5cea12975}"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s" ma:default="104;#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2;#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9733ae-5711-47d1-bf6b-1aad0d576b8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71FE01-0500-457E-843A-C32894176ACD}">
  <ds:schemaRefs>
    <ds:schemaRef ds:uri="http://schemas.microsoft.com/sharepoint/events"/>
  </ds:schemaRefs>
</ds:datastoreItem>
</file>

<file path=customXml/itemProps2.xml><?xml version="1.0" encoding="utf-8"?>
<ds:datastoreItem xmlns:ds="http://schemas.openxmlformats.org/officeDocument/2006/customXml" ds:itemID="{22C68F13-A4C2-4A27-8759-D31AD806AFEA}">
  <ds:schemaRefs>
    <ds:schemaRef ds:uri="http://schemas.openxmlformats.org/officeDocument/2006/bibliography"/>
  </ds:schemaRefs>
</ds:datastoreItem>
</file>

<file path=customXml/itemProps3.xml><?xml version="1.0" encoding="utf-8"?>
<ds:datastoreItem xmlns:ds="http://schemas.openxmlformats.org/officeDocument/2006/customXml" ds:itemID="{3C949FE1-1071-43F7-89BA-B656C04A7965}">
  <ds:schemaRefs>
    <ds:schemaRef ds:uri="http://schemas.microsoft.com/sharepoint/v3/contenttype/forms"/>
  </ds:schemaRefs>
</ds:datastoreItem>
</file>

<file path=customXml/itemProps4.xml><?xml version="1.0" encoding="utf-8"?>
<ds:datastoreItem xmlns:ds="http://schemas.openxmlformats.org/officeDocument/2006/customXml" ds:itemID="{FBC1886D-DD00-4988-8FAE-7E47C4DDF2FC}">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5.xml><?xml version="1.0" encoding="utf-8"?>
<ds:datastoreItem xmlns:ds="http://schemas.openxmlformats.org/officeDocument/2006/customXml" ds:itemID="{C2483E58-52C5-454E-B81A-C1697FBF6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899733ae-5711-47d1-bf6b-1aad0d576b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b533529-674f-4ed7-8da2-996f589ea94b}" enabled="0" method="" siteId="{cb533529-674f-4ed7-8da2-996f589ea94b}" removed="1"/>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NTB0014</dc:title>
  <cp:revision>0</cp:revision>
</cp:coreProperties>
</file>