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32F1" w:rsidRPr="00DF3D45" w:rsidP="00DF3D45">
      <w:pPr>
        <w:ind w:left="357" w:hanging="357"/>
        <w:rPr>
          <w:rFonts w:ascii="Verdana" w:hAnsi="Verdana" w:cs="Arial"/>
          <w:b/>
          <w:bCs/>
          <w:sz w:val="28"/>
          <w:szCs w:val="28"/>
        </w:rPr>
      </w:pPr>
      <w:r w:rsidRPr="00DF3D45">
        <w:rPr>
          <w:rFonts w:ascii="Verdana" w:hAnsi="Verdana"/>
          <w:b/>
          <w:bCs/>
          <w:sz w:val="28"/>
          <w:szCs w:val="28"/>
        </w:rPr>
        <w:t>Landmark Information Group</w:t>
      </w:r>
      <w:r w:rsidRPr="00DF3D45" w:rsidR="00BF0487">
        <w:rPr>
          <w:rFonts w:ascii="Verdana" w:hAnsi="Verdana"/>
          <w:b/>
          <w:bCs/>
          <w:sz w:val="28"/>
          <w:szCs w:val="28"/>
        </w:rPr>
        <w:t xml:space="preserve"> – </w:t>
      </w:r>
      <w:r w:rsidRPr="00DF3D45" w:rsidR="00BF2124">
        <w:rPr>
          <w:rFonts w:ascii="Verdana" w:hAnsi="Verdana"/>
          <w:b/>
          <w:bCs/>
          <w:sz w:val="28"/>
          <w:szCs w:val="28"/>
        </w:rPr>
        <w:t>Written evidence</w:t>
      </w:r>
      <w:r w:rsidRPr="00DF3D45" w:rsidR="00BF2124">
        <w:rPr>
          <w:rFonts w:ascii="Verdana" w:hAnsi="Verdana" w:cs="Arial"/>
          <w:b/>
          <w:bCs/>
          <w:sz w:val="28"/>
          <w:szCs w:val="28"/>
        </w:rPr>
        <w:t xml:space="preserve"> </w:t>
      </w:r>
      <w:r w:rsidRPr="00DF3D45" w:rsidR="008D3760">
        <w:rPr>
          <w:rFonts w:ascii="Verdana" w:hAnsi="Verdana" w:cs="Arial"/>
          <w:b/>
          <w:bCs/>
          <w:sz w:val="28"/>
          <w:szCs w:val="28"/>
        </w:rPr>
        <w:t>(</w:t>
      </w:r>
      <w:r w:rsidRPr="00DF3D45">
        <w:rPr>
          <w:rFonts w:ascii="Verdana" w:hAnsi="Verdana" w:cs="Arial"/>
          <w:b/>
          <w:bCs/>
          <w:sz w:val="28"/>
          <w:szCs w:val="28"/>
        </w:rPr>
        <w:t>NTB00012</w:t>
      </w:r>
      <w:r w:rsidRPr="00DF3D45" w:rsidR="00BF2124">
        <w:rPr>
          <w:rFonts w:ascii="Verdana" w:hAnsi="Verdana" w:cs="Arial"/>
          <w:b/>
          <w:bCs/>
          <w:sz w:val="28"/>
          <w:szCs w:val="28"/>
        </w:rPr>
        <w:t>)</w:t>
      </w:r>
    </w:p>
    <w:p w:rsidR="00AB32F1" w:rsidRPr="005D2D84" w:rsidP="005D2D84">
      <w:pPr>
        <w:ind w:left="357" w:hanging="357"/>
        <w:rPr>
          <w:rFonts w:ascii="Verdana" w:hAnsi="Verdana"/>
        </w:rPr>
      </w:pPr>
      <w:r w:rsidRPr="005D2D84">
        <w:rPr>
          <w:rFonts w:ascii="Verdana" w:hAnsi="Verdana"/>
        </w:rPr>
        <w:t>Introduction</w:t>
      </w:r>
    </w:p>
    <w:p w:rsidR="00AB32F1" w:rsidRPr="005D2D84" w:rsidP="005D2D84">
      <w:pPr>
        <w:pStyle w:val="ListParagraph"/>
        <w:numPr>
          <w:ilvl w:val="0"/>
          <w:numId w:val="19"/>
        </w:numPr>
        <w:ind w:left="357" w:hanging="357"/>
        <w:contextualSpacing w:val="0"/>
        <w:rPr>
          <w:rFonts w:ascii="Verdana" w:hAnsi="Verdana"/>
        </w:rPr>
      </w:pPr>
      <w:r w:rsidRPr="005D2D84">
        <w:rPr>
          <w:rFonts w:ascii="Verdana" w:hAnsi="Verdana"/>
        </w:rPr>
        <w:t>Landmark Information Group is the UK's leading provider of land, property and environmental data, supporting decision-making across the built environment. Our data and digital services are used by local authorities, developers, infrastructure providers, utility companies and central government throughout the planning, development and property lifecycle.</w:t>
      </w:r>
    </w:p>
    <w:p w:rsidR="00AB32F1" w:rsidRPr="005D2D84" w:rsidP="005D2D84">
      <w:pPr>
        <w:pStyle w:val="ListParagraph"/>
        <w:numPr>
          <w:ilvl w:val="0"/>
          <w:numId w:val="19"/>
        </w:numPr>
        <w:ind w:left="357" w:hanging="357"/>
        <w:contextualSpacing w:val="0"/>
        <w:rPr>
          <w:rFonts w:ascii="Verdana" w:hAnsi="Verdana"/>
        </w:rPr>
      </w:pPr>
      <w:r w:rsidRPr="005D2D84">
        <w:rPr>
          <w:rFonts w:ascii="Verdana" w:hAnsi="Verdana"/>
        </w:rPr>
        <w:t>As the Government seeks to deliver a new generation of new towns, robust data and geospatial intelligence will become increasingly important to ensuring that development is planned efficiently, infrastructure is delivered at the right time, and communities are designed around resilient places rather than simply housing targets.</w:t>
      </w:r>
    </w:p>
    <w:p w:rsidR="00AB32F1" w:rsidRPr="005D2D84" w:rsidP="005D2D84">
      <w:pPr>
        <w:pStyle w:val="ListParagraph"/>
        <w:numPr>
          <w:ilvl w:val="0"/>
          <w:numId w:val="19"/>
        </w:numPr>
        <w:ind w:left="357" w:hanging="357"/>
        <w:contextualSpacing w:val="0"/>
        <w:rPr>
          <w:rFonts w:ascii="Verdana" w:hAnsi="Verdana"/>
        </w:rPr>
      </w:pPr>
      <w:r w:rsidRPr="005D2D84">
        <w:rPr>
          <w:rFonts w:ascii="Verdana" w:hAnsi="Verdana"/>
        </w:rPr>
        <w:t>Landmark's response focuses on how better use of geospatial intelligence, digital planning and common information standards can support faster delivery, improved infrastructure coordination and better long-term placemaking.</w:t>
      </w:r>
    </w:p>
    <w:p w:rsidR="00AB32F1" w:rsidRPr="005D2D84" w:rsidP="005D2D84">
      <w:pPr>
        <w:ind w:left="357" w:hanging="357"/>
        <w:rPr>
          <w:rFonts w:ascii="Verdana" w:hAnsi="Verdana"/>
          <w:b/>
          <w:bCs/>
        </w:rPr>
      </w:pPr>
      <w:r>
        <w:rPr>
          <w:rFonts w:ascii="Verdana" w:hAnsi="Verdana"/>
          <w:b/>
          <w:bCs/>
        </w:rPr>
        <w:t xml:space="preserve">     </w:t>
      </w:r>
      <w:r w:rsidRPr="005D2D84" w:rsidR="00000000">
        <w:rPr>
          <w:rFonts w:ascii="Verdana" w:hAnsi="Verdana"/>
          <w:b/>
          <w:bCs/>
        </w:rPr>
        <w:t>Once locations have been agreed, what are the factors limiting the physical construction of new towns? Which are the most important? How can they be addressed?</w:t>
      </w:r>
    </w:p>
    <w:p w:rsidR="00AB32F1" w:rsidRPr="005D2D84" w:rsidP="005D2D84">
      <w:pPr>
        <w:pStyle w:val="ListParagraph"/>
        <w:numPr>
          <w:ilvl w:val="0"/>
          <w:numId w:val="19"/>
        </w:numPr>
        <w:ind w:left="357" w:hanging="357"/>
        <w:contextualSpacing w:val="0"/>
        <w:rPr>
          <w:rFonts w:ascii="Verdana" w:hAnsi="Verdana"/>
        </w:rPr>
      </w:pPr>
      <w:r w:rsidRPr="005D2D84">
        <w:rPr>
          <w:rFonts w:ascii="Verdana" w:hAnsi="Verdana"/>
        </w:rPr>
        <w:t>Alongside labour shortages, supply chain pressures and planning capacity, one of the greatest barriers to delivering new towns efficiently is the fragmentation of information across the planning and development process. Developers, local authorities, infrastructure providers and statutory consultees frequently work from different datasets, evidence standards and information systems, creating duplication, uncertainty and avoidable delay.</w:t>
      </w:r>
    </w:p>
    <w:p w:rsidR="00AB32F1" w:rsidRPr="005D2D84" w:rsidP="005D2D84">
      <w:pPr>
        <w:pStyle w:val="ListParagraph"/>
        <w:numPr>
          <w:ilvl w:val="0"/>
          <w:numId w:val="19"/>
        </w:numPr>
        <w:ind w:left="357" w:hanging="357"/>
        <w:contextualSpacing w:val="0"/>
        <w:rPr>
          <w:rFonts w:ascii="Verdana" w:hAnsi="Verdana"/>
        </w:rPr>
      </w:pPr>
      <w:r w:rsidRPr="005D2D84">
        <w:rPr>
          <w:rFonts w:ascii="Verdana" w:hAnsi="Verdana"/>
        </w:rPr>
        <w:t>This becomes particularly significant for large-scale developments, where housing delivery must be carefully coordinated alongside transport infrastructure, utilities, schools, healthcare provision and environmental mitigation. Decisions made at the earliest stages of planning influence delivery over many years, making access to robust and consistent evidence essential.</w:t>
      </w:r>
    </w:p>
    <w:p w:rsidR="00AB32F1" w:rsidRPr="005D2D84" w:rsidP="005D2D84">
      <w:pPr>
        <w:pStyle w:val="ListParagraph"/>
        <w:numPr>
          <w:ilvl w:val="0"/>
          <w:numId w:val="19"/>
        </w:numPr>
        <w:ind w:left="357" w:hanging="357"/>
        <w:contextualSpacing w:val="0"/>
        <w:rPr>
          <w:rFonts w:ascii="Verdana" w:hAnsi="Verdana"/>
        </w:rPr>
      </w:pPr>
      <w:r w:rsidRPr="005D2D84">
        <w:rPr>
          <w:rFonts w:ascii="Verdana" w:hAnsi="Verdana"/>
        </w:rPr>
        <w:t>Government should therefore support the adoption of common geospatial evidence frameworks and data standards for new towns, enabling delivery partners to work from consistent information throughout the planning and construction process. Better coordination of information will reduce uncertainty, improve infrastructure sequencing and support more efficient delivery.</w:t>
      </w:r>
    </w:p>
    <w:p w:rsidR="00AB32F1" w:rsidRPr="005D2D84" w:rsidP="005D2D84">
      <w:pPr>
        <w:ind w:left="357" w:hanging="357"/>
        <w:rPr>
          <w:rFonts w:ascii="Verdana" w:hAnsi="Verdana"/>
        </w:rPr>
      </w:pPr>
      <w:r w:rsidRPr="005D2D84">
        <w:rPr>
          <w:rFonts w:ascii="Verdana" w:hAnsi="Verdana"/>
        </w:rPr>
        <w:t xml:space="preserve">     </w:t>
      </w:r>
      <w:r w:rsidRPr="002327B7" w:rsidR="00000000">
        <w:rPr>
          <w:rFonts w:ascii="Verdana" w:hAnsi="Verdana"/>
          <w:b/>
          <w:bCs/>
        </w:rPr>
        <w:t xml:space="preserve">What do you think are the greatest challenges associated with </w:t>
      </w:r>
      <w:r w:rsidRPr="002327B7" w:rsidR="002327B7">
        <w:rPr>
          <w:rFonts w:ascii="Verdana" w:hAnsi="Verdana"/>
          <w:b/>
          <w:bCs/>
        </w:rPr>
        <w:t>connecting new</w:t>
      </w:r>
      <w:r w:rsidRPr="005D2D84" w:rsidR="00000000">
        <w:rPr>
          <w:rFonts w:ascii="Verdana" w:hAnsi="Verdana"/>
        </w:rPr>
        <w:t xml:space="preserve"> </w:t>
      </w:r>
      <w:r w:rsidRPr="002327B7" w:rsidR="00000000">
        <w:rPr>
          <w:rFonts w:ascii="Verdana" w:hAnsi="Verdana"/>
          <w:b/>
          <w:bCs/>
        </w:rPr>
        <w:t>towns and expanded settlements to utilities? How can these challenges be addressed?</w:t>
      </w:r>
    </w:p>
    <w:p w:rsidR="00AB32F1" w:rsidRPr="002327B7" w:rsidP="002327B7">
      <w:pPr>
        <w:pStyle w:val="ListParagraph"/>
        <w:numPr>
          <w:ilvl w:val="0"/>
          <w:numId w:val="19"/>
        </w:numPr>
        <w:ind w:left="357" w:hanging="357"/>
        <w:contextualSpacing w:val="0"/>
        <w:rPr>
          <w:rFonts w:ascii="Verdana" w:hAnsi="Verdana"/>
        </w:rPr>
      </w:pPr>
      <w:r w:rsidRPr="002327B7">
        <w:rPr>
          <w:rFonts w:ascii="Verdana" w:hAnsi="Verdana"/>
        </w:rPr>
        <w:t xml:space="preserve">The greatest challenge in connecting new towns and expanded settlements to utilities is not simply network </w:t>
      </w:r>
      <w:r w:rsidRPr="002327B7">
        <w:rPr>
          <w:rFonts w:ascii="Verdana" w:hAnsi="Verdana"/>
        </w:rPr>
        <w:t>capacity, but</w:t>
      </w:r>
      <w:r w:rsidRPr="002327B7">
        <w:rPr>
          <w:rFonts w:ascii="Verdana" w:hAnsi="Verdana"/>
        </w:rPr>
        <w:t xml:space="preserve"> ensuring that the right information is available at the right stage of the planning and delivery process. While detailed desktop studies remain an essential part of informing design and construction, earlier stages of planning require a different level of information to support strategic decision-making.</w:t>
      </w:r>
    </w:p>
    <w:p w:rsidR="00AB32F1" w:rsidRPr="002327B7" w:rsidP="002327B7">
      <w:pPr>
        <w:pStyle w:val="ListParagraph"/>
        <w:numPr>
          <w:ilvl w:val="0"/>
          <w:numId w:val="19"/>
        </w:numPr>
        <w:ind w:left="357" w:hanging="357"/>
        <w:contextualSpacing w:val="0"/>
        <w:rPr>
          <w:rFonts w:ascii="Verdana" w:hAnsi="Verdana"/>
        </w:rPr>
      </w:pPr>
      <w:r w:rsidRPr="002327B7">
        <w:rPr>
          <w:rFonts w:ascii="Verdana" w:hAnsi="Verdana"/>
        </w:rPr>
        <w:t xml:space="preserve">What is missing is a more proportionate, staged approach to utility information. During early site selection and </w:t>
      </w:r>
      <w:r w:rsidRPr="002327B7">
        <w:rPr>
          <w:rFonts w:ascii="Verdana" w:hAnsi="Verdana"/>
        </w:rPr>
        <w:t>masterplanning</w:t>
      </w:r>
      <w:r w:rsidRPr="002327B7">
        <w:rPr>
          <w:rFonts w:ascii="Verdana" w:hAnsi="Verdana"/>
        </w:rPr>
        <w:t>, developers and planning authorities need high-level intelligence, such as indicative asset density, likely network constraints or available capacity, to understand whether a site is viable and how infrastructure should be sequenced. Detailed asset records are only required at later design and construction stages.</w:t>
      </w:r>
    </w:p>
    <w:p w:rsidR="00AB32F1" w:rsidRPr="002327B7" w:rsidP="002327B7">
      <w:pPr>
        <w:pStyle w:val="ListParagraph"/>
        <w:numPr>
          <w:ilvl w:val="0"/>
          <w:numId w:val="19"/>
        </w:numPr>
        <w:ind w:left="357" w:hanging="357"/>
        <w:contextualSpacing w:val="0"/>
        <w:rPr>
          <w:rFonts w:ascii="Verdana" w:hAnsi="Verdana"/>
        </w:rPr>
      </w:pPr>
      <w:r w:rsidRPr="002327B7">
        <w:rPr>
          <w:rFonts w:ascii="Verdana" w:hAnsi="Verdana"/>
        </w:rPr>
        <w:t>Improving access to this type of planning-grade utility intelligence would allow infrastructure constraints to be identified much earlier, enabling more realistic masterplans, reducing abortive work and supporting better coordination between developers, utility providers and local authorities. This would help ensure that homes, utilities and supporting infrastructure are delivered in step, rather than sequentially.</w:t>
      </w:r>
    </w:p>
    <w:p w:rsidR="00AB32F1" w:rsidRPr="002327B7" w:rsidP="002327B7">
      <w:pPr>
        <w:pStyle w:val="ListParagraph"/>
        <w:numPr>
          <w:ilvl w:val="0"/>
          <w:numId w:val="20"/>
        </w:numPr>
        <w:ind w:left="357" w:hanging="357"/>
        <w:contextualSpacing w:val="0"/>
        <w:rPr>
          <w:rFonts w:ascii="Verdana" w:hAnsi="Verdana"/>
        </w:rPr>
      </w:pPr>
      <w:r w:rsidRPr="002327B7">
        <w:rPr>
          <w:rFonts w:ascii="Verdana" w:hAnsi="Verdana"/>
        </w:rPr>
        <w:t>Government has already demonstrated the value of greater data sharing through the National Underground Asset Register. Building on this progress, there is an opportunity to work in partnership with technology providers to develop new models for securely sharing appropriate utility information for planning purposes. This could include indicative asset information and capacity insights that support strategic decision-making without exposing sensitive infrastructure data. Combined with common data standards, interoperable geospatial datasets and digital planning tools, this would significantly improve the efficiency and certainty of delivering new towns.</w:t>
      </w:r>
    </w:p>
    <w:p w:rsidR="00AB32F1" w:rsidRPr="002327B7" w:rsidP="005D2D84">
      <w:pPr>
        <w:ind w:left="357" w:hanging="357"/>
        <w:rPr>
          <w:rFonts w:ascii="Verdana" w:hAnsi="Verdana"/>
          <w:b/>
          <w:bCs/>
        </w:rPr>
      </w:pPr>
      <w:r w:rsidRPr="002327B7">
        <w:rPr>
          <w:rFonts w:ascii="Verdana" w:hAnsi="Verdana"/>
          <w:b/>
          <w:bCs/>
        </w:rPr>
        <w:t xml:space="preserve">     </w:t>
      </w:r>
      <w:r w:rsidRPr="002327B7" w:rsidR="00000000">
        <w:rPr>
          <w:rFonts w:ascii="Verdana" w:hAnsi="Verdana"/>
          <w:b/>
          <w:bCs/>
        </w:rPr>
        <w:t>Which policy areas or barriers represent the 'low-hanging fruit' for this inquiry? Are there any 'quick fixes' that the Committee and Government could address?</w:t>
      </w:r>
    </w:p>
    <w:p w:rsidR="00AB32F1" w:rsidRPr="002327B7" w:rsidP="002327B7">
      <w:pPr>
        <w:pStyle w:val="ListParagraph"/>
        <w:numPr>
          <w:ilvl w:val="0"/>
          <w:numId w:val="21"/>
        </w:numPr>
        <w:ind w:left="357" w:hanging="357"/>
        <w:contextualSpacing w:val="0"/>
        <w:rPr>
          <w:rFonts w:ascii="Verdana" w:hAnsi="Verdana"/>
        </w:rPr>
      </w:pPr>
      <w:r w:rsidRPr="002327B7">
        <w:rPr>
          <w:rFonts w:ascii="Verdana" w:hAnsi="Verdana"/>
        </w:rPr>
        <w:t xml:space="preserve">One of the clearest opportunities for Government is improving consistency across the planning system. Too often, organisations collect similar information using different methodologies and formats, creating unnecessary duplication and slowing decision-making. The recently launched </w:t>
      </w:r>
      <w:r>
        <w:fldChar w:fldCharType="begin"/>
      </w:r>
      <w:r>
        <w:instrText xml:space="preserve"> HYPERLINK "https://mhclgdigital.blog.gov.uk/2026/06/17/extract-is-here-ai-powered-planning-data-for-every-council-in-england/" </w:instrText>
      </w:r>
      <w:r>
        <w:fldChar w:fldCharType="separate"/>
      </w:r>
      <w:r w:rsidRPr="002327B7">
        <w:rPr>
          <w:rStyle w:val="Hyperlink"/>
          <w:rFonts w:ascii="Verdana" w:hAnsi="Verdana"/>
        </w:rPr>
        <w:t>Extract AI</w:t>
      </w:r>
      <w:r>
        <w:fldChar w:fldCharType="end"/>
      </w:r>
      <w:r w:rsidRPr="002327B7">
        <w:rPr>
          <w:rFonts w:ascii="Verdana" w:hAnsi="Verdana"/>
        </w:rPr>
        <w:t xml:space="preserve"> tool and AI decision-making tools from MHCLG are already working to address this. </w:t>
      </w:r>
    </w:p>
    <w:p w:rsidR="00AB32F1" w:rsidRPr="002327B7" w:rsidP="002327B7">
      <w:pPr>
        <w:pStyle w:val="ListParagraph"/>
        <w:numPr>
          <w:ilvl w:val="0"/>
          <w:numId w:val="21"/>
        </w:numPr>
        <w:ind w:left="357" w:hanging="357"/>
        <w:contextualSpacing w:val="0"/>
        <w:rPr>
          <w:rFonts w:ascii="Verdana" w:hAnsi="Verdana"/>
        </w:rPr>
      </w:pPr>
      <w:r w:rsidRPr="002327B7">
        <w:rPr>
          <w:rFonts w:ascii="Verdana" w:hAnsi="Verdana"/>
        </w:rPr>
        <w:t>It remains important for the Government to prioritise common information standards, greater digitisation of planning information and improved interoperability between organisations. Increasingly, the challenge is not access to data itself, but the ability to integrate and use it effectively. Addressing this represents a practical reform capable of improving planning efficiency without requiring significant legislative change.</w:t>
      </w:r>
    </w:p>
    <w:p w:rsidR="00AB32F1" w:rsidRPr="002327B7" w:rsidP="002327B7">
      <w:pPr>
        <w:pStyle w:val="ListParagraph"/>
        <w:numPr>
          <w:ilvl w:val="0"/>
          <w:numId w:val="21"/>
        </w:numPr>
        <w:ind w:left="357" w:hanging="357"/>
        <w:contextualSpacing w:val="0"/>
        <w:rPr>
          <w:rFonts w:ascii="Verdana" w:hAnsi="Verdana"/>
        </w:rPr>
      </w:pPr>
      <w:r w:rsidRPr="002327B7">
        <w:rPr>
          <w:rFonts w:ascii="Verdana" w:hAnsi="Verdana"/>
        </w:rPr>
        <w:t xml:space="preserve">Alongside this, continued investment in local authority capability will be important. Providing planning authorities with access to modern digital tools </w:t>
      </w:r>
      <w:r w:rsidRPr="002327B7">
        <w:rPr>
          <w:rFonts w:ascii="Verdana" w:hAnsi="Verdana"/>
        </w:rPr>
        <w:t>and high-quality geospatial information will help support faster, more evidence-led decisions throughout the delivery of new towns.</w:t>
      </w:r>
    </w:p>
    <w:p w:rsidR="00AB32F1" w:rsidRPr="002327B7" w:rsidP="002327B7">
      <w:pPr>
        <w:ind w:left="357" w:hanging="357"/>
        <w:rPr>
          <w:rFonts w:ascii="Verdana" w:hAnsi="Verdana"/>
          <w:b/>
          <w:bCs/>
        </w:rPr>
      </w:pPr>
      <w:r>
        <w:rPr>
          <w:rFonts w:ascii="Verdana" w:hAnsi="Verdana"/>
          <w:b/>
          <w:bCs/>
        </w:rPr>
        <w:t xml:space="preserve">    </w:t>
      </w:r>
      <w:r w:rsidRPr="002327B7" w:rsidR="00000000">
        <w:rPr>
          <w:rFonts w:ascii="Verdana" w:hAnsi="Verdana"/>
          <w:b/>
          <w:bCs/>
        </w:rPr>
        <w:t>What can the Government and new town delivery vehicles do in the short term to ensure that construction of new towns over the coming years and decades is successful?</w:t>
      </w:r>
    </w:p>
    <w:p w:rsidR="00AB32F1" w:rsidRPr="002327B7" w:rsidP="002327B7">
      <w:pPr>
        <w:pStyle w:val="ListParagraph"/>
        <w:numPr>
          <w:ilvl w:val="0"/>
          <w:numId w:val="23"/>
        </w:numPr>
        <w:ind w:left="357" w:hanging="357"/>
        <w:contextualSpacing w:val="0"/>
        <w:rPr>
          <w:rFonts w:ascii="Verdana" w:hAnsi="Verdana"/>
        </w:rPr>
      </w:pPr>
      <w:r w:rsidRPr="002327B7">
        <w:rPr>
          <w:rFonts w:ascii="Verdana" w:hAnsi="Verdana"/>
        </w:rPr>
        <w:t>Government's immediate priority should be providing greater certainty throughout the delivery process. New towns are complex, long-term programmes requiring close coordination between developers, infrastructure providers, local authorities and statutory bodies.</w:t>
      </w:r>
    </w:p>
    <w:p w:rsidR="00AB32F1" w:rsidRPr="002327B7" w:rsidP="002327B7">
      <w:pPr>
        <w:pStyle w:val="ListParagraph"/>
        <w:numPr>
          <w:ilvl w:val="0"/>
          <w:numId w:val="23"/>
        </w:numPr>
        <w:ind w:left="357" w:hanging="357"/>
        <w:contextualSpacing w:val="0"/>
        <w:rPr>
          <w:rFonts w:ascii="Verdana" w:hAnsi="Verdana"/>
        </w:rPr>
      </w:pPr>
      <w:r w:rsidRPr="002327B7">
        <w:rPr>
          <w:rFonts w:ascii="Verdana" w:hAnsi="Verdana"/>
        </w:rPr>
        <w:t xml:space="preserve">Development Corporations and local planning authorities should be equipped with the digital capability needed to coordinate these relationships effectively. Shared digital masterplans, underpinned by robust geospatial evidence, would enable infrastructure, environmental constraints, transport and community facilities to be planned alongside housing, rather than retrospectively. New towns must be planned as places, not simply collections of homes. Understanding the existing and future context of a location, including access to schools, healthcare, employment, retail, public transport, utilities and other local amenities, is essential to creating sustainable communities where people want to live. Comprehensive geospatial datasets, such as Landmark's </w:t>
      </w:r>
      <w:r>
        <w:fldChar w:fldCharType="begin"/>
      </w:r>
      <w:r>
        <w:instrText xml:space="preserve"> HYPERLINK "https://www.landmark.co.uk/products/pointx-dataset/" </w:instrText>
      </w:r>
      <w:r>
        <w:fldChar w:fldCharType="separate"/>
      </w:r>
      <w:r w:rsidRPr="002327B7">
        <w:rPr>
          <w:rStyle w:val="Hyperlink"/>
          <w:rFonts w:ascii="Verdana" w:hAnsi="Verdana"/>
        </w:rPr>
        <w:t>PointX</w:t>
      </w:r>
      <w:r>
        <w:fldChar w:fldCharType="end"/>
      </w:r>
      <w:r w:rsidRPr="002327B7">
        <w:rPr>
          <w:rFonts w:ascii="Verdana" w:hAnsi="Verdana"/>
        </w:rPr>
        <w:t xml:space="preserve"> database, can help planners assess existing provision, identify infrastructure gaps and ensure communities are supported by the services they need.</w:t>
      </w:r>
    </w:p>
    <w:p w:rsidR="00AB32F1" w:rsidRPr="002327B7" w:rsidP="001665DB">
      <w:pPr>
        <w:pStyle w:val="ListParagraph"/>
        <w:numPr>
          <w:ilvl w:val="0"/>
          <w:numId w:val="33"/>
        </w:numPr>
        <w:ind w:left="357" w:hanging="357"/>
        <w:contextualSpacing w:val="0"/>
        <w:rPr>
          <w:rFonts w:ascii="Verdana" w:hAnsi="Verdana"/>
        </w:rPr>
      </w:pPr>
      <w:r w:rsidRPr="002327B7">
        <w:rPr>
          <w:rFonts w:ascii="Verdana" w:hAnsi="Verdana"/>
        </w:rPr>
        <w:t>Success also depends on creating places where people are both willing and able to buy. Alongside planning reform, Government should continue modernising the homebuying and selling process. A faster, more transparent and more certain transaction process will help convert demand into completed purchases, giving developers the confidence to invest in future phases of delivery.</w:t>
      </w:r>
    </w:p>
    <w:p w:rsidR="00AB32F1" w:rsidRPr="002327B7" w:rsidP="001665DB">
      <w:pPr>
        <w:pStyle w:val="ListParagraph"/>
        <w:numPr>
          <w:ilvl w:val="0"/>
          <w:numId w:val="33"/>
        </w:numPr>
        <w:ind w:left="357" w:hanging="357"/>
        <w:contextualSpacing w:val="0"/>
        <w:rPr>
          <w:rFonts w:ascii="Verdana" w:hAnsi="Verdana"/>
        </w:rPr>
      </w:pPr>
      <w:r w:rsidRPr="002327B7">
        <w:rPr>
          <w:rFonts w:ascii="Verdana" w:hAnsi="Verdana"/>
        </w:rPr>
        <w:t>Finally, Government should recognise the growing demand for geospatial expertise. Landmark's research found that four in five geospatial professionals expect demand for GIS and geospatial skills to outpace supply over the coming years. Investing in digital skills, alongside planning capacity and modern planning tools, will be essential to delivering successful new towns over the coming decades.</w:t>
      </w:r>
    </w:p>
    <w:p w:rsidR="00AB32F1" w:rsidRPr="002327B7" w:rsidP="005D2D84">
      <w:pPr>
        <w:ind w:left="357" w:hanging="357"/>
        <w:rPr>
          <w:rFonts w:ascii="Verdana" w:hAnsi="Verdana"/>
          <w:b/>
          <w:bCs/>
        </w:rPr>
      </w:pPr>
      <w:r>
        <w:rPr>
          <w:rFonts w:ascii="Verdana" w:hAnsi="Verdana"/>
          <w:b/>
          <w:bCs/>
        </w:rPr>
        <w:t xml:space="preserve">     </w:t>
      </w:r>
      <w:r w:rsidRPr="002327B7" w:rsidR="00000000">
        <w:rPr>
          <w:rFonts w:ascii="Verdana" w:hAnsi="Verdana"/>
          <w:b/>
          <w:bCs/>
        </w:rPr>
        <w:t>How can the Government give assurance to suppliers, builders and developers that new towns are a viable source of business and a credible investment opportunity?</w:t>
      </w:r>
    </w:p>
    <w:p w:rsidR="00AB32F1" w:rsidRPr="00F94905" w:rsidP="00F94905">
      <w:pPr>
        <w:pStyle w:val="ListParagraph"/>
        <w:numPr>
          <w:ilvl w:val="0"/>
          <w:numId w:val="24"/>
        </w:numPr>
        <w:ind w:left="357" w:hanging="357"/>
        <w:contextualSpacing w:val="0"/>
        <w:rPr>
          <w:rFonts w:ascii="Verdana" w:hAnsi="Verdana"/>
        </w:rPr>
      </w:pPr>
      <w:r w:rsidRPr="00F94905">
        <w:rPr>
          <w:rFonts w:ascii="Verdana" w:hAnsi="Verdana"/>
        </w:rPr>
        <w:t>Long-term investment depends upon confidence that projects can be delivered predictably, efficiently and with a high degree of certainty. Developers, suppliers and infrastructure providers require confidence in planning policy, infrastructure funding, governance arrangements and the quality of information underpinning delivery.</w:t>
      </w:r>
    </w:p>
    <w:p w:rsidR="00AB32F1" w:rsidRPr="00F94905" w:rsidP="00F94905">
      <w:pPr>
        <w:pStyle w:val="ListParagraph"/>
        <w:numPr>
          <w:ilvl w:val="0"/>
          <w:numId w:val="24"/>
        </w:numPr>
        <w:ind w:left="357" w:hanging="357"/>
        <w:contextualSpacing w:val="0"/>
        <w:rPr>
          <w:rFonts w:ascii="Verdana" w:hAnsi="Verdana"/>
        </w:rPr>
      </w:pPr>
      <w:r w:rsidRPr="00F94905">
        <w:rPr>
          <w:rFonts w:ascii="Verdana" w:hAnsi="Verdana"/>
        </w:rPr>
        <w:t xml:space="preserve">Government can support this by providing clear long-term delivery programmes, transparent infrastructure sequencing and stable planning </w:t>
      </w:r>
      <w:r w:rsidRPr="00F94905">
        <w:rPr>
          <w:rFonts w:ascii="Verdana" w:hAnsi="Verdana"/>
        </w:rPr>
        <w:t xml:space="preserve">frameworks. Equally important is ensuring delivery partners have access to reliable, up-to-date information throughout the lifecycle of a new town, allowing risks to be identified early and investment decisions to be made with greater confidence. </w:t>
      </w:r>
    </w:p>
    <w:p w:rsidR="00AB32F1" w:rsidRPr="00F94905" w:rsidP="001665DB">
      <w:pPr>
        <w:pStyle w:val="ListParagraph"/>
        <w:numPr>
          <w:ilvl w:val="0"/>
          <w:numId w:val="32"/>
        </w:numPr>
        <w:ind w:left="357" w:hanging="357"/>
        <w:contextualSpacing w:val="0"/>
        <w:rPr>
          <w:rFonts w:ascii="Verdana" w:hAnsi="Verdana"/>
        </w:rPr>
      </w:pPr>
      <w:r w:rsidRPr="00F94905">
        <w:rPr>
          <w:rFonts w:ascii="Verdana" w:hAnsi="Verdana"/>
        </w:rPr>
        <w:t>Greater transparency around local housing market demand would also strengthen investor confidence. Access to timely data on buyer demand, sales rates and local transaction trends would enable developers and funders to better understand how quickly new homes are likely to be absorbed by the market. This provides greater confidence that completed homes will convert into sales, reducing financial risk and supporting continued investment across subsequent phases of development.</w:t>
      </w:r>
    </w:p>
    <w:p w:rsidR="00AB32F1" w:rsidRPr="00F94905" w:rsidP="001665DB">
      <w:pPr>
        <w:pStyle w:val="ListParagraph"/>
        <w:numPr>
          <w:ilvl w:val="0"/>
          <w:numId w:val="32"/>
        </w:numPr>
        <w:ind w:left="357" w:hanging="357"/>
        <w:contextualSpacing w:val="0"/>
        <w:rPr>
          <w:rFonts w:ascii="Verdana" w:hAnsi="Verdana"/>
        </w:rPr>
      </w:pPr>
      <w:r w:rsidRPr="00F94905">
        <w:rPr>
          <w:rFonts w:ascii="Verdana" w:hAnsi="Verdana"/>
        </w:rPr>
        <w:t>Together, these measures would reduce uncertainty, improve investment decisions and encourage greater private sector participation.</w:t>
      </w:r>
    </w:p>
    <w:p w:rsidR="00AB32F1" w:rsidRPr="00F94905" w:rsidP="005D2D84">
      <w:pPr>
        <w:ind w:left="357" w:hanging="357"/>
        <w:rPr>
          <w:rFonts w:ascii="Verdana" w:hAnsi="Verdana"/>
          <w:b/>
          <w:bCs/>
        </w:rPr>
      </w:pPr>
      <w:r>
        <w:rPr>
          <w:rFonts w:ascii="Verdana" w:hAnsi="Verdana"/>
          <w:b/>
          <w:bCs/>
        </w:rPr>
        <w:t xml:space="preserve">     </w:t>
      </w:r>
      <w:r w:rsidRPr="00F94905" w:rsidR="00000000">
        <w:rPr>
          <w:rFonts w:ascii="Verdana" w:hAnsi="Verdana"/>
          <w:b/>
          <w:bCs/>
        </w:rPr>
        <w:t>How can we ensure that new towns and expanded settlements are delivered to a high-quality standard that go beyond minimum expectations for construction and demonstrates best practice for sustainability, aesthetics and place-making?</w:t>
      </w:r>
    </w:p>
    <w:p w:rsidR="00AB32F1" w:rsidRPr="00F94905" w:rsidP="001665DB">
      <w:pPr>
        <w:pStyle w:val="ListParagraph"/>
        <w:numPr>
          <w:ilvl w:val="0"/>
          <w:numId w:val="28"/>
        </w:numPr>
        <w:ind w:left="357" w:hanging="357"/>
        <w:contextualSpacing w:val="0"/>
        <w:rPr>
          <w:rFonts w:ascii="Verdana" w:hAnsi="Verdana"/>
        </w:rPr>
      </w:pPr>
      <w:r w:rsidRPr="00F94905">
        <w:rPr>
          <w:rFonts w:ascii="Verdana" w:hAnsi="Verdana"/>
        </w:rPr>
        <w:t>The success of new towns should be measured not simply by the number of homes delivered, but by the quality, resilience and long-term sustainability of the places they create. Successful placemaking depends upon integrating housing with transport, education, healthcare, employment opportunities, green infrastructure and community facilities from the earliest stages of planning. Ultimately, new towns should offer people genuine choice: choice over where they live, how they travel, whether by walking, cycling, public transport or car, and how they access work, services, leisure and community facilities. It is this quality of place that will determine whether new communities thrive over the long term.</w:t>
      </w:r>
    </w:p>
    <w:p w:rsidR="00AB32F1" w:rsidRPr="00F94905" w:rsidP="001665DB">
      <w:pPr>
        <w:pStyle w:val="ListParagraph"/>
        <w:numPr>
          <w:ilvl w:val="0"/>
          <w:numId w:val="28"/>
        </w:numPr>
        <w:ind w:left="357" w:hanging="357"/>
        <w:contextualSpacing w:val="0"/>
        <w:rPr>
          <w:rFonts w:ascii="Verdana" w:hAnsi="Verdana"/>
        </w:rPr>
      </w:pPr>
      <w:r w:rsidRPr="00F94905">
        <w:rPr>
          <w:rFonts w:ascii="Verdana" w:hAnsi="Verdana"/>
        </w:rPr>
        <w:t xml:space="preserve">High-quality placemaking should be informed by measurable evidence. Geospatial data enables planners to assess accessibility to schools, healthcare, transport, green space, employment opportunities and other local amenities, ensuring communities are designed around the needs and choices of future residents rather than retrofitted after development has taken place. Comprehensive datasets, such as Landmark's </w:t>
      </w:r>
      <w:r w:rsidRPr="00F94905">
        <w:rPr>
          <w:rFonts w:ascii="Verdana" w:hAnsi="Verdana"/>
        </w:rPr>
        <w:t>PointX</w:t>
      </w:r>
      <w:r w:rsidRPr="00F94905">
        <w:rPr>
          <w:rFonts w:ascii="Verdana" w:hAnsi="Verdana"/>
        </w:rPr>
        <w:t>, alongside wider planning, environmental and infrastructure information, help planners understand how places function, identify gaps in local provision and create communities that are both sustainable and attractive places to live.</w:t>
      </w:r>
    </w:p>
    <w:p w:rsidR="00AB32F1" w:rsidRPr="00F94905" w:rsidP="001665DB">
      <w:pPr>
        <w:pStyle w:val="ListParagraph"/>
        <w:numPr>
          <w:ilvl w:val="0"/>
          <w:numId w:val="28"/>
        </w:numPr>
        <w:ind w:left="357" w:hanging="357"/>
        <w:contextualSpacing w:val="0"/>
        <w:rPr>
          <w:rFonts w:ascii="Verdana" w:hAnsi="Verdana"/>
        </w:rPr>
      </w:pPr>
      <w:r w:rsidRPr="00F94905">
        <w:rPr>
          <w:rFonts w:ascii="Verdana" w:hAnsi="Verdana"/>
        </w:rPr>
        <w:t>New towns must also be planned with long-term climate resilience in mind. As climate risks continue to evolve, planners and developers should consider factors such as flood risk, water stress, overheating, biodiversity enhancement and access to green infrastructure from the earliest stages of site selection and design. Embedding climate intelligence within planning decisions will help ensure communities remain safe, sustainable and economically resilient throughout their lifetime, while reducing future costs associated with adaptation and remediation.</w:t>
      </w:r>
    </w:p>
    <w:p w:rsidR="00AB32F1" w:rsidRPr="00F94905" w:rsidP="001665DB">
      <w:pPr>
        <w:pStyle w:val="ListParagraph"/>
        <w:numPr>
          <w:ilvl w:val="0"/>
          <w:numId w:val="28"/>
        </w:numPr>
        <w:ind w:left="357" w:hanging="357"/>
        <w:contextualSpacing w:val="0"/>
        <w:rPr>
          <w:rFonts w:ascii="Verdana" w:hAnsi="Verdana"/>
        </w:rPr>
      </w:pPr>
      <w:r w:rsidRPr="00F94905">
        <w:rPr>
          <w:rFonts w:ascii="Verdana" w:hAnsi="Verdana"/>
        </w:rPr>
        <w:t>Emerging technologies also have an increasingly important role to play. Landmark's above-cited research found that 68% of geospatial professionals are already using artificial intelligence within their workflows, while 88% of those users expect AI to automate a greater proportion of geospatial analysis over the next two to three years. However, respondents consistently identified data quality and interoperability as prerequisites for realising these benefits. This reinforces the importance of establishing strong digital foundations as part of the delivery of high-quality, sustainable new communities.</w:t>
      </w:r>
    </w:p>
    <w:p w:rsidR="00AB32F1" w:rsidRPr="00F94905" w:rsidP="005D2D84">
      <w:pPr>
        <w:ind w:left="357" w:hanging="357"/>
        <w:rPr>
          <w:rFonts w:ascii="Verdana" w:hAnsi="Verdana"/>
          <w:b/>
          <w:bCs/>
        </w:rPr>
      </w:pPr>
      <w:r>
        <w:rPr>
          <w:rFonts w:ascii="Verdana" w:hAnsi="Verdana"/>
          <w:b/>
          <w:bCs/>
        </w:rPr>
        <w:t xml:space="preserve">     </w:t>
      </w:r>
      <w:r w:rsidRPr="00F94905" w:rsidR="00000000">
        <w:rPr>
          <w:rFonts w:ascii="Verdana" w:hAnsi="Verdana"/>
          <w:b/>
          <w:bCs/>
        </w:rPr>
        <w:t>Which case studies of large-scale construction projects should the Committee and Government look at to learn from best and worst practice in construction and supply logistics?</w:t>
      </w:r>
    </w:p>
    <w:p w:rsidR="00AB32F1" w:rsidRPr="001665DB" w:rsidP="001665DB">
      <w:pPr>
        <w:pStyle w:val="ListParagraph"/>
        <w:numPr>
          <w:ilvl w:val="0"/>
          <w:numId w:val="31"/>
        </w:numPr>
        <w:ind w:left="357" w:hanging="357"/>
        <w:contextualSpacing w:val="0"/>
        <w:rPr>
          <w:rFonts w:ascii="Verdana" w:hAnsi="Verdana"/>
        </w:rPr>
      </w:pPr>
      <w:r w:rsidRPr="001665DB">
        <w:rPr>
          <w:rFonts w:ascii="Verdana" w:hAnsi="Verdana"/>
        </w:rPr>
        <w:t>The Committee should consider a range of historic and contemporary examples of large-scale development, recognising that successful delivery depends as much on governance, infrastructure coordination and long-term planning as it does on construction techniques.</w:t>
      </w:r>
    </w:p>
    <w:p w:rsidR="00AB32F1" w:rsidRPr="001665DB" w:rsidP="001665DB">
      <w:pPr>
        <w:pStyle w:val="ListParagraph"/>
        <w:numPr>
          <w:ilvl w:val="0"/>
          <w:numId w:val="31"/>
        </w:numPr>
        <w:ind w:left="357" w:hanging="357"/>
        <w:contextualSpacing w:val="0"/>
        <w:rPr>
          <w:rFonts w:ascii="Verdana" w:hAnsi="Verdana"/>
        </w:rPr>
      </w:pPr>
      <w:r w:rsidRPr="001665DB">
        <w:rPr>
          <w:rFonts w:ascii="Verdana" w:hAnsi="Verdana"/>
        </w:rPr>
        <w:t>Projects such as Milton Keynes, King's Cross, Ebbsfleet Garden City and the Queen Elizabeth Olympic Park demonstrate the value of clear governance, infrastructure-first delivery and a long-term approach to placemaking. Although different in scale and purpose, each highlights the importance of coordinating transport, utilities, environmental mitigation and community infrastructure from the outset rather than treating them as subsequent phases of development.</w:t>
      </w:r>
    </w:p>
    <w:p w:rsidR="00AB32F1" w:rsidRPr="001665DB" w:rsidP="001665DB">
      <w:pPr>
        <w:pStyle w:val="ListParagraph"/>
        <w:numPr>
          <w:ilvl w:val="0"/>
          <w:numId w:val="31"/>
        </w:numPr>
        <w:ind w:left="357" w:hanging="357"/>
        <w:contextualSpacing w:val="0"/>
        <w:rPr>
          <w:rFonts w:ascii="Verdana" w:hAnsi="Verdana"/>
        </w:rPr>
      </w:pPr>
      <w:r w:rsidRPr="001665DB">
        <w:rPr>
          <w:rFonts w:ascii="Verdana" w:hAnsi="Verdana"/>
        </w:rPr>
        <w:t>The Committee may also wish to consider nationally significant infrastructure projects such as the Thames Tideway Tunnel, which demonstrates the importance of early environmental assessment, coordinated utility planning and effective information management across multiple organisations. Landmark has supported the programme through the provision of environmental reports during the planning stage and geospatial mapping data to improve operational efficiency, illustrating how high-quality data can support the delivery of complex infrastructure projects.</w:t>
      </w:r>
    </w:p>
    <w:p w:rsidR="00AB32F1" w:rsidRPr="001665DB" w:rsidP="001665DB">
      <w:pPr>
        <w:pStyle w:val="ListParagraph"/>
        <w:numPr>
          <w:ilvl w:val="0"/>
          <w:numId w:val="31"/>
        </w:numPr>
        <w:ind w:left="357" w:hanging="357"/>
        <w:contextualSpacing w:val="0"/>
        <w:rPr>
          <w:rFonts w:ascii="Verdana" w:hAnsi="Verdana"/>
        </w:rPr>
      </w:pPr>
      <w:r w:rsidRPr="001665DB">
        <w:rPr>
          <w:rFonts w:ascii="Verdana" w:hAnsi="Verdana"/>
        </w:rPr>
        <w:t>Collectively, these examples demonstrate that successful delivery relies not only on construction capacity, but on strong governance, infrastructure-first planning, effective collaboration and robust evidence throughout the lifecycle of a project.</w:t>
      </w:r>
    </w:p>
    <w:p w:rsidR="00AB32F1" w:rsidRPr="001665DB" w:rsidP="001665DB">
      <w:pPr>
        <w:rPr>
          <w:rFonts w:ascii="Verdana" w:hAnsi="Verdana"/>
          <w:b/>
          <w:bCs/>
        </w:rPr>
      </w:pPr>
      <w:r>
        <w:rPr>
          <w:rFonts w:ascii="Verdana" w:hAnsi="Verdana"/>
          <w:b/>
          <w:bCs/>
        </w:rPr>
        <w:t xml:space="preserve">    </w:t>
      </w:r>
      <w:r w:rsidRPr="001665DB" w:rsidR="00000000">
        <w:rPr>
          <w:rFonts w:ascii="Verdana" w:hAnsi="Verdana"/>
          <w:b/>
          <w:bCs/>
        </w:rPr>
        <w:t xml:space="preserve">Conclusion </w:t>
      </w:r>
    </w:p>
    <w:p w:rsidR="00AB32F1" w:rsidRPr="001665DB" w:rsidP="001665DB">
      <w:pPr>
        <w:pStyle w:val="ListParagraph"/>
        <w:numPr>
          <w:ilvl w:val="0"/>
          <w:numId w:val="30"/>
        </w:numPr>
        <w:ind w:left="357" w:hanging="357"/>
        <w:contextualSpacing w:val="0"/>
        <w:rPr>
          <w:rFonts w:ascii="Verdana" w:hAnsi="Verdana"/>
        </w:rPr>
      </w:pPr>
      <w:r w:rsidRPr="001665DB">
        <w:rPr>
          <w:rFonts w:ascii="Verdana" w:hAnsi="Verdana"/>
        </w:rPr>
        <w:t>Landmark welcomes the Committee's inquiry into the practical challenges of delivering the next generation of new towns. While planning reform and investment remain essential, success will increasingly depend on Government, local authorities, developers and infrastructure providers working from consistent, high-quality information to support coordinated decision-making.</w:t>
      </w:r>
    </w:p>
    <w:p w:rsidR="00AB32F1" w:rsidRPr="001665DB" w:rsidP="001665DB">
      <w:pPr>
        <w:pStyle w:val="ListParagraph"/>
        <w:numPr>
          <w:ilvl w:val="0"/>
          <w:numId w:val="30"/>
        </w:numPr>
        <w:ind w:left="357" w:hanging="357"/>
        <w:contextualSpacing w:val="0"/>
        <w:rPr>
          <w:rFonts w:ascii="Verdana" w:hAnsi="Verdana"/>
        </w:rPr>
      </w:pPr>
      <w:r w:rsidRPr="001665DB">
        <w:rPr>
          <w:rFonts w:ascii="Verdana" w:hAnsi="Verdana"/>
        </w:rPr>
        <w:t xml:space="preserve">Ultimately, successful planning is about more than delivering homes. It is about creating sustainable places where communities can grow and thrive. </w:t>
      </w:r>
      <w:r w:rsidRPr="001665DB">
        <w:rPr>
          <w:rFonts w:ascii="Verdana" w:hAnsi="Verdana"/>
        </w:rPr>
        <w:t>That, however, depends not only on planning and infrastructure, but on a homebuying and selling process that enables people to move into those communities efficiently and with confidence. Alongside planning reform, continued progress in modernising the homebuying journey will help create a more fluid housing market, supporting the movement of people into new communities while giving developers and investors greater confidence that homes will be sold within predictable timescales and provide the certainty needed to sustain long-term investment.</w:t>
      </w:r>
    </w:p>
    <w:p w:rsidR="00AB32F1" w:rsidRPr="001665DB" w:rsidP="001665DB">
      <w:pPr>
        <w:pStyle w:val="ListParagraph"/>
        <w:numPr>
          <w:ilvl w:val="0"/>
          <w:numId w:val="30"/>
        </w:numPr>
        <w:ind w:left="357" w:hanging="357"/>
        <w:contextualSpacing w:val="0"/>
        <w:rPr>
          <w:rFonts w:ascii="Verdana" w:hAnsi="Verdana"/>
        </w:rPr>
      </w:pPr>
      <w:r w:rsidRPr="001665DB">
        <w:rPr>
          <w:rFonts w:ascii="Verdana" w:hAnsi="Verdana"/>
        </w:rPr>
        <w:t>By embedding geospatial intelligence, common data standards and digital planning tools throughout the delivery process, while continuing to improve the efficiency of property transactions, Government can reduce uncertainty, strengthen investor confidence and support the delivery of thriving, resilient places. Landmark looks forward to continuing to work with the Government, the Committee and industry to help ensure the new towns programme delivers not only more homes, but better places.</w:t>
      </w:r>
    </w:p>
    <w:p w:rsidR="00AB32F1" w:rsidRPr="001665DB" w:rsidP="005D2D84">
      <w:pPr>
        <w:ind w:left="357" w:hanging="357"/>
        <w:rPr>
          <w:rFonts w:ascii="Verdana" w:hAnsi="Verdana"/>
          <w:i/>
          <w:iCs/>
        </w:rPr>
      </w:pPr>
      <w:r w:rsidRPr="001665DB">
        <w:rPr>
          <w:rFonts w:ascii="Verdana" w:hAnsi="Verdana"/>
          <w:i/>
          <w:iCs/>
        </w:rPr>
        <w:t>10 July 2026</w:t>
      </w:r>
    </w:p>
    <w:sectPr>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32F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32F1">
    <w:pPr>
      <w:pStyle w:val="Header"/>
    </w:pPr>
    <w:r>
      <w:rPr>
        <w:noProof/>
      </w:rPr>
      <w:pict>
        <v:shapetype id="_x0000_t202" coordsize="21600,21600" o:spt="202" path="m,l,21600r21600,l21600,xe">
          <v:stroke joinstyle="miter"/>
          <v:path gradientshapeok="t" o:connecttype="rect"/>
        </v:shapetype>
        <v:shape id="Text Box 3" o:spid="_x0000_s2049" type="#_x0000_t202" alt="CONFIDENTIAL" style="height:30.8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80.25pt;z-index:251658240" filled="f" stroked="f">
          <v:textbox style="mso-fit-shape-to-text:t" inset="0,15pt,0,0">
            <w:txbxContent>
              <w:p w:rsidR="00AB32F1" w:rsidRPr="00247E8E" w:rsidP="00247E8E">
                <w:pPr>
                  <w:spacing w:after="0"/>
                  <w:rPr>
                    <w:rFonts w:ascii="Aptos" w:eastAsia="Aptos" w:hAnsi="Aptos" w:cs="Aptos"/>
                    <w:noProof/>
                    <w:color w:val="000000"/>
                    <w:sz w:val="24"/>
                    <w:szCs w:val="24"/>
                  </w:rPr>
                </w:pPr>
                <w:r w:rsidRPr="00247E8E">
                  <w:rPr>
                    <w:rFonts w:ascii="Aptos" w:eastAsia="Aptos" w:hAnsi="Aptos" w:cs="Aptos"/>
                    <w:noProof/>
                    <w:color w:val="000000"/>
                    <w:sz w:val="24"/>
                    <w:szCs w:val="24"/>
                  </w:rPr>
                  <w:t>CONFIDENTIAL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32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B32F1">
    <w:pPr>
      <w:pStyle w:val="Header"/>
    </w:pPr>
    <w:r>
      <w:rPr>
        <w:noProof/>
      </w:rPr>
      <w:pict>
        <v:shapetype id="_x0000_t202" coordsize="21600,21600" o:spt="202" path="m,l,21600r21600,l21600,xe">
          <v:stroke joinstyle="miter"/>
          <v:path gradientshapeok="t" o:connecttype="rect"/>
        </v:shapetype>
        <v:shape id="Text Box 2" o:spid="_x0000_s2050" type="#_x0000_t202" alt="CONFIDENTIAL" style="height:30.8pt;margin-left:0;margin-top:0;mso-position-horizontal:center;mso-position-horizontal-relative:page;mso-position-vertical:top;mso-position-vertical-relative:page;mso-wrap-distance-bottom:0;mso-wrap-distance-left:0;mso-wrap-distance-right:0;mso-wrap-distance-top:0;mso-wrap-style:none;position:absolute;v-text-anchor:top;visibility:visible;width:80.25pt;z-index:251659264" filled="f" stroked="f">
          <v:textbox style="mso-fit-shape-to-text:t" inset="0,15pt,0,0">
            <w:txbxContent>
              <w:p w:rsidR="00AB32F1" w:rsidRPr="00247E8E" w:rsidP="00247E8E">
                <w:pPr>
                  <w:spacing w:after="0"/>
                  <w:rPr>
                    <w:rFonts w:ascii="Aptos" w:eastAsia="Aptos" w:hAnsi="Aptos" w:cs="Aptos"/>
                    <w:noProof/>
                    <w:color w:val="000000"/>
                    <w:sz w:val="24"/>
                    <w:szCs w:val="24"/>
                  </w:rPr>
                </w:pPr>
                <w:r w:rsidRPr="00247E8E">
                  <w:rPr>
                    <w:rFonts w:ascii="Aptos" w:eastAsia="Aptos" w:hAnsi="Aptos" w:cs="Aptos"/>
                    <w:noProof/>
                    <w:color w:val="000000"/>
                    <w:sz w:val="24"/>
                    <w:szCs w:val="24"/>
                  </w:rPr>
                  <w:t>CONFIDENTIAL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592462"/>
    <w:multiLevelType w:val="hybridMultilevel"/>
    <w:tmpl w:val="E82093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835F2F"/>
    <w:multiLevelType w:val="multilevel"/>
    <w:tmpl w:val="AE602ED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25ED2FB7"/>
    <w:multiLevelType w:val="hybridMultilevel"/>
    <w:tmpl w:val="9A00A0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AA23B4C"/>
    <w:multiLevelType w:val="hybridMultilevel"/>
    <w:tmpl w:val="06EE49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176465"/>
    <w:multiLevelType w:val="hybridMultilevel"/>
    <w:tmpl w:val="73561E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46050EA"/>
    <w:multiLevelType w:val="hybridMultilevel"/>
    <w:tmpl w:val="DF240F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8E51D5B"/>
    <w:multiLevelType w:val="hybridMultilevel"/>
    <w:tmpl w:val="CB2E36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BDF1325"/>
    <w:multiLevelType w:val="hybridMultilevel"/>
    <w:tmpl w:val="3132C7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EC71D7C"/>
    <w:multiLevelType w:val="hybridMultilevel"/>
    <w:tmpl w:val="CE8EC7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77123E34"/>
    <w:multiLevelType w:val="hybridMultilevel"/>
    <w:tmpl w:val="7E8A13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C453C53"/>
    <w:multiLevelType w:val="hybridMultilevel"/>
    <w:tmpl w:val="E48A41E8"/>
    <w:lvl w:ilvl="0">
      <w:start w:val="1"/>
      <w:numFmt w:val="decimal"/>
      <w:lvlText w:val="%1."/>
      <w:lvlJc w:val="left"/>
      <w:pPr>
        <w:ind w:left="1077" w:hanging="360"/>
      </w:pPr>
    </w:lvl>
    <w:lvl w:ilvl="1" w:tentative="1">
      <w:start w:val="1"/>
      <w:numFmt w:val="lowerLetter"/>
      <w:lvlText w:val="%2."/>
      <w:lvlJc w:val="left"/>
      <w:pPr>
        <w:ind w:left="1797" w:hanging="360"/>
      </w:pPr>
    </w:lvl>
    <w:lvl w:ilvl="2" w:tentative="1">
      <w:start w:val="1"/>
      <w:numFmt w:val="lowerRoman"/>
      <w:lvlText w:val="%3."/>
      <w:lvlJc w:val="right"/>
      <w:pPr>
        <w:ind w:left="2517" w:hanging="180"/>
      </w:pPr>
    </w:lvl>
    <w:lvl w:ilvl="3" w:tentative="1">
      <w:start w:val="1"/>
      <w:numFmt w:val="decimal"/>
      <w:lvlText w:val="%4."/>
      <w:lvlJc w:val="left"/>
      <w:pPr>
        <w:ind w:left="3237" w:hanging="360"/>
      </w:pPr>
    </w:lvl>
    <w:lvl w:ilvl="4" w:tentative="1">
      <w:start w:val="1"/>
      <w:numFmt w:val="lowerLetter"/>
      <w:lvlText w:val="%5."/>
      <w:lvlJc w:val="left"/>
      <w:pPr>
        <w:ind w:left="3957" w:hanging="360"/>
      </w:pPr>
    </w:lvl>
    <w:lvl w:ilvl="5" w:tentative="1">
      <w:start w:val="1"/>
      <w:numFmt w:val="lowerRoman"/>
      <w:lvlText w:val="%6."/>
      <w:lvlJc w:val="right"/>
      <w:pPr>
        <w:ind w:left="4677" w:hanging="180"/>
      </w:pPr>
    </w:lvl>
    <w:lvl w:ilvl="6" w:tentative="1">
      <w:start w:val="1"/>
      <w:numFmt w:val="decimal"/>
      <w:lvlText w:val="%7."/>
      <w:lvlJc w:val="left"/>
      <w:pPr>
        <w:ind w:left="5397" w:hanging="360"/>
      </w:pPr>
    </w:lvl>
    <w:lvl w:ilvl="7" w:tentative="1">
      <w:start w:val="1"/>
      <w:numFmt w:val="lowerLetter"/>
      <w:lvlText w:val="%8."/>
      <w:lvlJc w:val="left"/>
      <w:pPr>
        <w:ind w:left="6117" w:hanging="360"/>
      </w:pPr>
    </w:lvl>
    <w:lvl w:ilvl="8" w:tentative="1">
      <w:start w:val="1"/>
      <w:numFmt w:val="lowerRoman"/>
      <w:lvlText w:val="%9."/>
      <w:lvlJc w:val="right"/>
      <w:pPr>
        <w:ind w:left="6837" w:hanging="180"/>
      </w:pPr>
    </w:lvl>
  </w:abstractNum>
  <w:num w:numId="1">
    <w:abstractNumId w:val="1"/>
  </w:num>
  <w:num w:numId="2">
    <w:abstractNumId w:val="8"/>
  </w:num>
  <w:num w:numId="3">
    <w:abstractNumId w:val="2"/>
  </w:num>
  <w:num w:numId="4">
    <w:abstractNumId w:val="7"/>
  </w:num>
  <w:num w:numId="5">
    <w:abstractNumId w:val="8"/>
    <w:lvlOverride w:ilvl="0">
      <w:lvl w:ilvl="0">
        <w:start w:val="1"/>
        <w:numFmt w:val="decimal"/>
        <w:lvlText w:val="%1."/>
        <w:lvlJc w:val="left"/>
        <w:pPr>
          <w:ind w:left="5038" w:hanging="360"/>
        </w:pPr>
      </w:lvl>
    </w:lvlOverride>
    <w:lvlOverride w:ilvl="1">
      <w:lvl w:ilvl="1" w:tentative="1">
        <w:start w:val="1"/>
        <w:numFmt w:val="lowerLetter"/>
        <w:lvlText w:val="%2."/>
        <w:lvlJc w:val="left"/>
        <w:pPr>
          <w:ind w:left="5758" w:hanging="360"/>
        </w:pPr>
      </w:lvl>
    </w:lvlOverride>
    <w:lvlOverride w:ilvl="2">
      <w:lvl w:ilvl="2" w:tentative="1">
        <w:start w:val="1"/>
        <w:numFmt w:val="lowerRoman"/>
        <w:lvlText w:val="%3."/>
        <w:lvlJc w:val="right"/>
        <w:pPr>
          <w:ind w:left="6478" w:hanging="180"/>
        </w:pPr>
      </w:lvl>
    </w:lvlOverride>
    <w:lvlOverride w:ilvl="3">
      <w:lvl w:ilvl="3" w:tentative="1">
        <w:start w:val="1"/>
        <w:numFmt w:val="decimal"/>
        <w:lvlText w:val="%4."/>
        <w:lvlJc w:val="left"/>
        <w:pPr>
          <w:ind w:left="7198" w:hanging="360"/>
        </w:pPr>
      </w:lvl>
    </w:lvlOverride>
    <w:lvlOverride w:ilvl="4">
      <w:lvl w:ilvl="4" w:tentative="1">
        <w:start w:val="1"/>
        <w:numFmt w:val="lowerLetter"/>
        <w:lvlText w:val="%5."/>
        <w:lvlJc w:val="left"/>
        <w:pPr>
          <w:ind w:left="7918" w:hanging="360"/>
        </w:pPr>
      </w:lvl>
    </w:lvlOverride>
    <w:lvlOverride w:ilvl="5">
      <w:lvl w:ilvl="5" w:tentative="1">
        <w:start w:val="1"/>
        <w:numFmt w:val="lowerRoman"/>
        <w:lvlText w:val="%6."/>
        <w:lvlJc w:val="right"/>
        <w:pPr>
          <w:ind w:left="8638" w:hanging="180"/>
        </w:pPr>
      </w:lvl>
    </w:lvlOverride>
    <w:lvlOverride w:ilvl="6">
      <w:lvl w:ilvl="6" w:tentative="1">
        <w:start w:val="1"/>
        <w:numFmt w:val="decimal"/>
        <w:lvlText w:val="%7."/>
        <w:lvlJc w:val="left"/>
        <w:pPr>
          <w:ind w:left="9358" w:hanging="360"/>
        </w:pPr>
      </w:lvl>
    </w:lvlOverride>
    <w:lvlOverride w:ilvl="7">
      <w:lvl w:ilvl="7" w:tentative="1">
        <w:start w:val="1"/>
        <w:numFmt w:val="lowerLetter"/>
        <w:lvlText w:val="%8."/>
        <w:lvlJc w:val="left"/>
        <w:pPr>
          <w:ind w:left="10078" w:hanging="360"/>
        </w:pPr>
      </w:lvl>
    </w:lvlOverride>
    <w:lvlOverride w:ilvl="8">
      <w:lvl w:ilvl="8" w:tentative="1">
        <w:start w:val="1"/>
        <w:numFmt w:val="lowerRoman"/>
        <w:lvlText w:val="%9."/>
        <w:lvlJc w:val="right"/>
        <w:pPr>
          <w:ind w:left="10798" w:hanging="180"/>
        </w:pPr>
      </w:lvl>
    </w:lvlOverride>
  </w:num>
  <w:num w:numId="6">
    <w:abstractNumId w:val="8"/>
    <w:lvlOverride w:ilvl="0">
      <w:lvl w:ilvl="0">
        <w:start w:val="1"/>
        <w:numFmt w:val="decimal"/>
        <w:lvlText w:val="%1."/>
        <w:lvlJc w:val="left"/>
        <w:pPr>
          <w:ind w:left="5038" w:hanging="4681"/>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abstractNumId w:val="8"/>
    <w:lvlOverride w:ilvl="0">
      <w:lvl w:ilvl="0">
        <w:start w:val="1"/>
        <w:numFmt w:val="decimal"/>
        <w:lvlText w:val="%1."/>
        <w:lvlJc w:val="left"/>
        <w:pPr>
          <w:ind w:left="992" w:hanging="635"/>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abstractNumId w:val="8"/>
    <w:lvlOverride w:ilvl="0">
      <w:lvl w:ilvl="0">
        <w:start w:val="1"/>
        <w:numFmt w:val="decimal"/>
        <w:lvlText w:val="%1."/>
        <w:lvlJc w:val="left"/>
        <w:pPr>
          <w:ind w:left="720" w:hanging="363"/>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9">
    <w:abstractNumId w:val="8"/>
    <w:lvlOverride w:ilvl="0">
      <w:lvl w:ilvl="0">
        <w:start w:val="1"/>
        <w:numFmt w:val="decimal"/>
        <w:lvlText w:val="%1."/>
        <w:lvlJc w:val="left"/>
        <w:pPr>
          <w:ind w:left="720" w:hanging="363"/>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0">
    <w:abstractNumId w:val="8"/>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1">
    <w:abstractNumId w:val="8"/>
    <w:lvlOverride w:ilvl="0">
      <w:lvl w:ilvl="0">
        <w:start w:val="1"/>
        <w:numFmt w:val="decimal"/>
        <w:lvlText w:val="%1."/>
        <w:lvlJc w:val="left"/>
        <w:pPr>
          <w:ind w:left="720" w:hanging="363"/>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2">
    <w:abstractNumId w:val="8"/>
    <w:lvlOverride w:ilvl="0">
      <w:lvl w:ilvl="0">
        <w:start w:val="1"/>
        <w:numFmt w:val="decimal"/>
        <w:lvlText w:val="%1."/>
        <w:lvlJc w:val="left"/>
        <w:pPr>
          <w:ind w:left="717" w:hanging="360"/>
        </w:pPr>
      </w:lvl>
    </w:lvlOverride>
    <w:lvlOverride w:ilvl="1">
      <w:lvl w:ilvl="1" w:tentative="1">
        <w:start w:val="1"/>
        <w:numFmt w:val="lowerLetter"/>
        <w:lvlText w:val="%2."/>
        <w:lvlJc w:val="left"/>
        <w:pPr>
          <w:ind w:left="1437" w:hanging="360"/>
        </w:pPr>
      </w:lvl>
    </w:lvlOverride>
    <w:lvlOverride w:ilvl="2">
      <w:lvl w:ilvl="2" w:tentative="1">
        <w:start w:val="1"/>
        <w:numFmt w:val="lowerRoman"/>
        <w:lvlText w:val="%3."/>
        <w:lvlJc w:val="right"/>
        <w:pPr>
          <w:ind w:left="2157" w:hanging="180"/>
        </w:pPr>
      </w:lvl>
    </w:lvlOverride>
    <w:lvlOverride w:ilvl="3">
      <w:lvl w:ilvl="3" w:tentative="1">
        <w:start w:val="1"/>
        <w:numFmt w:val="decimal"/>
        <w:lvlText w:val="%4."/>
        <w:lvlJc w:val="left"/>
        <w:pPr>
          <w:ind w:left="2877" w:hanging="360"/>
        </w:pPr>
      </w:lvl>
    </w:lvlOverride>
    <w:lvlOverride w:ilvl="4">
      <w:lvl w:ilvl="4" w:tentative="1">
        <w:start w:val="1"/>
        <w:numFmt w:val="lowerLetter"/>
        <w:lvlText w:val="%5."/>
        <w:lvlJc w:val="left"/>
        <w:pPr>
          <w:ind w:left="3597" w:hanging="360"/>
        </w:pPr>
      </w:lvl>
    </w:lvlOverride>
    <w:lvlOverride w:ilvl="5">
      <w:lvl w:ilvl="5" w:tentative="1">
        <w:start w:val="1"/>
        <w:numFmt w:val="lowerRoman"/>
        <w:lvlText w:val="%6."/>
        <w:lvlJc w:val="right"/>
        <w:pPr>
          <w:ind w:left="4317" w:hanging="180"/>
        </w:pPr>
      </w:lvl>
    </w:lvlOverride>
    <w:lvlOverride w:ilvl="6">
      <w:lvl w:ilvl="6" w:tentative="1">
        <w:start w:val="1"/>
        <w:numFmt w:val="decimal"/>
        <w:lvlText w:val="%7."/>
        <w:lvlJc w:val="left"/>
        <w:pPr>
          <w:ind w:left="5037" w:hanging="360"/>
        </w:pPr>
      </w:lvl>
    </w:lvlOverride>
    <w:lvlOverride w:ilvl="7">
      <w:lvl w:ilvl="7" w:tentative="1">
        <w:start w:val="1"/>
        <w:numFmt w:val="lowerLetter"/>
        <w:lvlText w:val="%8."/>
        <w:lvlJc w:val="left"/>
        <w:pPr>
          <w:ind w:left="5757" w:hanging="360"/>
        </w:pPr>
      </w:lvl>
    </w:lvlOverride>
    <w:lvlOverride w:ilvl="8">
      <w:lvl w:ilvl="8" w:tentative="1">
        <w:start w:val="1"/>
        <w:numFmt w:val="lowerRoman"/>
        <w:lvlText w:val="%9."/>
        <w:lvlJc w:val="right"/>
        <w:pPr>
          <w:ind w:left="6477" w:hanging="180"/>
        </w:pPr>
      </w:lvl>
    </w:lvlOverride>
  </w:num>
  <w:num w:numId="13">
    <w:abstractNumId w:val="6"/>
  </w:num>
  <w:num w:numId="14">
    <w:abstractNumId w:val="3"/>
  </w:num>
  <w:num w:numId="15">
    <w:abstractNumId w:val="0"/>
  </w:num>
  <w:num w:numId="16">
    <w:abstractNumId w:val="4"/>
  </w:num>
  <w:num w:numId="17">
    <w:abstractNumId w:val="10"/>
  </w:num>
  <w:num w:numId="18">
    <w:abstractNumId w:val="8"/>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abstractNumId w:val="9"/>
  </w:num>
  <w:num w:numId="20">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abstractNumId w:val="9"/>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9"/>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5">
    <w:abstractNumId w:val="9"/>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6">
    <w:abstractNumId w:val="9"/>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7">
    <w:abstractNumId w:val="9"/>
  </w:num>
  <w:num w:numId="28">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9">
    <w:abstractNumId w:val="5"/>
  </w:num>
  <w:num w:numId="30">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1">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2">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3">
    <w:abstractNumId w:val="9"/>
    <w:lvlOverride w:ilvl="0">
      <w:lvl w:ilvl="0">
        <w:start w:val="1"/>
        <w:numFmt w:val="decimal"/>
        <w:suff w:val="nothing"/>
        <w:lvlText w:val="%1."/>
        <w:lvlJc w:val="left"/>
        <w:pPr>
          <w:ind w:left="72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958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58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58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58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58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58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8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8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8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8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58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58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58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58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58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8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8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853"/>
    <w:rPr>
      <w:rFonts w:eastAsiaTheme="majorEastAsia" w:cstheme="majorBidi"/>
      <w:color w:val="272727" w:themeColor="text1" w:themeTint="D8"/>
    </w:rPr>
  </w:style>
  <w:style w:type="paragraph" w:styleId="Title">
    <w:name w:val="Title"/>
    <w:basedOn w:val="Normal"/>
    <w:next w:val="Normal"/>
    <w:link w:val="TitleChar"/>
    <w:uiPriority w:val="10"/>
    <w:qFormat/>
    <w:rsid w:val="001958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58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58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58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5853"/>
    <w:pPr>
      <w:spacing w:before="160"/>
      <w:jc w:val="center"/>
    </w:pPr>
    <w:rPr>
      <w:i/>
      <w:iCs/>
      <w:color w:val="404040" w:themeColor="text1" w:themeTint="BF"/>
    </w:rPr>
  </w:style>
  <w:style w:type="character" w:customStyle="1" w:styleId="QuoteChar">
    <w:name w:val="Quote Char"/>
    <w:basedOn w:val="DefaultParagraphFont"/>
    <w:link w:val="Quote"/>
    <w:uiPriority w:val="29"/>
    <w:rsid w:val="00195853"/>
    <w:rPr>
      <w:i/>
      <w:iCs/>
      <w:color w:val="404040" w:themeColor="text1" w:themeTint="BF"/>
    </w:rPr>
  </w:style>
  <w:style w:type="paragraph" w:styleId="ListParagraph">
    <w:name w:val="List Paragraph"/>
    <w:basedOn w:val="Normal"/>
    <w:uiPriority w:val="34"/>
    <w:qFormat/>
    <w:rsid w:val="00195853"/>
    <w:pPr>
      <w:ind w:left="720"/>
      <w:contextualSpacing/>
    </w:pPr>
  </w:style>
  <w:style w:type="character" w:styleId="IntenseEmphasis">
    <w:name w:val="Intense Emphasis"/>
    <w:basedOn w:val="DefaultParagraphFont"/>
    <w:uiPriority w:val="21"/>
    <w:qFormat/>
    <w:rsid w:val="00195853"/>
    <w:rPr>
      <w:i/>
      <w:iCs/>
      <w:color w:val="0F4761" w:themeColor="accent1" w:themeShade="BF"/>
    </w:rPr>
  </w:style>
  <w:style w:type="paragraph" w:styleId="IntenseQuote">
    <w:name w:val="Intense Quote"/>
    <w:basedOn w:val="Normal"/>
    <w:next w:val="Normal"/>
    <w:link w:val="IntenseQuoteChar"/>
    <w:uiPriority w:val="30"/>
    <w:qFormat/>
    <w:rsid w:val="001958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5853"/>
    <w:rPr>
      <w:i/>
      <w:iCs/>
      <w:color w:val="0F4761" w:themeColor="accent1" w:themeShade="BF"/>
    </w:rPr>
  </w:style>
  <w:style w:type="character" w:styleId="IntenseReference">
    <w:name w:val="Intense Reference"/>
    <w:basedOn w:val="DefaultParagraphFont"/>
    <w:uiPriority w:val="32"/>
    <w:qFormat/>
    <w:rsid w:val="00195853"/>
    <w:rPr>
      <w:b/>
      <w:bCs/>
      <w:smallCaps/>
      <w:color w:val="0F4761" w:themeColor="accent1" w:themeShade="BF"/>
      <w:spacing w:val="5"/>
    </w:rPr>
  </w:style>
  <w:style w:type="character" w:styleId="Hyperlink">
    <w:name w:val="Hyperlink"/>
    <w:basedOn w:val="DefaultParagraphFont"/>
    <w:uiPriority w:val="99"/>
    <w:unhideWhenUsed/>
    <w:rsid w:val="00B12F8F"/>
    <w:rPr>
      <w:color w:val="467886" w:themeColor="hyperlink"/>
      <w:u w:val="single"/>
    </w:rPr>
  </w:style>
  <w:style w:type="character" w:customStyle="1" w:styleId="UnresolvedMention1">
    <w:name w:val="Unresolved Mention1"/>
    <w:basedOn w:val="DefaultParagraphFont"/>
    <w:uiPriority w:val="99"/>
    <w:semiHidden/>
    <w:unhideWhenUsed/>
    <w:rsid w:val="00B12F8F"/>
    <w:rPr>
      <w:color w:val="605E5C"/>
      <w:shd w:val="clear" w:color="auto" w:fill="E1DFDD"/>
    </w:rPr>
  </w:style>
  <w:style w:type="paragraph" w:styleId="Header">
    <w:name w:val="header"/>
    <w:basedOn w:val="Normal"/>
    <w:link w:val="HeaderChar"/>
    <w:uiPriority w:val="99"/>
    <w:unhideWhenUsed/>
    <w:rsid w:val="00907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D06"/>
  </w:style>
  <w:style w:type="paragraph" w:styleId="Footer">
    <w:name w:val="footer"/>
    <w:basedOn w:val="Normal"/>
    <w:link w:val="FooterChar"/>
    <w:uiPriority w:val="99"/>
    <w:unhideWhenUsed/>
    <w:rsid w:val="00907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D06"/>
  </w:style>
  <w:style w:type="paragraph" w:styleId="FootnoteText">
    <w:name w:val="footnote text"/>
    <w:basedOn w:val="Normal"/>
    <w:link w:val="FootnoteTextChar"/>
    <w:uiPriority w:val="99"/>
    <w:semiHidden/>
    <w:unhideWhenUsed/>
    <w:rsid w:val="00CE0E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0E6B"/>
    <w:rPr>
      <w:sz w:val="20"/>
      <w:szCs w:val="20"/>
    </w:rPr>
  </w:style>
  <w:style w:type="character" w:styleId="FootnoteReference">
    <w:name w:val="footnote reference"/>
    <w:basedOn w:val="DefaultParagraphFont"/>
    <w:uiPriority w:val="99"/>
    <w:semiHidden/>
    <w:unhideWhenUsed/>
    <w:rsid w:val="00CE0E6B"/>
    <w:rPr>
      <w:vertAlign w:val="superscript"/>
    </w:rPr>
  </w:style>
  <w:style w:type="character" w:styleId="CommentReference">
    <w:name w:val="annotation reference"/>
    <w:basedOn w:val="DefaultParagraphFont"/>
    <w:uiPriority w:val="99"/>
    <w:semiHidden/>
    <w:unhideWhenUsed/>
    <w:rsid w:val="00C02C33"/>
    <w:rPr>
      <w:sz w:val="16"/>
      <w:szCs w:val="16"/>
    </w:rPr>
  </w:style>
  <w:style w:type="paragraph" w:styleId="CommentText">
    <w:name w:val="annotation text"/>
    <w:basedOn w:val="Normal"/>
    <w:link w:val="CommentTextChar"/>
    <w:uiPriority w:val="99"/>
    <w:unhideWhenUsed/>
    <w:rsid w:val="00C02C33"/>
    <w:pPr>
      <w:spacing w:line="240" w:lineRule="auto"/>
    </w:pPr>
    <w:rPr>
      <w:sz w:val="20"/>
      <w:szCs w:val="20"/>
    </w:rPr>
  </w:style>
  <w:style w:type="character" w:customStyle="1" w:styleId="CommentTextChar">
    <w:name w:val="Comment Text Char"/>
    <w:basedOn w:val="DefaultParagraphFont"/>
    <w:link w:val="CommentText"/>
    <w:uiPriority w:val="99"/>
    <w:rsid w:val="00C02C33"/>
    <w:rPr>
      <w:sz w:val="20"/>
      <w:szCs w:val="20"/>
    </w:rPr>
  </w:style>
  <w:style w:type="paragraph" w:styleId="CommentSubject">
    <w:name w:val="annotation subject"/>
    <w:basedOn w:val="CommentText"/>
    <w:next w:val="CommentText"/>
    <w:link w:val="CommentSubjectChar"/>
    <w:uiPriority w:val="99"/>
    <w:semiHidden/>
    <w:unhideWhenUsed/>
    <w:rsid w:val="00C02C33"/>
    <w:rPr>
      <w:b/>
      <w:bCs/>
    </w:rPr>
  </w:style>
  <w:style w:type="character" w:customStyle="1" w:styleId="CommentSubjectChar">
    <w:name w:val="Comment Subject Char"/>
    <w:basedOn w:val="CommentTextChar"/>
    <w:link w:val="CommentSubject"/>
    <w:uiPriority w:val="99"/>
    <w:semiHidden/>
    <w:rsid w:val="00C02C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104</Value>
      <Value>54</Value>
      <Value>5</Value>
      <Value>2</Value>
      <Value>105</Value>
    </TaxCatchAll>
    <RecordNumber xmlns="4600776d-0a3c-44b4-bff2-0ceaafb13046" xsi:nil="true"/>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2026-07-20T23:00:00+00:00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JRFZP62N7HVT-2044078101-1569</_dlc_DocId>
    <_dlc_DocIdUrl xmlns="70d2f4a9-7027-4c8b-acc6-1861eab93b19">
      <Url>https://hopuk.sharepoint.com/sites/hlc-builtenviro/_layouts/15/DocIdRedir.aspx?ID=JRFZP62N7HVT-2044078101-1569</Url>
      <Description>JRFZP62N7HVT-2044078101-1569</Description>
    </_dlc_DocIdUrl>
  </documentManagement>
</p:properties>
</file>

<file path=customXml/itemProps1.xml><?xml version="1.0" encoding="utf-8"?>
<ds:datastoreItem xmlns:ds="http://schemas.openxmlformats.org/officeDocument/2006/customXml" ds:itemID="{92CC61E6-AD19-48B4-973E-2AC498796C73}">
  <ds:schemaRefs>
    <ds:schemaRef ds:uri="http://schemas.microsoft.com/sharepoint/v3/contenttype/forms"/>
  </ds:schemaRefs>
</ds:datastoreItem>
</file>

<file path=customXml/itemProps2.xml><?xml version="1.0" encoding="utf-8"?>
<ds:datastoreItem xmlns:ds="http://schemas.openxmlformats.org/officeDocument/2006/customXml" ds:itemID="{4921B074-31CE-42F3-9A86-4CE8484F6302}">
  <ds:schemaRefs>
    <ds:schemaRef ds:uri="http://schemas.microsoft.com/sharepoint/events"/>
  </ds:schemaRefs>
</ds:datastoreItem>
</file>

<file path=customXml/itemProps3.xml><?xml version="1.0" encoding="utf-8"?>
<ds:datastoreItem xmlns:ds="http://schemas.openxmlformats.org/officeDocument/2006/customXml" ds:itemID="{E4E3C7DD-19C0-4771-85D1-6B3189A863BA}">
  <ds:schemaRefs>
    <ds:schemaRef ds:uri="http://schemas.openxmlformats.org/officeDocument/2006/bibliography"/>
  </ds:schemaRefs>
</ds:datastoreItem>
</file>

<file path=customXml/itemProps4.xml><?xml version="1.0" encoding="utf-8"?>
<ds:datastoreItem xmlns:ds="http://schemas.openxmlformats.org/officeDocument/2006/customXml" ds:itemID="{4616A849-C66D-4E27-A6F3-CF9E285A3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55341F8-C482-4DAF-BA49-04E4268B2630}">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docMetadata/LabelInfo.xml><?xml version="1.0" encoding="utf-8"?>
<clbl:labelList xmlns:clbl="http://schemas.microsoft.com/office/2020/mipLabelMetadata">
  <clbl:label id="{e6d7561d-8876-4220-92d9-72f9b9f37d65}" enabled="1" method="Privileged" siteId="{2b7f516e-1b14-479e-8d65-ac50c9127e5d}" removed="0"/>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NTB0012</dc:title>
  <cp:revision>0</cp:revision>
</cp:coreProperties>
</file>