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02A1" w:rsidRPr="000F748D" w:rsidP="000F748D">
      <w:pPr>
        <w:spacing w:after="160" w:line="259" w:lineRule="auto"/>
        <w:ind w:left="357" w:hanging="357"/>
        <w:rPr>
          <w:rFonts w:ascii="Verdana" w:hAnsi="Verdana"/>
          <w:b/>
          <w:color w:val="000000" w:themeColor="text1"/>
          <w:sz w:val="28"/>
          <w:szCs w:val="28"/>
        </w:rPr>
      </w:pPr>
      <w:r w:rsidRPr="00193AEE">
        <w:rPr>
          <w:rFonts w:ascii="Verdana" w:hAnsi="Verdana"/>
          <w:b/>
          <w:bCs/>
          <w:color w:val="000000" w:themeColor="text1"/>
          <w:sz w:val="28"/>
          <w:szCs w:val="28"/>
        </w:rPr>
        <w:t xml:space="preserve">Henley Business School– Written evidence </w:t>
      </w:r>
      <w:r w:rsidRPr="00193AEE" w:rsidR="00627C17">
        <w:rPr>
          <w:rFonts w:ascii="Verdana" w:hAnsi="Verdana"/>
          <w:b/>
          <w:bCs/>
          <w:color w:val="000000" w:themeColor="text1"/>
          <w:sz w:val="28"/>
          <w:szCs w:val="28"/>
        </w:rPr>
        <w:t>(NTB0011)</w:t>
      </w:r>
    </w:p>
    <w:p w:rsidR="005802A1" w:rsidRPr="00193AEE" w:rsidP="006A12C3">
      <w:pPr>
        <w:spacing w:after="160" w:line="259" w:lineRule="auto"/>
        <w:rPr>
          <w:rFonts w:ascii="Verdana" w:hAnsi="Verdana"/>
          <w:color w:val="000000" w:themeColor="text1"/>
          <w:sz w:val="22"/>
          <w:szCs w:val="22"/>
        </w:rPr>
      </w:pPr>
      <w:r w:rsidRPr="00193AEE">
        <w:rPr>
          <w:rFonts w:ascii="Verdana" w:hAnsi="Verdana"/>
          <w:color w:val="000000" w:themeColor="text1"/>
          <w:sz w:val="22"/>
          <w:szCs w:val="22"/>
        </w:rPr>
        <w:t>Submission by Dr Emma Street, Associate Professor of Planning and Urban Policy, and Victor Nicholls, Lecturer in Development and Planning</w:t>
      </w:r>
    </w:p>
    <w:p w:rsidR="00CA2AAB" w:rsidP="006A12C3">
      <w:pPr>
        <w:spacing w:after="160" w:line="259" w:lineRule="auto"/>
        <w:rPr>
          <w:rFonts w:ascii="Verdana" w:hAnsi="Verdana"/>
          <w:color w:val="000000" w:themeColor="text1"/>
          <w:sz w:val="22"/>
          <w:szCs w:val="22"/>
        </w:rPr>
      </w:pPr>
      <w:r w:rsidRPr="00193AEE">
        <w:rPr>
          <w:rFonts w:ascii="Verdana" w:hAnsi="Verdana"/>
          <w:color w:val="000000" w:themeColor="text1"/>
          <w:sz w:val="22"/>
          <w:szCs w:val="22"/>
        </w:rPr>
        <w:t>Real Estate and Planning Department, Henley Business School, University of Reading</w:t>
      </w:r>
    </w:p>
    <w:p w:rsidR="005802A1" w:rsidRPr="00193AEE" w:rsidP="000F748D">
      <w:pPr>
        <w:spacing w:after="160" w:line="259" w:lineRule="auto"/>
        <w:ind w:left="357" w:hanging="357"/>
        <w:rPr>
          <w:rFonts w:ascii="Verdana" w:hAnsi="Verdana"/>
          <w:color w:val="000000" w:themeColor="text1"/>
          <w:sz w:val="22"/>
          <w:szCs w:val="22"/>
        </w:rPr>
      </w:pPr>
      <w:r w:rsidRPr="00193AEE">
        <w:rPr>
          <w:rFonts w:ascii="Verdana" w:hAnsi="Verdana"/>
          <w:b/>
          <w:color w:val="000000" w:themeColor="text1"/>
          <w:sz w:val="22"/>
          <w:szCs w:val="22"/>
        </w:rPr>
        <w:t>Introduction</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We have been researching the regeneration of New Town centres since 2015. Our research benefits from Victor Nicholls’ previous roles as a senior local government officer, working on the planning and major expansion of Bracknell, one of the first wave of post-war UK New Towns, and in his role leading the council’s team that worked with private partners to deliver the regeneration of Bracknell town centre, the first and only UK New Town centre to have been comprehensively redeveloped.</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Our research has focused on understanding the key elements and dynamics involved in New Town centre regeneration and measuring its impact and effectiveness.</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We have written two research reports, published by the Henley Business School (</w:t>
      </w:r>
      <w:r>
        <w:fldChar w:fldCharType="begin"/>
      </w:r>
      <w:r>
        <w:instrText xml:space="preserve"> HYPERLINK "https://www.henley.ac.uk/research/centres/real-estate-planning-research/projects/the-lexicon-making-it-happen" </w:instrText>
      </w:r>
      <w:r>
        <w:fldChar w:fldCharType="separate"/>
      </w:r>
      <w:r w:rsidRPr="00193AEE" w:rsidR="004E24D3">
        <w:rPr>
          <w:rStyle w:val="Hyperlink"/>
          <w:rFonts w:ascii="Verdana" w:hAnsi="Verdana"/>
          <w:color w:val="000000" w:themeColor="text1"/>
          <w:sz w:val="22"/>
          <w:szCs w:val="22"/>
        </w:rPr>
        <w:t>https://www.henley.ac.uk/research/centres/real-estate-planning-research/projects/the-lexicon-making-it-happen</w:t>
      </w:r>
      <w:r>
        <w:fldChar w:fldCharType="end"/>
      </w:r>
      <w:r w:rsidRPr="00193AEE" w:rsidR="008B70E4">
        <w:rPr>
          <w:rFonts w:ascii="Verdana" w:hAnsi="Verdana"/>
          <w:color w:val="000000" w:themeColor="text1"/>
          <w:sz w:val="22"/>
          <w:szCs w:val="22"/>
        </w:rPr>
        <w:t>).</w:t>
      </w:r>
      <w:r w:rsidRPr="00193AEE">
        <w:rPr>
          <w:rFonts w:ascii="Verdana" w:hAnsi="Verdana"/>
          <w:color w:val="000000" w:themeColor="text1"/>
          <w:sz w:val="22"/>
          <w:szCs w:val="22"/>
        </w:rPr>
        <w:t xml:space="preserve"> Hard copies are available if the committee would find them useful.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We have recently published a peer-reviewed journal article on vision and values and the delivery of regeneration, based on our research and experience of the regeneration of Bracknell town centre, a former New Town (</w:t>
      </w:r>
      <w:r>
        <w:fldChar w:fldCharType="begin"/>
      </w:r>
      <w:r>
        <w:instrText xml:space="preserve"> HYPERLINK "https://journals.sagepub.com/doi/10.1177/14730952261437002" </w:instrText>
      </w:r>
      <w:r>
        <w:fldChar w:fldCharType="separate"/>
      </w:r>
      <w:r w:rsidRPr="00193AEE" w:rsidR="004E24D3">
        <w:rPr>
          <w:rStyle w:val="Hyperlink"/>
          <w:rFonts w:ascii="Verdana" w:hAnsi="Verdana"/>
          <w:color w:val="000000" w:themeColor="text1"/>
          <w:sz w:val="22"/>
          <w:szCs w:val="22"/>
        </w:rPr>
        <w:t>https://journals.sagepub.com/doi/10.1177/14730952261437002</w:t>
      </w:r>
      <w:r>
        <w:fldChar w:fldCharType="end"/>
      </w:r>
      <w:r w:rsidRPr="00193AEE">
        <w:rPr>
          <w:rFonts w:ascii="Verdana" w:hAnsi="Verdana"/>
          <w:color w:val="000000" w:themeColor="text1"/>
          <w:sz w:val="22"/>
          <w:szCs w:val="22"/>
        </w:rPr>
        <w:t>)</w:t>
      </w:r>
    </w:p>
    <w:p w:rsidR="005802A1" w:rsidRPr="00193AEE" w:rsidP="00292B56">
      <w:pPr>
        <w:rPr>
          <w:rFonts w:ascii="Verdana" w:hAnsi="Verdana"/>
          <w:color w:val="000000" w:themeColor="text1"/>
          <w:sz w:val="22"/>
          <w:szCs w:val="22"/>
        </w:rPr>
      </w:pPr>
    </w:p>
    <w:p w:rsidR="005802A1" w:rsidRPr="00193AEE" w:rsidP="000F748D">
      <w:pPr>
        <w:spacing w:after="160" w:line="259" w:lineRule="auto"/>
        <w:ind w:left="357" w:hanging="357"/>
        <w:rPr>
          <w:rFonts w:ascii="Verdana" w:hAnsi="Verdana"/>
          <w:color w:val="000000" w:themeColor="text1"/>
          <w:sz w:val="22"/>
          <w:szCs w:val="22"/>
        </w:rPr>
      </w:pPr>
      <w:r w:rsidRPr="006851B3">
        <w:rPr>
          <w:rFonts w:ascii="Verdana" w:hAnsi="Verdana"/>
          <w:b/>
          <w:color w:val="000000" w:themeColor="text1"/>
          <w:sz w:val="22"/>
          <w:szCs w:val="22"/>
        </w:rPr>
        <w:t>Responses to questions</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We have focused on the areas where we can make the most useful contribution. Our responses are tightly drafted to assist the Committee.  We would be happy to develop these points (orally or in writing) if that would help the Committee</w:t>
      </w:r>
    </w:p>
    <w:p w:rsidR="005802A1" w:rsidRPr="001D3178" w:rsidP="000F748D">
      <w:pPr>
        <w:spacing w:after="160" w:line="259" w:lineRule="auto"/>
        <w:ind w:left="357" w:hanging="357"/>
        <w:rPr>
          <w:rFonts w:ascii="Verdana" w:hAnsi="Verdana"/>
          <w:b/>
          <w:color w:val="000000" w:themeColor="text1"/>
          <w:sz w:val="22"/>
          <w:szCs w:val="22"/>
        </w:rPr>
      </w:pPr>
      <w:r w:rsidRPr="006851B3">
        <w:rPr>
          <w:rFonts w:ascii="Verdana" w:hAnsi="Verdana"/>
          <w:b/>
          <w:color w:val="000000" w:themeColor="text1"/>
          <w:sz w:val="22"/>
          <w:szCs w:val="22"/>
        </w:rPr>
        <w:t>Key themes</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Our research suggests the following key headline themes that are crucial in urban regeneration project delivery: </w:t>
      </w:r>
    </w:p>
    <w:p w:rsidR="005802A1" w:rsidRPr="00193AEE" w:rsidP="000F748D">
      <w:pPr>
        <w:pStyle w:val="ListParagraph"/>
        <w:numPr>
          <w:ilvl w:val="1"/>
          <w:numId w:val="27"/>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successful large-scale development requires stable, long-term governance and delivery arrangements</w:t>
      </w:r>
      <w:r w:rsidR="000F748D">
        <w:rPr>
          <w:rFonts w:ascii="Verdana" w:hAnsi="Verdana"/>
          <w:color w:val="000000" w:themeColor="text1"/>
          <w:sz w:val="22"/>
          <w:szCs w:val="22"/>
        </w:rPr>
        <w:t>.</w:t>
      </w:r>
    </w:p>
    <w:p w:rsidR="005802A1" w:rsidRPr="00193AEE" w:rsidP="000F748D">
      <w:pPr>
        <w:pStyle w:val="ListParagraph"/>
        <w:numPr>
          <w:ilvl w:val="1"/>
          <w:numId w:val="27"/>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quality outcomes depend on place-making, mixed-use design and flexibility rather than minimum compliance standards</w:t>
      </w:r>
      <w:r w:rsidR="000F748D">
        <w:rPr>
          <w:rFonts w:ascii="Verdana" w:hAnsi="Verdana"/>
          <w:color w:val="000000" w:themeColor="text1"/>
          <w:sz w:val="22"/>
          <w:szCs w:val="22"/>
        </w:rPr>
        <w:t>.</w:t>
      </w:r>
    </w:p>
    <w:p w:rsidR="005802A1" w:rsidRPr="00193AEE" w:rsidP="000F748D">
      <w:pPr>
        <w:pStyle w:val="ListParagraph"/>
        <w:numPr>
          <w:ilvl w:val="1"/>
          <w:numId w:val="27"/>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major projects succeed when they combine a clear vision, strong partnerships and adaptive delivery processes</w:t>
      </w:r>
      <w:r w:rsidR="000F748D">
        <w:rPr>
          <w:rFonts w:ascii="Verdana" w:hAnsi="Verdana"/>
          <w:color w:val="000000" w:themeColor="text1"/>
          <w:sz w:val="22"/>
          <w:szCs w:val="22"/>
        </w:rPr>
        <w:t>.</w:t>
      </w:r>
    </w:p>
    <w:p w:rsidR="005802A1" w:rsidRPr="006A12C3" w:rsidP="006A12C3">
      <w:pPr>
        <w:spacing w:after="160" w:line="259" w:lineRule="auto"/>
        <w:rPr>
          <w:rFonts w:ascii="Verdana" w:hAnsi="Verdana"/>
          <w:b/>
          <w:color w:val="000000" w:themeColor="text1"/>
          <w:sz w:val="22"/>
          <w:szCs w:val="22"/>
        </w:rPr>
      </w:pPr>
      <w:r w:rsidRPr="006A12C3">
        <w:rPr>
          <w:rFonts w:ascii="Verdana" w:hAnsi="Verdana"/>
          <w:b/>
          <w:color w:val="000000" w:themeColor="text1"/>
          <w:sz w:val="22"/>
          <w:szCs w:val="22"/>
        </w:rPr>
        <w:t>Question 4</w:t>
      </w:r>
      <w:r w:rsidRPr="006A12C3" w:rsidR="006A12C3">
        <w:rPr>
          <w:rFonts w:ascii="Verdana" w:hAnsi="Verdana"/>
          <w:b/>
          <w:color w:val="000000" w:themeColor="text1"/>
          <w:sz w:val="22"/>
          <w:szCs w:val="22"/>
        </w:rPr>
        <w:t xml:space="preserve">: </w:t>
      </w:r>
      <w:r w:rsidRPr="006A12C3">
        <w:rPr>
          <w:rFonts w:ascii="Verdana" w:hAnsi="Verdana"/>
          <w:b/>
          <w:sz w:val="22"/>
          <w:szCs w:val="22"/>
        </w:rPr>
        <w:t>What can the Government and new town delivery vehicles do in the short term to ensure that construction of new towns over the coming years and decades is successful?</w:t>
      </w:r>
    </w:p>
    <w:p w:rsidR="007476FF" w:rsidRPr="000F748D" w:rsidP="000F748D">
      <w:pPr>
        <w:spacing w:after="160" w:line="259" w:lineRule="auto"/>
        <w:ind w:left="357" w:hanging="357"/>
        <w:rPr>
          <w:rFonts w:ascii="Verdana" w:hAnsi="Verdana"/>
          <w:i/>
          <w:iCs/>
          <w:sz w:val="22"/>
          <w:szCs w:val="22"/>
        </w:rPr>
      </w:pPr>
      <w:r w:rsidRPr="000F748D">
        <w:rPr>
          <w:rFonts w:ascii="Verdana" w:hAnsi="Verdana"/>
          <w:i/>
          <w:iCs/>
          <w:sz w:val="22"/>
          <w:szCs w:val="22"/>
        </w:rPr>
        <w:t>Supporting evidence</w:t>
      </w:r>
    </w:p>
    <w:p w:rsidR="005802A1" w:rsidRPr="00193AEE" w:rsidP="000F748D">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The evidence from The Lexicon regeneration indicates that the most important short-term actions are institutional rather than technical.</w:t>
      </w:r>
    </w:p>
    <w:p w:rsidR="005802A1" w:rsidRPr="001872DC" w:rsidP="000F748D">
      <w:pPr>
        <w:spacing w:after="160" w:line="259" w:lineRule="auto"/>
        <w:rPr>
          <w:rFonts w:ascii="Verdana" w:hAnsi="Verdana"/>
          <w:i/>
          <w:color w:val="000000" w:themeColor="text1"/>
          <w:sz w:val="22"/>
          <w:szCs w:val="22"/>
        </w:rPr>
      </w:pPr>
      <w:r w:rsidRPr="001872DC">
        <w:rPr>
          <w:rFonts w:ascii="Verdana" w:hAnsi="Verdana"/>
          <w:i/>
          <w:color w:val="000000" w:themeColor="text1"/>
          <w:sz w:val="22"/>
          <w:szCs w:val="22"/>
        </w:rPr>
        <w:t>Establish clear delivery vehicles with long-term political support</w:t>
      </w:r>
      <w:r w:rsidRPr="001872DC" w:rsidR="008C5967">
        <w:rPr>
          <w:rFonts w:ascii="Verdana" w:hAnsi="Verdana"/>
          <w:i/>
          <w:iCs/>
          <w:color w:val="000000" w:themeColor="text1"/>
          <w:sz w:val="22"/>
          <w:szCs w:val="22"/>
        </w:rPr>
        <w:t>.</w:t>
      </w:r>
    </w:p>
    <w:p w:rsidR="005802A1" w:rsidRPr="00193AEE">
      <w:pPr>
        <w:pStyle w:val="ListParagraph"/>
        <w:numPr>
          <w:ilvl w:val="0"/>
          <w:numId w:val="28"/>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Major regeneration projects require political stability, cross-party consensus and a delivery team that remains committed to the project over many years. The Lexicon benefited from sustained political backing, clear governance structures and a dedicated regeneration team with the authority to drive delivery. This reduced uncertainty for investors and enabled difficult decisions to be made when circumstances changed</w:t>
      </w:r>
    </w:p>
    <w:p w:rsidR="005802A1" w:rsidRPr="00193AEE">
      <w:pPr>
        <w:pStyle w:val="ListParagraph"/>
        <w:numPr>
          <w:ilvl w:val="0"/>
          <w:numId w:val="28"/>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Government should therefore:</w:t>
      </w:r>
    </w:p>
    <w:p w:rsidR="005802A1" w:rsidRPr="00193AEE">
      <w:pPr>
        <w:pStyle w:val="ListParagraph"/>
        <w:numPr>
          <w:ilvl w:val="0"/>
          <w:numId w:val="29"/>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establish delivery vehicles with clear powers and responsibilities</w:t>
      </w:r>
      <w:r w:rsidR="007A0050">
        <w:rPr>
          <w:rFonts w:ascii="Verdana" w:hAnsi="Verdana"/>
          <w:color w:val="000000" w:themeColor="text1"/>
          <w:sz w:val="22"/>
          <w:szCs w:val="22"/>
        </w:rPr>
        <w:t>.</w:t>
      </w:r>
    </w:p>
    <w:p w:rsidR="005802A1" w:rsidRPr="00193AEE">
      <w:pPr>
        <w:pStyle w:val="ListParagraph"/>
        <w:numPr>
          <w:ilvl w:val="0"/>
          <w:numId w:val="29"/>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encourage cross-party governance arrangements</w:t>
      </w:r>
      <w:r w:rsidR="007A0050">
        <w:rPr>
          <w:rFonts w:ascii="Verdana" w:hAnsi="Verdana"/>
          <w:color w:val="000000" w:themeColor="text1"/>
          <w:sz w:val="22"/>
          <w:szCs w:val="22"/>
        </w:rPr>
        <w:t>.</w:t>
      </w:r>
    </w:p>
    <w:p w:rsidR="005802A1" w:rsidRPr="00193AEE">
      <w:pPr>
        <w:pStyle w:val="ListParagraph"/>
        <w:numPr>
          <w:ilvl w:val="0"/>
          <w:numId w:val="29"/>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provide certainty on long-term funding and policy objectives</w:t>
      </w:r>
      <w:r w:rsidR="007A0050">
        <w:rPr>
          <w:rFonts w:ascii="Verdana" w:hAnsi="Verdana"/>
          <w:color w:val="000000" w:themeColor="text1"/>
          <w:sz w:val="22"/>
          <w:szCs w:val="22"/>
        </w:rPr>
        <w:t>.</w:t>
      </w:r>
    </w:p>
    <w:p w:rsidR="005802A1" w:rsidRPr="00193AEE">
      <w:pPr>
        <w:pStyle w:val="ListParagraph"/>
        <w:numPr>
          <w:ilvl w:val="0"/>
          <w:numId w:val="29"/>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protect projects from short-term political cycles.</w:t>
      </w:r>
    </w:p>
    <w:p w:rsidR="005802A1" w:rsidRPr="00193AEE" w:rsidP="000F748D">
      <w:pPr>
        <w:spacing w:after="160" w:line="259" w:lineRule="auto"/>
        <w:ind w:left="357" w:hanging="357"/>
        <w:rPr>
          <w:rFonts w:ascii="Verdana" w:hAnsi="Verdana"/>
          <w:color w:val="000000" w:themeColor="text1"/>
          <w:sz w:val="22"/>
          <w:szCs w:val="22"/>
        </w:rPr>
      </w:pPr>
      <w:r w:rsidRPr="00E55477">
        <w:rPr>
          <w:rFonts w:ascii="Verdana" w:hAnsi="Verdana"/>
          <w:i/>
          <w:color w:val="000000" w:themeColor="text1"/>
          <w:sz w:val="22"/>
          <w:szCs w:val="22"/>
        </w:rPr>
        <w:t>Create a clear shared vision before construction begins</w:t>
      </w:r>
      <w:r w:rsidRPr="00E55477" w:rsidR="007A0050">
        <w:rPr>
          <w:rFonts w:ascii="Verdana" w:hAnsi="Verdana"/>
          <w:color w:val="000000" w:themeColor="text1"/>
          <w:sz w:val="22"/>
          <w:szCs w:val="22"/>
        </w:rPr>
        <w:t>.</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The Lexicon demonstrates the value of extensive </w:t>
      </w:r>
      <w:r w:rsidRPr="00193AEE">
        <w:rPr>
          <w:rFonts w:ascii="Verdana" w:hAnsi="Verdana"/>
          <w:color w:val="000000" w:themeColor="text1"/>
          <w:sz w:val="22"/>
          <w:szCs w:val="22"/>
        </w:rPr>
        <w:t>masterplanning</w:t>
      </w:r>
      <w:r w:rsidRPr="00193AEE">
        <w:rPr>
          <w:rFonts w:ascii="Verdana" w:hAnsi="Verdana"/>
          <w:color w:val="000000" w:themeColor="text1"/>
          <w:sz w:val="22"/>
          <w:szCs w:val="22"/>
        </w:rPr>
        <w:t xml:space="preserve"> and stakeholder engagement prior to development. The creation of a comprehensive 2002 Masterplan provided a consistent vision that guided decision-making over almost two decades, despite changing economic conditions and design revisions</w:t>
      </w:r>
      <w:r w:rsidR="00CB34E9">
        <w:rPr>
          <w:rFonts w:ascii="Verdana" w:hAnsi="Verdana"/>
          <w:color w:val="000000" w:themeColor="text1"/>
          <w:sz w:val="22"/>
          <w:szCs w:val="22"/>
        </w:rPr>
        <w:t>.</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New town delivery vehicles should therefore:</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prepare comprehensive masterplans</w:t>
      </w:r>
      <w:r w:rsidR="007A0050">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engage communities from the outset</w:t>
      </w:r>
      <w:r w:rsidR="007A0050">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maintain a consistent long-term vision while allowing flexibility in delivery.</w:t>
      </w:r>
    </w:p>
    <w:p w:rsidR="005802A1" w:rsidRPr="00470288" w:rsidP="000F748D">
      <w:pPr>
        <w:spacing w:after="160" w:line="259" w:lineRule="auto"/>
        <w:ind w:left="357" w:hanging="357"/>
        <w:rPr>
          <w:rFonts w:ascii="Verdana" w:hAnsi="Verdana"/>
          <w:i/>
          <w:color w:val="000000" w:themeColor="text1"/>
          <w:sz w:val="22"/>
          <w:szCs w:val="22"/>
        </w:rPr>
      </w:pPr>
      <w:r w:rsidRPr="00470288">
        <w:rPr>
          <w:rFonts w:ascii="Verdana" w:hAnsi="Verdana"/>
          <w:i/>
          <w:color w:val="000000" w:themeColor="text1"/>
          <w:sz w:val="22"/>
          <w:szCs w:val="22"/>
        </w:rPr>
        <w:t>Invest in partnership working</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Our research repeatedly identifies relationships, partnerships and collaborative working as critical success factors. Successful delivery of Bracknell’s town centre regeneration depended upon local authorities, landowners, investors, developers and technical professionals working towards shared objectives.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Government should encourage:</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public-private partnerships</w:t>
      </w:r>
      <w:r w:rsidR="00A94F1F">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early alignment of infrastructure providers, developers and local authorities</w:t>
      </w:r>
      <w:r w:rsidR="00A94F1F">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collaborative decision-making structures.</w:t>
      </w:r>
    </w:p>
    <w:p w:rsidR="005802A1" w:rsidRPr="00470288" w:rsidP="000F748D">
      <w:pPr>
        <w:spacing w:after="160" w:line="259" w:lineRule="auto"/>
        <w:ind w:left="357" w:hanging="357"/>
        <w:rPr>
          <w:rFonts w:ascii="Verdana" w:hAnsi="Verdana"/>
          <w:i/>
          <w:color w:val="000000" w:themeColor="text1"/>
          <w:sz w:val="22"/>
          <w:szCs w:val="22"/>
        </w:rPr>
      </w:pPr>
      <w:r w:rsidRPr="00470288">
        <w:rPr>
          <w:rFonts w:ascii="Verdana" w:hAnsi="Verdana"/>
          <w:i/>
          <w:color w:val="000000" w:themeColor="text1"/>
          <w:sz w:val="22"/>
          <w:szCs w:val="22"/>
        </w:rPr>
        <w:t>Retain flexibility and manage risk actively</w:t>
      </w:r>
      <w:r w:rsidRPr="00470288" w:rsidR="00A94F1F">
        <w:rPr>
          <w:rFonts w:ascii="Verdana" w:hAnsi="Verdana"/>
          <w:i/>
          <w:iCs/>
          <w:color w:val="000000" w:themeColor="text1"/>
          <w:sz w:val="22"/>
          <w:szCs w:val="22"/>
        </w:rPr>
        <w:t>.</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A key lesson from The Lexicon is that projects must be capable of adapting to economic shocks and changing market conditions. The scheme survived the Global Financial Crisis because its design, phasing and delivery arrangements were modified without abandoning the overall vision.</w:t>
      </w:r>
      <w:r w:rsidRPr="00193AEE" w:rsidR="008B70E4">
        <w:rPr>
          <w:rFonts w:ascii="Verdana" w:hAnsi="Verdana"/>
          <w:color w:val="000000" w:themeColor="text1"/>
          <w:sz w:val="22"/>
          <w:szCs w:val="22"/>
        </w:rPr>
        <w:t xml:space="preserve">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Government and delivery vehicles should:</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phase development</w:t>
      </w:r>
      <w:r w:rsidR="007A0050">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allow flexibility in land uses and building typologies</w:t>
      </w:r>
      <w:r w:rsidR="007A0050">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maintain robust risk management arrangements</w:t>
      </w:r>
      <w:r w:rsidR="007A0050">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avoid </w:t>
      </w:r>
      <w:r w:rsidRPr="00193AEE">
        <w:rPr>
          <w:rFonts w:ascii="Verdana" w:hAnsi="Verdana"/>
          <w:color w:val="000000" w:themeColor="text1"/>
          <w:sz w:val="22"/>
          <w:szCs w:val="22"/>
        </w:rPr>
        <w:t>overly-rigid</w:t>
      </w:r>
      <w:r w:rsidRPr="00193AEE">
        <w:rPr>
          <w:rFonts w:ascii="Verdana" w:hAnsi="Verdana"/>
          <w:color w:val="000000" w:themeColor="text1"/>
          <w:sz w:val="22"/>
          <w:szCs w:val="22"/>
        </w:rPr>
        <w:t xml:space="preserve"> delivery models.</w:t>
      </w:r>
    </w:p>
    <w:p w:rsidR="005802A1" w:rsidRPr="000F748D" w:rsidP="000F748D">
      <w:pPr>
        <w:spacing w:after="160" w:line="259" w:lineRule="auto"/>
        <w:ind w:left="357" w:hanging="357"/>
        <w:rPr>
          <w:rFonts w:ascii="Verdana" w:hAnsi="Verdana"/>
          <w:i/>
          <w:color w:val="000000" w:themeColor="text1"/>
          <w:sz w:val="22"/>
          <w:szCs w:val="22"/>
        </w:rPr>
      </w:pPr>
      <w:r w:rsidRPr="000F748D">
        <w:rPr>
          <w:rFonts w:ascii="Verdana" w:hAnsi="Verdana"/>
          <w:i/>
          <w:color w:val="000000" w:themeColor="text1"/>
          <w:sz w:val="22"/>
          <w:szCs w:val="22"/>
        </w:rPr>
        <w:t>Strengthen public-sector capability</w:t>
      </w:r>
      <w:r w:rsidRPr="000F748D" w:rsidR="007A0050">
        <w:rPr>
          <w:rFonts w:ascii="Verdana" w:hAnsi="Verdana"/>
          <w:i/>
          <w:iCs/>
          <w:color w:val="000000" w:themeColor="text1"/>
          <w:sz w:val="22"/>
          <w:szCs w:val="22"/>
        </w:rPr>
        <w:t>.</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Our research shows the value of strong in-house expertise, particularly in transport, engineering, planning and regeneration. Local knowledge helped improve delivery and reduce costs.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Government should therefore provide resources to strengthen local authority delivery capacity, particularly in development, infrastructure and project management.</w:t>
      </w:r>
    </w:p>
    <w:p w:rsidR="005802A1" w:rsidRPr="006A12C3" w:rsidP="006A12C3">
      <w:pPr>
        <w:spacing w:after="160" w:line="259" w:lineRule="auto"/>
        <w:rPr>
          <w:rFonts w:ascii="Verdana" w:hAnsi="Verdana"/>
          <w:b/>
          <w:color w:val="000000" w:themeColor="text1"/>
          <w:sz w:val="22"/>
          <w:szCs w:val="22"/>
        </w:rPr>
      </w:pPr>
      <w:r w:rsidRPr="006A12C3">
        <w:rPr>
          <w:rFonts w:ascii="Verdana" w:hAnsi="Verdana"/>
          <w:b/>
          <w:color w:val="000000" w:themeColor="text1"/>
          <w:sz w:val="22"/>
          <w:szCs w:val="22"/>
        </w:rPr>
        <w:t xml:space="preserve">Question </w:t>
      </w:r>
      <w:r w:rsidRPr="006A12C3" w:rsidR="006A12C3">
        <w:rPr>
          <w:rFonts w:ascii="Verdana" w:hAnsi="Verdana"/>
          <w:b/>
          <w:color w:val="000000" w:themeColor="text1"/>
          <w:sz w:val="22"/>
          <w:szCs w:val="22"/>
        </w:rPr>
        <w:t xml:space="preserve">6: </w:t>
      </w:r>
      <w:r w:rsidRPr="006A12C3">
        <w:rPr>
          <w:rFonts w:ascii="Verdana" w:hAnsi="Verdana"/>
          <w:b/>
          <w:color w:val="000000" w:themeColor="text1"/>
          <w:sz w:val="22"/>
          <w:szCs w:val="22"/>
        </w:rPr>
        <w:t>How can we ensure that new towns and expanded settlements are delivered to a high-quality standard that goes beyond minimum expectations for construction and demonstrates best practice for sustainability, aesthetics and place-making?</w:t>
      </w:r>
    </w:p>
    <w:p w:rsidR="00CA606D" w:rsidRPr="001D7951" w:rsidP="000F748D">
      <w:pPr>
        <w:spacing w:after="160" w:line="259" w:lineRule="auto"/>
        <w:ind w:left="714" w:hanging="357"/>
        <w:rPr>
          <w:rFonts w:ascii="Verdana" w:hAnsi="Verdana"/>
          <w:i/>
          <w:iCs/>
          <w:color w:val="000000" w:themeColor="text1"/>
          <w:sz w:val="22"/>
          <w:szCs w:val="22"/>
        </w:rPr>
      </w:pPr>
      <w:r w:rsidRPr="001D7951">
        <w:rPr>
          <w:rFonts w:ascii="Verdana" w:hAnsi="Verdana"/>
          <w:i/>
          <w:iCs/>
          <w:color w:val="000000" w:themeColor="text1"/>
          <w:sz w:val="22"/>
          <w:szCs w:val="22"/>
        </w:rPr>
        <w:t>Supporting evidence</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The Lexicon suggests that high quality is achieved through integrated place-making rather than solely through construction standards.</w:t>
      </w:r>
    </w:p>
    <w:p w:rsidR="008B4CD4" w:rsidRPr="003F7195" w:rsidP="004B266D">
      <w:pPr>
        <w:spacing w:after="160" w:line="259" w:lineRule="auto"/>
        <w:ind w:left="714" w:hanging="357"/>
        <w:rPr>
          <w:rFonts w:ascii="Verdana" w:hAnsi="Verdana"/>
          <w:color w:val="000000" w:themeColor="text1"/>
          <w:sz w:val="22"/>
          <w:szCs w:val="22"/>
        </w:rPr>
      </w:pPr>
      <w:r w:rsidRPr="000D3262">
        <w:rPr>
          <w:rFonts w:ascii="Verdana" w:hAnsi="Verdana"/>
          <w:i/>
          <w:iCs/>
          <w:color w:val="000000" w:themeColor="text1"/>
          <w:sz w:val="22"/>
          <w:szCs w:val="22"/>
        </w:rPr>
        <w:t>Place-making should be treated as a core objective</w:t>
      </w:r>
      <w:r w:rsidRPr="00264CA7">
        <w:rPr>
          <w:rFonts w:ascii="Verdana" w:hAnsi="Verdana"/>
          <w:color w:val="000000" w:themeColor="text1"/>
          <w:sz w:val="22"/>
          <w:szCs w:val="22"/>
        </w:rPr>
        <w:t>.</w:t>
      </w:r>
    </w:p>
    <w:p w:rsidR="005802A1" w:rsidRPr="00193AEE" w:rsidP="000D3262">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Research respondents consistently identified the creation of civic pride, cultural confidence and a strong sense of place as central indicators of success. The objective was not simply to construct buildings but to create a destination that people wanted to visit, use and identify with.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New towns should therefore be assessed against:</w:t>
      </w:r>
    </w:p>
    <w:p w:rsidR="005802A1" w:rsidRPr="00193AEE" w:rsidP="003F7195">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quality of public realm</w:t>
      </w:r>
      <w:r w:rsidRPr="00BC2E0D" w:rsidR="007A71DB">
        <w:rPr>
          <w:rFonts w:ascii="Verdana" w:hAnsi="Verdana"/>
          <w:color w:val="000000" w:themeColor="text1"/>
          <w:sz w:val="22"/>
          <w:szCs w:val="22"/>
        </w:rPr>
        <w:t>.</w:t>
      </w:r>
    </w:p>
    <w:p w:rsidR="005802A1" w:rsidRPr="00193AEE" w:rsidP="003F7195">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social value</w:t>
      </w:r>
      <w:r w:rsidRPr="00BC2E0D" w:rsidR="007A71DB">
        <w:rPr>
          <w:rFonts w:ascii="Verdana" w:hAnsi="Verdana"/>
          <w:color w:val="000000" w:themeColor="text1"/>
          <w:sz w:val="22"/>
          <w:szCs w:val="22"/>
        </w:rPr>
        <w:t>.</w:t>
      </w:r>
    </w:p>
    <w:p w:rsidR="005802A1" w:rsidRPr="00193AEE" w:rsidP="003F7195">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community participation</w:t>
      </w:r>
      <w:r w:rsidRPr="00BC2E0D" w:rsidR="007A71DB">
        <w:rPr>
          <w:rFonts w:ascii="Verdana" w:hAnsi="Verdana"/>
          <w:color w:val="000000" w:themeColor="text1"/>
          <w:sz w:val="22"/>
          <w:szCs w:val="22"/>
        </w:rPr>
        <w:t>.</w:t>
      </w:r>
    </w:p>
    <w:p w:rsidR="005802A1" w:rsidRPr="00193AEE" w:rsidP="003F7195">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place identity</w:t>
      </w:r>
      <w:r w:rsidRPr="00BC2E0D" w:rsidR="007A71DB">
        <w:rPr>
          <w:rFonts w:ascii="Verdana" w:hAnsi="Verdana"/>
          <w:color w:val="000000" w:themeColor="text1"/>
          <w:sz w:val="22"/>
          <w:szCs w:val="22"/>
        </w:rPr>
        <w:t>.</w:t>
      </w:r>
    </w:p>
    <w:p w:rsidR="005802A1" w:rsidRPr="00193AEE" w:rsidP="003F7195">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resident satisfaction.</w:t>
      </w:r>
    </w:p>
    <w:p w:rsidR="005802A1" w:rsidRPr="007F3818" w:rsidP="000F748D">
      <w:pPr>
        <w:spacing w:after="160" w:line="259" w:lineRule="auto"/>
        <w:ind w:left="714" w:hanging="357"/>
        <w:rPr>
          <w:rFonts w:ascii="Verdana" w:hAnsi="Verdana"/>
          <w:i/>
          <w:color w:val="000000" w:themeColor="text1"/>
          <w:sz w:val="22"/>
          <w:szCs w:val="22"/>
        </w:rPr>
      </w:pPr>
      <w:r>
        <w:rPr>
          <w:rFonts w:ascii="Verdana" w:hAnsi="Verdana"/>
          <w:i/>
          <w:color w:val="000000" w:themeColor="text1"/>
          <w:sz w:val="22"/>
          <w:szCs w:val="22"/>
        </w:rPr>
        <w:t>D</w:t>
      </w:r>
      <w:r w:rsidRPr="007F3818">
        <w:rPr>
          <w:rFonts w:ascii="Verdana" w:hAnsi="Verdana"/>
          <w:i/>
          <w:color w:val="000000" w:themeColor="text1"/>
          <w:sz w:val="22"/>
          <w:szCs w:val="22"/>
        </w:rPr>
        <w:t>eliver genuinely mixed-use communities</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Our research highlights the importance of diverse land uses, including retail, leisure, employment, housing, community facilities and cultural activity. Mixed-use development improved vibrancy, extended activity into evenings and increased resilience to changing market conditions.  </w:t>
      </w:r>
    </w:p>
    <w:p w:rsidR="005802A1" w:rsidRPr="00193AEE" w:rsidP="003F7195">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Future new towns should include:</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community facilities</w:t>
      </w:r>
      <w:r w:rsidR="001D3178">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health services</w:t>
      </w:r>
      <w:r w:rsidR="001D3178">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BC2E0D">
        <w:rPr>
          <w:rFonts w:ascii="Verdana" w:hAnsi="Verdana"/>
          <w:color w:val="000000" w:themeColor="text1"/>
          <w:sz w:val="22"/>
          <w:szCs w:val="22"/>
        </w:rPr>
        <w:t>W</w:t>
      </w:r>
      <w:r w:rsidRPr="00BC2E0D" w:rsidR="00B12CBC">
        <w:rPr>
          <w:rFonts w:ascii="Verdana" w:hAnsi="Verdana"/>
          <w:color w:val="000000" w:themeColor="text1"/>
          <w:sz w:val="22"/>
          <w:szCs w:val="22"/>
        </w:rPr>
        <w:t>orkspace</w:t>
      </w:r>
      <w:r>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cultural venues</w:t>
      </w:r>
      <w:r w:rsidR="001D3178">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leisure and recreation facilities</w:t>
      </w:r>
      <w:r w:rsidR="001D3178">
        <w:rPr>
          <w:rFonts w:ascii="Verdana" w:hAnsi="Verdana"/>
          <w:color w:val="000000" w:themeColor="text1"/>
          <w:sz w:val="22"/>
          <w:szCs w:val="22"/>
        </w:rPr>
        <w:t>.</w:t>
      </w:r>
    </w:p>
    <w:p w:rsidR="005802A1" w:rsidRPr="00193AEE">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housing integrated with other uses.</w:t>
      </w:r>
    </w:p>
    <w:p w:rsidR="00BC2E0D" w:rsidRPr="003F7195" w:rsidP="003F7195">
      <w:pPr>
        <w:pStyle w:val="ListParagraph"/>
        <w:numPr>
          <w:ilvl w:val="1"/>
          <w:numId w:val="27"/>
        </w:numPr>
        <w:spacing w:after="160" w:line="259" w:lineRule="auto"/>
        <w:contextualSpacing w:val="0"/>
        <w:rPr>
          <w:rFonts w:ascii="Verdana" w:hAnsi="Verdana"/>
          <w:color w:val="000000" w:themeColor="text1"/>
          <w:sz w:val="22"/>
          <w:szCs w:val="22"/>
        </w:rPr>
      </w:pPr>
      <w:r w:rsidRPr="00BC2E0D">
        <w:rPr>
          <w:rFonts w:ascii="Verdana" w:hAnsi="Verdana"/>
          <w:color w:val="000000" w:themeColor="text1"/>
          <w:sz w:val="22"/>
          <w:szCs w:val="22"/>
        </w:rPr>
        <w:t>Design for flexibility and future adaptation</w:t>
      </w:r>
      <w:r w:rsidR="001D3178">
        <w:rPr>
          <w:rFonts w:ascii="Verdana" w:hAnsi="Verdana"/>
          <w:color w:val="000000" w:themeColor="text1"/>
          <w:sz w:val="22"/>
          <w:szCs w:val="22"/>
        </w:rPr>
        <w:t>.</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9C3043">
        <w:rPr>
          <w:rFonts w:ascii="Verdana" w:hAnsi="Verdana"/>
          <w:sz w:val="22"/>
          <w:szCs w:val="22"/>
        </w:rPr>
        <w:t>One of the strongest lessons emerging from our research is the need to anticipate change. Buildings and spaces should be designed so that they can evolve as social, economic and technological conditions change</w:t>
      </w:r>
      <w:r w:rsidRPr="00193AEE">
        <w:rPr>
          <w:rFonts w:ascii="Verdana" w:hAnsi="Verdana"/>
          <w:color w:val="000000" w:themeColor="text1"/>
          <w:sz w:val="22"/>
          <w:szCs w:val="22"/>
        </w:rPr>
        <w:t xml:space="preserve">.  </w:t>
      </w:r>
    </w:p>
    <w:p w:rsidR="005802A1" w:rsidRPr="00193AEE">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Government policy should encourage:</w:t>
      </w:r>
    </w:p>
    <w:p w:rsidR="005802A1" w:rsidRPr="00193AEE">
      <w:pPr>
        <w:pStyle w:val="ListParagraph"/>
        <w:numPr>
          <w:ilvl w:val="0"/>
          <w:numId w:val="30"/>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adaptable buildings</w:t>
      </w:r>
      <w:r w:rsidR="001D3178">
        <w:rPr>
          <w:rFonts w:ascii="Verdana" w:hAnsi="Verdana"/>
          <w:color w:val="000000" w:themeColor="text1"/>
          <w:sz w:val="22"/>
          <w:szCs w:val="22"/>
        </w:rPr>
        <w:t>.</w:t>
      </w:r>
    </w:p>
    <w:p w:rsidR="005802A1" w:rsidRPr="00193AEE">
      <w:pPr>
        <w:pStyle w:val="ListParagraph"/>
        <w:numPr>
          <w:ilvl w:val="0"/>
          <w:numId w:val="30"/>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flexible unit sizes</w:t>
      </w:r>
      <w:r w:rsidR="001D3178">
        <w:rPr>
          <w:rFonts w:ascii="Verdana" w:hAnsi="Verdana"/>
          <w:color w:val="000000" w:themeColor="text1"/>
          <w:sz w:val="22"/>
          <w:szCs w:val="22"/>
        </w:rPr>
        <w:t>.</w:t>
      </w:r>
    </w:p>
    <w:p w:rsidR="005802A1" w:rsidRPr="00193AEE">
      <w:pPr>
        <w:pStyle w:val="ListParagraph"/>
        <w:numPr>
          <w:ilvl w:val="0"/>
          <w:numId w:val="30"/>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buildings capable of accommodating changing uses</w:t>
      </w:r>
      <w:r w:rsidR="001D3178">
        <w:rPr>
          <w:rFonts w:ascii="Verdana" w:hAnsi="Verdana"/>
          <w:color w:val="000000" w:themeColor="text1"/>
          <w:sz w:val="22"/>
          <w:szCs w:val="22"/>
        </w:rPr>
        <w:t>.</w:t>
      </w:r>
    </w:p>
    <w:p w:rsidR="005802A1" w:rsidRPr="00193AEE">
      <w:pPr>
        <w:pStyle w:val="ListParagraph"/>
        <w:numPr>
          <w:ilvl w:val="0"/>
          <w:numId w:val="30"/>
        </w:numPr>
        <w:spacing w:after="160" w:line="259" w:lineRule="auto"/>
        <w:ind w:left="1434" w:hanging="357"/>
        <w:contextualSpacing w:val="0"/>
        <w:rPr>
          <w:rFonts w:ascii="Verdana" w:hAnsi="Verdana"/>
          <w:color w:val="000000" w:themeColor="text1"/>
          <w:sz w:val="22"/>
          <w:szCs w:val="22"/>
        </w:rPr>
      </w:pPr>
      <w:r w:rsidRPr="00193AEE">
        <w:rPr>
          <w:rFonts w:ascii="Verdana" w:hAnsi="Verdana"/>
          <w:color w:val="000000" w:themeColor="text1"/>
          <w:sz w:val="22"/>
          <w:szCs w:val="22"/>
        </w:rPr>
        <w:t>long-term stewardship models.</w:t>
      </w:r>
    </w:p>
    <w:p w:rsidR="005802A1" w:rsidRPr="001D3178" w:rsidP="000F748D">
      <w:pPr>
        <w:spacing w:after="160" w:line="259" w:lineRule="auto"/>
        <w:ind w:left="357" w:hanging="357"/>
        <w:rPr>
          <w:rFonts w:ascii="Verdana" w:hAnsi="Verdana"/>
          <w:i/>
          <w:color w:val="000000" w:themeColor="text1"/>
          <w:sz w:val="22"/>
          <w:szCs w:val="22"/>
        </w:rPr>
      </w:pPr>
      <w:r w:rsidRPr="001D3178">
        <w:rPr>
          <w:rFonts w:ascii="Verdana" w:hAnsi="Verdana"/>
          <w:i/>
          <w:color w:val="000000" w:themeColor="text1"/>
          <w:sz w:val="22"/>
          <w:szCs w:val="22"/>
        </w:rPr>
        <w:t>Prioritise sustainability through infrastructure and mobility</w:t>
      </w:r>
    </w:p>
    <w:p w:rsidR="005802A1" w:rsidRPr="001D3178">
      <w:pPr>
        <w:pStyle w:val="ListParagraph"/>
        <w:numPr>
          <w:ilvl w:val="0"/>
          <w:numId w:val="27"/>
        </w:numPr>
        <w:spacing w:after="160" w:line="259" w:lineRule="auto"/>
        <w:ind w:left="357" w:hanging="357"/>
        <w:contextualSpacing w:val="0"/>
        <w:rPr>
          <w:rFonts w:ascii="Verdana" w:hAnsi="Verdana"/>
          <w:sz w:val="22"/>
          <w:szCs w:val="22"/>
        </w:rPr>
      </w:pPr>
      <w:r w:rsidRPr="001D3178">
        <w:rPr>
          <w:rFonts w:ascii="Verdana" w:hAnsi="Verdana"/>
          <w:sz w:val="22"/>
          <w:szCs w:val="22"/>
        </w:rPr>
        <w:t xml:space="preserve">Lessons from The Lexicon include the importance of public transport integration, active travel infrastructure, accessibility and environmental performance. The original masterplan explicitly sought energy efficiency and sustainable travel patterns, while the completed scheme improved cycling, public transport and walkability.  </w:t>
      </w:r>
    </w:p>
    <w:p w:rsidR="005802A1" w:rsidRPr="001D3178" w:rsidP="000F748D">
      <w:pPr>
        <w:spacing w:after="160" w:line="259" w:lineRule="auto"/>
        <w:ind w:left="357" w:hanging="357"/>
        <w:rPr>
          <w:rFonts w:ascii="Verdana" w:hAnsi="Verdana"/>
          <w:i/>
          <w:color w:val="000000" w:themeColor="text1"/>
          <w:sz w:val="22"/>
          <w:szCs w:val="22"/>
        </w:rPr>
      </w:pPr>
      <w:r w:rsidRPr="001D3178">
        <w:rPr>
          <w:rFonts w:ascii="Verdana" w:hAnsi="Verdana"/>
          <w:i/>
          <w:color w:val="000000" w:themeColor="text1"/>
          <w:sz w:val="22"/>
          <w:szCs w:val="22"/>
        </w:rPr>
        <w:t>Invest in public spaces, culture and events</w:t>
      </w:r>
    </w:p>
    <w:p w:rsidR="005802A1" w:rsidRPr="001D3178">
      <w:pPr>
        <w:pStyle w:val="ListParagraph"/>
        <w:numPr>
          <w:ilvl w:val="0"/>
          <w:numId w:val="27"/>
        </w:numPr>
        <w:spacing w:after="160" w:line="259" w:lineRule="auto"/>
        <w:ind w:left="357" w:hanging="357"/>
        <w:contextualSpacing w:val="0"/>
        <w:rPr>
          <w:rFonts w:ascii="Verdana" w:hAnsi="Verdana"/>
          <w:sz w:val="22"/>
          <w:szCs w:val="22"/>
        </w:rPr>
      </w:pPr>
      <w:r w:rsidRPr="001D3178">
        <w:rPr>
          <w:rFonts w:ascii="Verdana" w:hAnsi="Verdana"/>
          <w:sz w:val="22"/>
          <w:szCs w:val="22"/>
        </w:rPr>
        <w:t xml:space="preserve">The research found that public spaces, public art, landscaping and cultural programming played a major role in creating vibrancy and community attachment. High-quality public realm should therefore be regarded as critical infrastructure rather than an optional add-on.  </w:t>
      </w:r>
    </w:p>
    <w:p w:rsidR="005802A1" w:rsidRPr="006A12C3" w:rsidP="006A12C3">
      <w:pPr>
        <w:spacing w:after="160" w:line="259" w:lineRule="auto"/>
        <w:rPr>
          <w:rFonts w:ascii="Verdana" w:hAnsi="Verdana"/>
          <w:b/>
          <w:color w:val="000000" w:themeColor="text1"/>
          <w:sz w:val="22"/>
          <w:szCs w:val="22"/>
        </w:rPr>
      </w:pPr>
      <w:r w:rsidRPr="006A12C3">
        <w:rPr>
          <w:rFonts w:ascii="Verdana" w:hAnsi="Verdana"/>
          <w:b/>
          <w:color w:val="000000" w:themeColor="text1"/>
          <w:sz w:val="22"/>
          <w:szCs w:val="22"/>
        </w:rPr>
        <w:t>Question 7</w:t>
      </w:r>
      <w:r w:rsidRPr="006A12C3" w:rsidR="006A12C3">
        <w:rPr>
          <w:rFonts w:ascii="Verdana" w:hAnsi="Verdana"/>
          <w:b/>
          <w:color w:val="000000" w:themeColor="text1"/>
          <w:sz w:val="22"/>
          <w:szCs w:val="22"/>
        </w:rPr>
        <w:t xml:space="preserve">: </w:t>
      </w:r>
      <w:r w:rsidRPr="006A12C3">
        <w:rPr>
          <w:rFonts w:ascii="Verdana" w:hAnsi="Verdana"/>
          <w:b/>
          <w:sz w:val="22"/>
          <w:szCs w:val="22"/>
        </w:rPr>
        <w:t>Which case studies of large-scale construction projects should the Committee and Government look at to learn from best and worst practice in construction and supply logistics?</w:t>
      </w:r>
    </w:p>
    <w:p w:rsidR="005802A1" w:rsidRPr="00E5182B" w:rsidP="000F748D">
      <w:pPr>
        <w:spacing w:after="160" w:line="259" w:lineRule="auto"/>
        <w:ind w:left="357" w:hanging="357"/>
        <w:rPr>
          <w:rFonts w:ascii="Verdana" w:hAnsi="Verdana"/>
          <w:i/>
          <w:sz w:val="22"/>
          <w:szCs w:val="22"/>
        </w:rPr>
      </w:pPr>
      <w:r w:rsidRPr="00E5182B">
        <w:rPr>
          <w:rFonts w:ascii="Verdana" w:hAnsi="Verdana"/>
          <w:i/>
          <w:sz w:val="22"/>
          <w:szCs w:val="22"/>
        </w:rPr>
        <w:t>B</w:t>
      </w:r>
      <w:r w:rsidRPr="00E5182B">
        <w:rPr>
          <w:rFonts w:ascii="Verdana" w:hAnsi="Verdana"/>
          <w:i/>
          <w:sz w:val="22"/>
          <w:szCs w:val="22"/>
        </w:rPr>
        <w:t>est practice examples:</w:t>
      </w:r>
      <w:r w:rsidRPr="00E5182B" w:rsidR="00E5182B">
        <w:rPr>
          <w:rFonts w:ascii="Verdana" w:hAnsi="Verdana"/>
          <w:i/>
          <w:iCs/>
          <w:sz w:val="22"/>
          <w:szCs w:val="22"/>
        </w:rPr>
        <w:t xml:space="preserve"> The Lexicon, Bracknell</w:t>
      </w:r>
    </w:p>
    <w:p w:rsidR="005802A1" w:rsidRPr="00193AEE" w:rsidP="00E5182B">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The Lexicon, Bracknell is unique as the only former New Town centre to have been substantially regenerated.  The Lexicon provides a valuable case study because it demonstrates:</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long-term </w:t>
      </w:r>
      <w:r w:rsidRPr="00193AEE">
        <w:rPr>
          <w:rFonts w:ascii="Verdana" w:hAnsi="Verdana"/>
          <w:color w:val="000000" w:themeColor="text1"/>
          <w:sz w:val="22"/>
          <w:szCs w:val="22"/>
        </w:rPr>
        <w:t>masterplanning</w:t>
      </w:r>
      <w:r w:rsidRPr="00193AEE">
        <w:rPr>
          <w:rFonts w:ascii="Verdana" w:hAnsi="Verdana"/>
          <w:color w:val="000000" w:themeColor="text1"/>
          <w:sz w:val="22"/>
          <w:szCs w:val="22"/>
        </w:rPr>
        <w:t>;</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successful public-private partnership working;</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adaptation to major economic shocks;</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phased delivery;</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integration of transport, public realm and development;</w:t>
      </w:r>
    </w:p>
    <w:p w:rsidR="005802A1" w:rsidRPr="00193AEE">
      <w:pPr>
        <w:pStyle w:val="ListParagraph"/>
        <w:numPr>
          <w:ilvl w:val="1"/>
          <w:numId w:val="31"/>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strong governance and stakeholder engagement.  </w:t>
      </w:r>
    </w:p>
    <w:p w:rsidR="005802A1" w:rsidRPr="00DB3AEA" w:rsidP="006A12C3">
      <w:pPr>
        <w:spacing w:after="160" w:line="259" w:lineRule="auto"/>
        <w:rPr>
          <w:rFonts w:ascii="Verdana" w:hAnsi="Verdana"/>
          <w:i/>
          <w:color w:val="000000" w:themeColor="text1"/>
          <w:sz w:val="22"/>
          <w:szCs w:val="22"/>
        </w:rPr>
      </w:pPr>
      <w:r w:rsidRPr="00DB3AEA">
        <w:rPr>
          <w:rFonts w:ascii="Verdana" w:hAnsi="Verdana"/>
          <w:i/>
          <w:color w:val="000000" w:themeColor="text1"/>
          <w:sz w:val="22"/>
          <w:szCs w:val="22"/>
        </w:rPr>
        <w:t>Lessons from The Lexicon's construction and logistics</w:t>
      </w:r>
    </w:p>
    <w:p w:rsidR="005802A1" w:rsidRPr="00193AEE" w:rsidP="00CD2A11">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Particularly relevant lessons include:</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maintaining town-centre operations whilst construction proceeded;</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coordinating contractors, highways teams and stakeholders;</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integrating transport improvements with development delivery;</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managing risk through collaborative governance structures.  </w:t>
      </w:r>
    </w:p>
    <w:p w:rsidR="005802A1" w:rsidRPr="00193AEE" w:rsidP="00CD2A11">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Best practice themes Government should examine:</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Committee should specifically look for cases that demonstrate:</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long-term stewardship;</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delivery through economic downturns;</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integrated infrastructure and development planning;</w:t>
      </w:r>
    </w:p>
    <w:p w:rsidR="005802A1" w:rsidRPr="00193AEE">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public-private partnership models;</w:t>
      </w:r>
    </w:p>
    <w:p w:rsidR="005802A1" w:rsidRPr="00193AEE" w:rsidP="004B266D">
      <w:pPr>
        <w:pStyle w:val="ListParagraph"/>
        <w:numPr>
          <w:ilvl w:val="1"/>
          <w:numId w:val="27"/>
        </w:numPr>
        <w:spacing w:after="160" w:line="259" w:lineRule="auto"/>
        <w:ind w:hanging="357"/>
        <w:contextualSpacing w:val="0"/>
        <w:rPr>
          <w:rFonts w:ascii="Verdana" w:hAnsi="Verdana"/>
          <w:color w:val="000000" w:themeColor="text1"/>
          <w:sz w:val="22"/>
          <w:szCs w:val="22"/>
        </w:rPr>
      </w:pPr>
      <w:r w:rsidRPr="00193AEE">
        <w:rPr>
          <w:rFonts w:ascii="Verdana" w:hAnsi="Verdana"/>
          <w:color w:val="000000" w:themeColor="text1"/>
          <w:sz w:val="22"/>
          <w:szCs w:val="22"/>
        </w:rPr>
        <w:t>flexibility in design and phasing.</w:t>
      </w:r>
    </w:p>
    <w:p w:rsidR="005802A1" w:rsidRPr="00AA5D87" w:rsidP="000F748D">
      <w:pPr>
        <w:pStyle w:val="ListParagraph"/>
        <w:spacing w:after="160" w:line="259" w:lineRule="auto"/>
        <w:ind w:left="357" w:hanging="357"/>
        <w:contextualSpacing w:val="0"/>
        <w:rPr>
          <w:rFonts w:ascii="Verdana" w:hAnsi="Verdana"/>
          <w:i/>
          <w:color w:val="000000" w:themeColor="text1"/>
          <w:sz w:val="22"/>
          <w:szCs w:val="22"/>
        </w:rPr>
      </w:pPr>
      <w:r w:rsidRPr="00AA5D87">
        <w:rPr>
          <w:rFonts w:ascii="Verdana" w:hAnsi="Verdana"/>
          <w:i/>
          <w:color w:val="000000" w:themeColor="text1"/>
          <w:sz w:val="22"/>
          <w:szCs w:val="22"/>
        </w:rPr>
        <w:t>Examples of "worst practice"</w:t>
      </w:r>
      <w:r>
        <w:rPr>
          <w:rFonts w:ascii="Verdana" w:hAnsi="Verdana"/>
          <w:i/>
          <w:color w:val="000000" w:themeColor="text1"/>
          <w:sz w:val="22"/>
          <w:szCs w:val="22"/>
        </w:rPr>
        <w:t xml:space="preserve"> </w:t>
      </w:r>
      <w:r w:rsidRPr="00AA5D87">
        <w:rPr>
          <w:rFonts w:ascii="Verdana" w:hAnsi="Verdana"/>
          <w:i/>
          <w:color w:val="000000" w:themeColor="text1"/>
          <w:sz w:val="22"/>
          <w:szCs w:val="22"/>
        </w:rPr>
        <w:t>characteristics identified indirectly by the research</w:t>
      </w:r>
    </w:p>
    <w:p w:rsidR="005802A1" w:rsidRPr="00193AEE" w:rsidP="004B266D">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The Lexicon reports suggest that projects are more likely to struggle where there is:</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fragmented land ownership</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lack of political consensus</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weak community engagement</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unrealistic expectations regarding timescales and complexity</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poor communication</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inflexible masterplans</w:t>
      </w:r>
      <w:r w:rsidR="00CD2A11">
        <w:rPr>
          <w:rFonts w:ascii="Verdana" w:hAnsi="Verdana"/>
          <w:color w:val="000000" w:themeColor="text1"/>
          <w:sz w:val="22"/>
          <w:szCs w:val="22"/>
        </w:rPr>
        <w:t>.</w:t>
      </w:r>
    </w:p>
    <w:p w:rsidR="005802A1" w:rsidRPr="00193AEE" w:rsidP="00CD2A11">
      <w:pPr>
        <w:pStyle w:val="ListParagraph"/>
        <w:numPr>
          <w:ilvl w:val="1"/>
          <w:numId w:val="27"/>
        </w:numPr>
        <w:spacing w:after="160" w:line="259" w:lineRule="auto"/>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insufficient consideration of long-term management and maintenance.  </w:t>
      </w:r>
    </w:p>
    <w:p w:rsidR="005802A1" w:rsidRPr="007A77B0" w:rsidP="00155B1F">
      <w:pPr>
        <w:pStyle w:val="ListParagraph"/>
        <w:spacing w:after="160" w:line="259" w:lineRule="auto"/>
        <w:ind w:left="357" w:hanging="357"/>
        <w:contextualSpacing w:val="0"/>
        <w:rPr>
          <w:rFonts w:ascii="Verdana" w:hAnsi="Verdana"/>
          <w:i/>
          <w:color w:val="000000" w:themeColor="text1"/>
          <w:sz w:val="22"/>
          <w:szCs w:val="22"/>
        </w:rPr>
      </w:pPr>
      <w:r w:rsidRPr="007A77B0">
        <w:rPr>
          <w:rFonts w:ascii="Verdana" w:hAnsi="Verdana"/>
          <w:i/>
          <w:color w:val="000000" w:themeColor="text1"/>
          <w:sz w:val="22"/>
          <w:szCs w:val="22"/>
        </w:rPr>
        <w:t>Concluding core message for the Inquiry</w:t>
      </w:r>
    </w:p>
    <w:p w:rsidR="005802A1" w:rsidRPr="00193AEE" w:rsidP="00292B56">
      <w:pPr>
        <w:pStyle w:val="ListParagraph"/>
        <w:numPr>
          <w:ilvl w:val="0"/>
          <w:numId w:val="27"/>
        </w:numPr>
        <w:spacing w:after="160" w:line="259" w:lineRule="auto"/>
        <w:ind w:left="357" w:hanging="357"/>
        <w:contextualSpacing w:val="0"/>
        <w:rPr>
          <w:rFonts w:ascii="Verdana" w:hAnsi="Verdana"/>
          <w:color w:val="000000" w:themeColor="text1"/>
          <w:sz w:val="22"/>
          <w:szCs w:val="22"/>
        </w:rPr>
      </w:pPr>
      <w:r w:rsidRPr="00193AEE">
        <w:rPr>
          <w:rFonts w:ascii="Verdana" w:hAnsi="Verdana"/>
          <w:color w:val="000000" w:themeColor="text1"/>
          <w:sz w:val="22"/>
          <w:szCs w:val="22"/>
        </w:rPr>
        <w:t xml:space="preserve">The principal lesson from The Lexicon is that successful new towns are not primarily a construction challenge; they are a governance, partnership and place-making challenge. High-quality outcomes emerge when long-term vision, political commitment, community involvement, flexible </w:t>
      </w:r>
      <w:r w:rsidRPr="00193AEE">
        <w:rPr>
          <w:rFonts w:ascii="Verdana" w:hAnsi="Verdana"/>
          <w:color w:val="000000" w:themeColor="text1"/>
          <w:sz w:val="22"/>
          <w:szCs w:val="22"/>
        </w:rPr>
        <w:t>masterplanning</w:t>
      </w:r>
      <w:r w:rsidRPr="00193AEE">
        <w:rPr>
          <w:rFonts w:ascii="Verdana" w:hAnsi="Verdana"/>
          <w:color w:val="000000" w:themeColor="text1"/>
          <w:sz w:val="22"/>
          <w:szCs w:val="22"/>
        </w:rPr>
        <w:t xml:space="preserve"> and strong delivery partnerships are combined</w:t>
      </w:r>
    </w:p>
    <w:p w:rsidR="005802A1">
      <w:pPr>
        <w:rPr>
          <w:rFonts w:ascii="Arial" w:hAnsi="Arial" w:cs="Arial"/>
          <w:sz w:val="22"/>
          <w:szCs w:val="22"/>
        </w:rPr>
      </w:pPr>
    </w:p>
    <w:p w:rsidR="005802A1" w:rsidRPr="00AB12B1" w:rsidP="00155B1F">
      <w:pPr>
        <w:spacing w:after="160" w:line="259" w:lineRule="auto"/>
        <w:ind w:left="6027" w:hanging="6027"/>
        <w:rPr>
          <w:rFonts w:ascii="Verdana" w:hAnsi="Verdana"/>
          <w:i/>
          <w:color w:val="000000" w:themeColor="text1"/>
          <w:sz w:val="22"/>
          <w:szCs w:val="22"/>
        </w:rPr>
      </w:pPr>
      <w:r w:rsidRPr="00AB12B1">
        <w:rPr>
          <w:rFonts w:ascii="Verdana" w:hAnsi="Verdana"/>
          <w:i/>
          <w:iCs/>
          <w:color w:val="000000" w:themeColor="text1"/>
          <w:sz w:val="22"/>
          <w:szCs w:val="22"/>
        </w:rPr>
        <w:t>10 July 2026</w:t>
      </w:r>
    </w:p>
    <w:sectPr>
      <w:footerReference w:type="even" r:id="rId8"/>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51910910"/>
      <w:docPartObj>
        <w:docPartGallery w:val="Page Numbers (Bottom of Page)"/>
        <w:docPartUnique/>
      </w:docPartObj>
    </w:sdtPr>
    <w:sdtEndPr>
      <w:rPr>
        <w:rStyle w:val="PageNumber"/>
      </w:rPr>
    </w:sdtEndPr>
    <w:sdtContent>
      <w:p w:rsidR="005802A1" w:rsidP="001218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5802A1" w:rsidP="00D707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2A1" w:rsidP="00D70753">
    <w:pPr>
      <w:pStyle w:val="Footer"/>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6A0859"/>
    <w:multiLevelType w:val="hybridMultilevel"/>
    <w:tmpl w:val="97B22EC6"/>
    <w:lvl w:ilvl="0">
      <w:start w:val="3"/>
      <w:numFmt w:val="decimal"/>
      <w:lvlText w:val="%1."/>
      <w:lvlJc w:val="left"/>
      <w:pPr>
        <w:ind w:left="720" w:hanging="360"/>
      </w:pPr>
      <w:rPr>
        <w:rFonts w:hint="default"/>
      </w:rPr>
    </w:lvl>
    <w:lvl w:ilvl="1">
      <w:start w:val="0"/>
      <w:numFmt w:val="bullet"/>
      <w:lvlText w:val=""/>
      <w:lvlJc w:val="left"/>
      <w:pPr>
        <w:ind w:left="1440" w:hanging="360"/>
      </w:pPr>
      <w:rPr>
        <w:rFonts w:ascii="Arial" w:eastAsia="Times New Roman" w:hAnsi="Arial" w:cs="Aria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87A6C06"/>
    <w:multiLevelType w:val="multilevel"/>
    <w:tmpl w:val="97B22EC6"/>
    <w:numStyleLink w:val="CurrentList1"/>
  </w:abstractNum>
  <w:abstractNum w:abstractNumId="2">
    <w:nsid w:val="0EBB4048"/>
    <w:multiLevelType w:val="hybridMultilevel"/>
    <w:tmpl w:val="9A0EA70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880112"/>
    <w:multiLevelType w:val="multilevel"/>
    <w:tmpl w:val="7BE6AF0C"/>
    <w:lvl w:ilvl="0">
      <w:start w:val="1"/>
      <w:numFmt w:val="lowerLetter"/>
      <w:lvlText w:val="%1."/>
      <w:lvlJc w:val="left"/>
      <w:pPr>
        <w:ind w:left="717" w:hanging="360"/>
      </w:pPr>
    </w:lvl>
    <w:lvl w:ilvl="1">
      <w:start w:val="1"/>
      <w:numFmt w:val="lowerLetter"/>
      <w:lvlText w:val="%2)"/>
      <w:lvlJc w:val="left"/>
      <w:pPr>
        <w:ind w:left="1077" w:hanging="360"/>
      </w:p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4">
    <w:nsid w:val="122B202D"/>
    <w:multiLevelType w:val="hybridMultilevel"/>
    <w:tmpl w:val="488EDC4E"/>
    <w:lvl w:ilvl="0">
      <w:start w:val="1"/>
      <w:numFmt w:val="decimal"/>
      <w:suff w:val="nothing"/>
      <w:lvlText w:val="%1."/>
      <w:lvlJc w:val="left"/>
      <w:pPr>
        <w:ind w:left="786"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3667144"/>
    <w:multiLevelType w:val="multilevel"/>
    <w:tmpl w:val="FAB4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FD7558"/>
    <w:multiLevelType w:val="multilevel"/>
    <w:tmpl w:val="1010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0E3BF5"/>
    <w:multiLevelType w:val="hybridMultilevel"/>
    <w:tmpl w:val="327ADE0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1E65ED"/>
    <w:multiLevelType w:val="multilevel"/>
    <w:tmpl w:val="D7267638"/>
    <w:lvl w:ilvl="0">
      <w:start w:val="1"/>
      <w:numFmt w:val="bullet"/>
      <w:lvlText w:val=""/>
      <w:lvlJc w:val="left"/>
      <w:pPr>
        <w:tabs>
          <w:tab w:val="num" w:pos="720"/>
        </w:tabs>
        <w:ind w:left="720" w:hanging="360"/>
      </w:pPr>
      <w:rPr>
        <w:rFonts w:ascii="Symbol" w:hAnsi="Symbol" w:hint="default"/>
        <w:sz w:val="20"/>
      </w:rPr>
    </w:lvl>
    <w:lvl w:ilvl="1">
      <w:start w:val="5"/>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9534D63"/>
    <w:multiLevelType w:val="hybridMultilevel"/>
    <w:tmpl w:val="31F4B3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E6E1219"/>
    <w:multiLevelType w:val="hybridMultilevel"/>
    <w:tmpl w:val="A9BACA06"/>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221078EB"/>
    <w:multiLevelType w:val="hybridMultilevel"/>
    <w:tmpl w:val="1F86B7DC"/>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D455A3"/>
    <w:multiLevelType w:val="hybridMultilevel"/>
    <w:tmpl w:val="1B2E0832"/>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B923C17"/>
    <w:multiLevelType w:val="hybridMultilevel"/>
    <w:tmpl w:val="E6AE2580"/>
    <w:lvl w:ilvl="0">
      <w:start w:val="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2BB33D27"/>
    <w:multiLevelType w:val="hybridMultilevel"/>
    <w:tmpl w:val="86A4CEA0"/>
    <w:lvl w:ilvl="0">
      <w:start w:val="3"/>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6755BC5"/>
    <w:multiLevelType w:val="multilevel"/>
    <w:tmpl w:val="AC62A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AB3B4D"/>
    <w:multiLevelType w:val="multilevel"/>
    <w:tmpl w:val="6ECE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11316D"/>
    <w:multiLevelType w:val="multilevel"/>
    <w:tmpl w:val="B08A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A410A7"/>
    <w:multiLevelType w:val="multilevel"/>
    <w:tmpl w:val="F5F2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C8351F"/>
    <w:multiLevelType w:val="hybridMultilevel"/>
    <w:tmpl w:val="E6AE2580"/>
    <w:lvl w:ilvl="0">
      <w:start w:val="6"/>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2666BE6"/>
    <w:multiLevelType w:val="hybridMultilevel"/>
    <w:tmpl w:val="BF4AF598"/>
    <w:lvl w:ilvl="0">
      <w:start w:val="1"/>
      <w:numFmt w:val="decimal"/>
      <w:suff w:val="nothing"/>
      <w:lvlText w:val="%1."/>
      <w:lvlJc w:val="left"/>
      <w:pPr>
        <w:ind w:left="644" w:hanging="360"/>
      </w:pPr>
      <w:rPr>
        <w:rFonts w:hint="default"/>
      </w:rPr>
    </w:lvl>
    <w:lvl w:ilvl="1">
      <w:start w:val="1"/>
      <w:numFmt w:val="lowerLetter"/>
      <w:lvlText w:val="%2."/>
      <w:lvlJc w:val="left"/>
      <w:pPr>
        <w:ind w:left="785"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2F375E5"/>
    <w:multiLevelType w:val="multilevel"/>
    <w:tmpl w:val="3A2E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8557A2"/>
    <w:multiLevelType w:val="hybridMultilevel"/>
    <w:tmpl w:val="18608DD6"/>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B4515FF"/>
    <w:multiLevelType w:val="hybridMultilevel"/>
    <w:tmpl w:val="BFF843FA"/>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4">
    <w:nsid w:val="6E686692"/>
    <w:multiLevelType w:val="multilevel"/>
    <w:tmpl w:val="33827B5C"/>
    <w:lvl w:ilvl="0">
      <w:start w:val="1"/>
      <w:numFmt w:val="decimal"/>
      <w:pStyle w:val="VNheading"/>
      <w:lvlText w:val="%1"/>
      <w:lvlJc w:val="left"/>
      <w:pPr>
        <w:ind w:left="1080" w:hanging="720"/>
      </w:pPr>
      <w:rPr>
        <w:rFonts w:hint="default"/>
      </w:rPr>
    </w:lvl>
    <w:lvl w:ilvl="1">
      <w:start w:val="1"/>
      <w:numFmt w:val="decimal"/>
      <w:pStyle w:val="VNbodynumbered"/>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713D142C"/>
    <w:multiLevelType w:val="hybridMultilevel"/>
    <w:tmpl w:val="BA8AAE54"/>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1C73B97"/>
    <w:multiLevelType w:val="multilevel"/>
    <w:tmpl w:val="A2BE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671228F"/>
    <w:multiLevelType w:val="hybridMultilevel"/>
    <w:tmpl w:val="3C9213BE"/>
    <w:lvl w:ilvl="0">
      <w:start w:val="4"/>
      <w:numFmt w:val="decimal"/>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8">
    <w:nsid w:val="7AF96742"/>
    <w:multiLevelType w:val="multilevel"/>
    <w:tmpl w:val="DA5EC6C0"/>
    <w:lvl w:ilvl="0">
      <w:start w:val="1"/>
      <w:numFmt w:val="bullet"/>
      <w:lvlText w:val=""/>
      <w:lvlJc w:val="left"/>
      <w:pPr>
        <w:tabs>
          <w:tab w:val="num" w:pos="720"/>
        </w:tabs>
        <w:ind w:left="720" w:hanging="360"/>
      </w:pPr>
      <w:rPr>
        <w:rFonts w:ascii="Symbol" w:hAnsi="Symbol" w:hint="default"/>
        <w:sz w:val="20"/>
      </w:rPr>
    </w:lvl>
    <w:lvl w:ilvl="1">
      <w:start w:val="4"/>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46742F"/>
    <w:multiLevelType w:val="multilevel"/>
    <w:tmpl w:val="DCAC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BD1EBA"/>
    <w:multiLevelType w:val="hybridMultilevel"/>
    <w:tmpl w:val="D2EAD0DE"/>
    <w:lvl w:ilvl="0">
      <w:start w:val="3"/>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24"/>
  </w:num>
  <w:num w:numId="2">
    <w:abstractNumId w:val="27"/>
  </w:num>
  <w:num w:numId="3">
    <w:abstractNumId w:val="13"/>
  </w:num>
  <w:num w:numId="4">
    <w:abstractNumId w:val="19"/>
  </w:num>
  <w:num w:numId="5">
    <w:abstractNumId w:val="11"/>
  </w:num>
  <w:num w:numId="6">
    <w:abstractNumId w:val="17"/>
  </w:num>
  <w:num w:numId="7">
    <w:abstractNumId w:val="26"/>
  </w:num>
  <w:num w:numId="8">
    <w:abstractNumId w:val="28"/>
  </w:num>
  <w:num w:numId="9">
    <w:abstractNumId w:val="8"/>
  </w:num>
  <w:num w:numId="10">
    <w:abstractNumId w:val="18"/>
  </w:num>
  <w:num w:numId="11">
    <w:abstractNumId w:val="21"/>
  </w:num>
  <w:num w:numId="12">
    <w:abstractNumId w:val="6"/>
  </w:num>
  <w:num w:numId="13">
    <w:abstractNumId w:val="15"/>
  </w:num>
  <w:num w:numId="14">
    <w:abstractNumId w:val="16"/>
  </w:num>
  <w:num w:numId="15">
    <w:abstractNumId w:val="5"/>
  </w:num>
  <w:num w:numId="16">
    <w:abstractNumId w:val="29"/>
  </w:num>
  <w:num w:numId="17">
    <w:abstractNumId w:val="24"/>
  </w:num>
  <w:num w:numId="18">
    <w:abstractNumId w:val="24"/>
    <w:lvlOverride w:ilvl="0">
      <w:startOverride w:val="3"/>
    </w:lvlOverride>
  </w:num>
  <w:num w:numId="19">
    <w:abstractNumId w:val="30"/>
  </w:num>
  <w:num w:numId="20">
    <w:abstractNumId w:val="0"/>
  </w:num>
  <w:num w:numId="21">
    <w:abstractNumId w:val="9"/>
  </w:num>
  <w:num w:numId="22">
    <w:abstractNumId w:val="1"/>
  </w:num>
  <w:num w:numId="23">
    <w:abstractNumId w:val="14"/>
  </w:num>
  <w:num w:numId="24">
    <w:abstractNumId w:val="25"/>
  </w:num>
  <w:num w:numId="25">
    <w:abstractNumId w:val="24"/>
    <w:lvlOverride w:ilvl="0">
      <w:startOverride w:val="3"/>
    </w:lvlOverride>
  </w:num>
  <w:num w:numId="26">
    <w:abstractNumId w:val="23"/>
  </w:num>
  <w:num w:numId="27">
    <w:abstractNumId w:val="20"/>
  </w:num>
  <w:num w:numId="28">
    <w:abstractNumId w:val="20"/>
    <w:lvlOverride w:ilvl="0">
      <w:lvl w:ilvl="0">
        <w:start w:val="1"/>
        <w:numFmt w:val="decimal"/>
        <w:suff w:val="nothing"/>
        <w:lvlText w:val="%1."/>
        <w:lvlJc w:val="left"/>
        <w:pPr>
          <w:ind w:left="927"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29">
    <w:abstractNumId w:val="3"/>
  </w:num>
  <w:num w:numId="30">
    <w:abstractNumId w:val="7"/>
  </w:num>
  <w:num w:numId="31">
    <w:abstractNumId w:val="12"/>
  </w:num>
  <w:num w:numId="32">
    <w:abstractNumId w:val="4"/>
  </w:num>
  <w:num w:numId="33">
    <w:abstractNumId w:val="22"/>
  </w:num>
  <w:num w:numId="34">
    <w:abstractNumId w:val="1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57D3"/>
    <w:rPr>
      <w:rFonts w:ascii="Times New Roman" w:eastAsia="Times New Roman" w:hAnsi="Times New Roman" w:cs="Times New Roman"/>
      <w:kern w:val="0"/>
      <w:lang w:eastAsia="en-GB"/>
    </w:rPr>
  </w:style>
  <w:style w:type="paragraph" w:styleId="Heading1">
    <w:name w:val="heading 1"/>
    <w:basedOn w:val="Normal"/>
    <w:next w:val="Normal"/>
    <w:link w:val="Heading1Char"/>
    <w:uiPriority w:val="9"/>
    <w:qFormat/>
    <w:rsid w:val="007474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74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74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4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4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4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4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4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4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4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74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74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4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4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484"/>
    <w:rPr>
      <w:rFonts w:eastAsiaTheme="majorEastAsia" w:cstheme="majorBidi"/>
      <w:color w:val="272727" w:themeColor="text1" w:themeTint="D8"/>
    </w:rPr>
  </w:style>
  <w:style w:type="paragraph" w:styleId="Title">
    <w:name w:val="Title"/>
    <w:basedOn w:val="Normal"/>
    <w:next w:val="Normal"/>
    <w:link w:val="TitleChar"/>
    <w:uiPriority w:val="10"/>
    <w:qFormat/>
    <w:rsid w:val="007474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48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48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7484"/>
    <w:rPr>
      <w:i/>
      <w:iCs/>
      <w:color w:val="404040" w:themeColor="text1" w:themeTint="BF"/>
    </w:rPr>
  </w:style>
  <w:style w:type="paragraph" w:styleId="ListParagraph">
    <w:name w:val="List Paragraph"/>
    <w:basedOn w:val="Normal"/>
    <w:uiPriority w:val="34"/>
    <w:qFormat/>
    <w:rsid w:val="00747484"/>
    <w:pPr>
      <w:ind w:left="720"/>
      <w:contextualSpacing/>
    </w:pPr>
  </w:style>
  <w:style w:type="character" w:styleId="IntenseEmphasis">
    <w:name w:val="Intense Emphasis"/>
    <w:basedOn w:val="DefaultParagraphFont"/>
    <w:uiPriority w:val="21"/>
    <w:qFormat/>
    <w:rsid w:val="00747484"/>
    <w:rPr>
      <w:i/>
      <w:iCs/>
      <w:color w:val="0F4761" w:themeColor="accent1" w:themeShade="BF"/>
    </w:rPr>
  </w:style>
  <w:style w:type="paragraph" w:styleId="IntenseQuote">
    <w:name w:val="Intense Quote"/>
    <w:basedOn w:val="Normal"/>
    <w:next w:val="Normal"/>
    <w:link w:val="IntenseQuoteChar"/>
    <w:uiPriority w:val="30"/>
    <w:qFormat/>
    <w:rsid w:val="007474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484"/>
    <w:rPr>
      <w:i/>
      <w:iCs/>
      <w:color w:val="0F4761" w:themeColor="accent1" w:themeShade="BF"/>
    </w:rPr>
  </w:style>
  <w:style w:type="character" w:styleId="IntenseReference">
    <w:name w:val="Intense Reference"/>
    <w:basedOn w:val="DefaultParagraphFont"/>
    <w:uiPriority w:val="32"/>
    <w:qFormat/>
    <w:rsid w:val="00747484"/>
    <w:rPr>
      <w:b/>
      <w:bCs/>
      <w:smallCaps/>
      <w:color w:val="0F4761" w:themeColor="accent1" w:themeShade="BF"/>
      <w:spacing w:val="5"/>
    </w:rPr>
  </w:style>
  <w:style w:type="paragraph" w:styleId="NormalWeb">
    <w:name w:val="Normal (Web)"/>
    <w:basedOn w:val="Normal"/>
    <w:uiPriority w:val="99"/>
    <w:semiHidden/>
    <w:unhideWhenUsed/>
    <w:rsid w:val="00747484"/>
    <w:pPr>
      <w:spacing w:before="100" w:beforeAutospacing="1" w:after="100" w:afterAutospacing="1"/>
    </w:pPr>
  </w:style>
  <w:style w:type="character" w:styleId="Hyperlink">
    <w:name w:val="Hyperlink"/>
    <w:basedOn w:val="DefaultParagraphFont"/>
    <w:uiPriority w:val="99"/>
    <w:unhideWhenUsed/>
    <w:rsid w:val="00F235A1"/>
    <w:rPr>
      <w:color w:val="467886" w:themeColor="hyperlink"/>
      <w:u w:val="single"/>
    </w:rPr>
  </w:style>
  <w:style w:type="paragraph" w:customStyle="1" w:styleId="VNbodynumbered">
    <w:name w:val="VN body numbered"/>
    <w:basedOn w:val="ListParagraph"/>
    <w:qFormat/>
    <w:rsid w:val="00F235A1"/>
    <w:pPr>
      <w:numPr>
        <w:ilvl w:val="1"/>
        <w:numId w:val="1"/>
      </w:numPr>
      <w:ind w:left="567" w:hanging="567"/>
    </w:pPr>
    <w:rPr>
      <w:rFonts w:ascii="Arial" w:hAnsi="Arial" w:cs="Arial"/>
      <w:sz w:val="22"/>
      <w:szCs w:val="22"/>
    </w:rPr>
  </w:style>
  <w:style w:type="paragraph" w:customStyle="1" w:styleId="VNheading">
    <w:name w:val="VNheading"/>
    <w:basedOn w:val="ListParagraph"/>
    <w:qFormat/>
    <w:rsid w:val="00F235A1"/>
    <w:pPr>
      <w:numPr>
        <w:numId w:val="1"/>
      </w:numPr>
      <w:ind w:left="567" w:hanging="567"/>
    </w:pPr>
    <w:rPr>
      <w:rFonts w:ascii="Arial" w:hAnsi="Arial" w:cs="Arial"/>
      <w:b/>
      <w:bCs/>
      <w:sz w:val="22"/>
      <w:szCs w:val="22"/>
    </w:rPr>
  </w:style>
  <w:style w:type="paragraph" w:styleId="Footer">
    <w:name w:val="footer"/>
    <w:basedOn w:val="Normal"/>
    <w:link w:val="FooterChar"/>
    <w:uiPriority w:val="99"/>
    <w:unhideWhenUsed/>
    <w:rsid w:val="00D70753"/>
    <w:pPr>
      <w:tabs>
        <w:tab w:val="center" w:pos="4513"/>
        <w:tab w:val="right" w:pos="9026"/>
      </w:tabs>
    </w:pPr>
  </w:style>
  <w:style w:type="character" w:customStyle="1" w:styleId="FooterChar">
    <w:name w:val="Footer Char"/>
    <w:basedOn w:val="DefaultParagraphFont"/>
    <w:link w:val="Footer"/>
    <w:uiPriority w:val="99"/>
    <w:rsid w:val="00D70753"/>
  </w:style>
  <w:style w:type="character" w:styleId="PageNumber">
    <w:name w:val="page number"/>
    <w:basedOn w:val="DefaultParagraphFont"/>
    <w:uiPriority w:val="99"/>
    <w:semiHidden/>
    <w:unhideWhenUsed/>
    <w:rsid w:val="00D70753"/>
  </w:style>
  <w:style w:type="character" w:customStyle="1" w:styleId="UnresolvedMention1">
    <w:name w:val="Unresolved Mention1"/>
    <w:basedOn w:val="DefaultParagraphFont"/>
    <w:uiPriority w:val="99"/>
    <w:semiHidden/>
    <w:unhideWhenUsed/>
    <w:rsid w:val="0058717D"/>
    <w:rPr>
      <w:color w:val="605E5C"/>
      <w:shd w:val="clear" w:color="auto" w:fill="E1DFDD"/>
    </w:rPr>
  </w:style>
  <w:style w:type="character" w:customStyle="1" w:styleId="apple-converted-space">
    <w:name w:val="apple-converted-space"/>
    <w:basedOn w:val="DefaultParagraphFont"/>
    <w:rsid w:val="00346422"/>
  </w:style>
  <w:style w:type="numbering" w:customStyle="1" w:styleId="CurrentList1">
    <w:name w:val="Current List1"/>
    <w:uiPriority w:val="99"/>
    <w:rsid w:val="0036344A"/>
    <w:pPr>
      <w:numPr>
        <w:numId w:val="2"/>
      </w:numPr>
    </w:pPr>
  </w:style>
  <w:style w:type="paragraph" w:styleId="Header">
    <w:name w:val="header"/>
    <w:basedOn w:val="Normal"/>
    <w:link w:val="HeaderChar"/>
    <w:uiPriority w:val="99"/>
    <w:unhideWhenUsed/>
    <w:rsid w:val="00C86563"/>
    <w:pPr>
      <w:tabs>
        <w:tab w:val="center" w:pos="4513"/>
        <w:tab w:val="right" w:pos="9026"/>
      </w:tabs>
    </w:pPr>
  </w:style>
  <w:style w:type="character" w:customStyle="1" w:styleId="HeaderChar">
    <w:name w:val="Header Char"/>
    <w:basedOn w:val="DefaultParagraphFont"/>
    <w:link w:val="Header"/>
    <w:uiPriority w:val="99"/>
    <w:rsid w:val="00C86563"/>
    <w:rPr>
      <w:rFonts w:ascii="Times New Roman" w:eastAsia="Times New Roman" w:hAnsi="Times New Roman" w:cs="Times New Roman"/>
      <w:kern w:val="0"/>
      <w:lang w:eastAsia="en-GB"/>
    </w:rPr>
  </w:style>
  <w:style w:type="character" w:styleId="CommentReference">
    <w:name w:val="annotation reference"/>
    <w:basedOn w:val="DefaultParagraphFont"/>
    <w:uiPriority w:val="99"/>
    <w:semiHidden/>
    <w:unhideWhenUsed/>
    <w:rsid w:val="00C92839"/>
    <w:rPr>
      <w:sz w:val="16"/>
      <w:szCs w:val="16"/>
    </w:rPr>
  </w:style>
  <w:style w:type="paragraph" w:styleId="CommentText">
    <w:name w:val="annotation text"/>
    <w:basedOn w:val="Normal"/>
    <w:link w:val="CommentTextChar"/>
    <w:uiPriority w:val="99"/>
    <w:unhideWhenUsed/>
    <w:rsid w:val="00C92839"/>
    <w:rPr>
      <w:sz w:val="20"/>
      <w:szCs w:val="20"/>
    </w:rPr>
  </w:style>
  <w:style w:type="character" w:customStyle="1" w:styleId="CommentTextChar">
    <w:name w:val="Comment Text Char"/>
    <w:basedOn w:val="DefaultParagraphFont"/>
    <w:link w:val="CommentText"/>
    <w:uiPriority w:val="99"/>
    <w:rsid w:val="00C92839"/>
    <w:rPr>
      <w:rFonts w:ascii="Times New Roman" w:eastAsia="Times New Roman" w:hAnsi="Times New Roman" w:cs="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C92839"/>
    <w:rPr>
      <w:b/>
      <w:bCs/>
    </w:rPr>
  </w:style>
  <w:style w:type="character" w:customStyle="1" w:styleId="CommentSubjectChar">
    <w:name w:val="Comment Subject Char"/>
    <w:basedOn w:val="CommentTextChar"/>
    <w:link w:val="CommentSubject"/>
    <w:uiPriority w:val="99"/>
    <w:semiHidden/>
    <w:rsid w:val="00C92839"/>
    <w:rPr>
      <w:rFonts w:ascii="Times New Roman" w:eastAsia="Times New Roman" w:hAnsi="Times New Roman" w:cs="Times New Roman"/>
      <w:b/>
      <w:bCs/>
      <w:kern w:val="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bede8a6e59b9cf804aae913f3ec8a661">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ca367f0a5b7fc8a502817a0af1300ca0"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104;#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70d2f4a9-7027-4c8b-acc6-1861eab93b19">JRFZP62N7HVT-2044078101-1567</_dlc_DocId>
    <TransfertoArchives xmlns="4600776d-0a3c-44b4-bff2-0ceaafb13046">false</TransfertoArchives>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Written Evidence - Unpublished</TermName>
          <TermId xmlns="http://schemas.microsoft.com/office/infopath/2007/PartnerControls">0be253cd-a155-4ec9-872a-26fd359e68f0</TermId>
        </TermInfo>
      </Terms>
    </c10fc15a1e374d7faacfa4b870e47730>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New Towns: Bricks and Mortar</TermName>
          <TermId xmlns="http://schemas.microsoft.com/office/infopath/2007/PartnerControls">f8c7e7a8-34b4-42c2-8a32-8ac970a121ac</TermId>
        </TermInfo>
      </Terms>
    </edc898bf3bb343549b83ac391d519ef2>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Meeting_x0020_Date xmlns="70d2f4a9-7027-4c8b-acc6-1861eab93b19">2026-07-20T23:00:00+00:00</Meeting_x0020_Date>
    <RetentionTriggerDate xmlns="4600776d-0a3c-44b4-bff2-0ceaafb1304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70d2f4a9-7027-4c8b-acc6-1861eab93b19">
      <Url>https://hopuk.sharepoint.com/sites/hlc-builtenviro/_layouts/15/DocIdRedir.aspx?ID=JRFZP62N7HVT-2044078101-1567</Url>
      <Description>JRFZP62N7HVT-2044078101-1567</Description>
    </_dlc_DocIdUrl>
    <RecordNumber xmlns="4600776d-0a3c-44b4-bff2-0ceaafb13046" xsi:nil="true"/>
    <Document_x0020_Status1 xmlns="70d2f4a9-7027-4c8b-acc6-1861eab93b19">Draft</Document_x0020_Status1>
    <g3ef09377e3444258679b6035a1ff93a xmlns="4600776d-0a3c-44b4-bff2-0ceaafb13046">
      <Terms xmlns="http://schemas.microsoft.com/office/infopath/2007/PartnerControls"/>
    </g3ef09377e3444258679b6035a1ff93a>
    <TaxCatchAll xmlns="4600776d-0a3c-44b4-bff2-0ceaafb13046">
      <Value>5</Value>
      <Value>104</Value>
      <Value>73</Value>
      <Value>105</Value>
      <Value>2</Value>
      <Value>54</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documentManagement>
</p:properties>
</file>

<file path=customXml/itemProps1.xml><?xml version="1.0" encoding="utf-8"?>
<ds:datastoreItem xmlns:ds="http://schemas.openxmlformats.org/officeDocument/2006/customXml" ds:itemID="{D86F3456-8A09-444B-B441-10AB82691416}">
  <ds:schemaRefs>
    <ds:schemaRef ds:uri="http://schemas.microsoft.com/sharepoint/v3/contenttype/forms"/>
  </ds:schemaRefs>
</ds:datastoreItem>
</file>

<file path=customXml/itemProps2.xml><?xml version="1.0" encoding="utf-8"?>
<ds:datastoreItem xmlns:ds="http://schemas.openxmlformats.org/officeDocument/2006/customXml" ds:itemID="{26FBA9C7-6C72-4A70-BF6F-FDB57E500798}">
  <ds:schemaRefs>
    <ds:schemaRef ds:uri="http://schemas.microsoft.com/sharepoint/events"/>
  </ds:schemaRefs>
</ds:datastoreItem>
</file>

<file path=customXml/itemProps3.xml><?xml version="1.0" encoding="utf-8"?>
<ds:datastoreItem xmlns:ds="http://schemas.openxmlformats.org/officeDocument/2006/customXml" ds:itemID="{BF54E314-0DB9-46DA-BF7F-0CB0CD145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EA970-E2E7-44E3-BAF3-3CA185A33A1E}">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NTB0011</dc:title>
  <cp:revision>0</cp:revision>
</cp:coreProperties>
</file>