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30AC3" w:rsidRPr="00B427BE" w:rsidP="00A62F84">
      <w:pPr>
        <w:spacing w:after="160" w:line="259" w:lineRule="auto"/>
        <w:rPr>
          <w:rFonts w:ascii="Verdana" w:hAnsi="Verdana"/>
          <w:b/>
          <w:bCs/>
          <w:sz w:val="28"/>
          <w:szCs w:val="28"/>
        </w:rPr>
      </w:pPr>
      <w:r w:rsidRPr="00B427BE">
        <w:rPr>
          <w:rFonts w:ascii="Verdana" w:hAnsi="Verdana"/>
          <w:b/>
          <w:bCs/>
          <w:sz w:val="28"/>
          <w:szCs w:val="28"/>
        </w:rPr>
        <w:t xml:space="preserve">Community Campaigner David Richard Barton </w:t>
      </w:r>
      <w:r w:rsidRPr="00B427BE" w:rsidR="00B427BE">
        <w:rPr>
          <w:rFonts w:ascii="Verdana" w:hAnsi="Verdana"/>
          <w:b/>
          <w:bCs/>
          <w:sz w:val="28"/>
          <w:szCs w:val="28"/>
        </w:rPr>
        <w:t>– Written evidence (NTB0010)</w:t>
      </w:r>
    </w:p>
    <w:p w:rsidR="00A62F84" w:rsidP="00A62F84">
      <w:pPr>
        <w:spacing w:after="160" w:line="259" w:lineRule="auto"/>
        <w:ind w:left="357" w:hanging="357"/>
        <w:rPr>
          <w:rFonts w:ascii="Verdana" w:hAnsi="Verdana"/>
          <w:b/>
        </w:rPr>
      </w:pPr>
    </w:p>
    <w:p w:rsidR="008E5D10" w:rsidRPr="00F31AD2" w:rsidP="00A62F84">
      <w:pPr>
        <w:spacing w:after="160" w:line="259" w:lineRule="auto"/>
        <w:rPr>
          <w:rFonts w:ascii="Verdana" w:hAnsi="Verdana"/>
          <w:b/>
        </w:rPr>
      </w:pPr>
      <w:r w:rsidRPr="00F31AD2">
        <w:rPr>
          <w:rFonts w:ascii="Verdana" w:hAnsi="Verdana"/>
          <w:b/>
        </w:rPr>
        <w:t>Once locations have been agreed, what are the factors limiting the physical construction of new towns? Which are the most important? How can they be addressed?</w:t>
      </w:r>
    </w:p>
    <w:p w:rsidR="000246F9" w:rsidRPr="000246F9" w:rsidP="00A62F84">
      <w:pPr>
        <w:pStyle w:val="ListParagraph"/>
        <w:numPr>
          <w:ilvl w:val="0"/>
          <w:numId w:val="12"/>
        </w:numPr>
        <w:spacing w:after="160" w:line="259" w:lineRule="auto"/>
        <w:ind w:left="357" w:hanging="357"/>
        <w:contextualSpacing w:val="0"/>
        <w:rPr>
          <w:rFonts w:ascii="Verdana" w:hAnsi="Verdana"/>
          <w:i/>
          <w:iCs/>
        </w:rPr>
      </w:pPr>
      <w:r w:rsidRPr="00F31AD2">
        <w:rPr>
          <w:rFonts w:ascii="Verdana" w:hAnsi="Verdana"/>
        </w:rPr>
        <w:t>Supply Chains of Physical Skills and Raw Materials</w:t>
      </w:r>
      <w:r w:rsidRPr="00F31AD2" w:rsidR="001E63E1">
        <w:rPr>
          <w:rFonts w:ascii="Verdana" w:hAnsi="Verdana"/>
          <w:i/>
          <w:iCs/>
        </w:rPr>
        <w:t xml:space="preserve"> -</w:t>
      </w:r>
      <w:r w:rsidRPr="00F31AD2">
        <w:rPr>
          <w:rFonts w:ascii="Verdana" w:hAnsi="Verdana"/>
        </w:rPr>
        <w:t>These often dictate budget spending plans and can have a significant impact if policy and conditions are improved to motivate key stakeholders, such as Property Owners, House Builder Corporations, etc to build in a truly authentic Traditional architectural style. Budget/ finance and Education of the next generation of Specialist Tradespeople will require a concerted effort from central Government to make this part of the new core syllabus so that people do not have to privately go on costly paid courses o</w:t>
      </w:r>
      <w:r w:rsidRPr="00F31AD2">
        <w:rPr>
          <w:rFonts w:ascii="Verdana" w:hAnsi="Verdana"/>
        </w:rPr>
        <w:t xml:space="preserve">r seek certification elsewhere. </w:t>
      </w:r>
    </w:p>
    <w:p w:rsidR="00C64E38" w:rsidRPr="00C64E38" w:rsidP="00A62F84">
      <w:pPr>
        <w:pStyle w:val="ListParagraph"/>
        <w:numPr>
          <w:ilvl w:val="0"/>
          <w:numId w:val="12"/>
        </w:numPr>
        <w:spacing w:after="160" w:line="259" w:lineRule="auto"/>
        <w:ind w:left="357" w:hanging="357"/>
        <w:contextualSpacing w:val="0"/>
        <w:rPr>
          <w:rFonts w:ascii="Verdana" w:hAnsi="Verdana"/>
          <w:i/>
          <w:iCs/>
        </w:rPr>
      </w:pPr>
      <w:r w:rsidRPr="00F31AD2">
        <w:rPr>
          <w:rFonts w:ascii="Verdana" w:hAnsi="Verdana"/>
        </w:rPr>
        <w:t>The US based Institute of Classical</w:t>
      </w:r>
      <w:r w:rsidRPr="00F31AD2">
        <w:rPr>
          <w:rFonts w:ascii="Verdana" w:hAnsi="Verdana"/>
        </w:rPr>
        <w:t xml:space="preserve"> Art and Architecture (ICAA) provides a welcome bastion of support for international pupils and may be either directly integrated or closely based upon for a UK style equivalent model so that UK-based persons and organisations mat more easily take on the practical aspects of the Traditional Architecture course without needing to travel abroad over the Summer. Raw Materials require both finessed programmes of permitted quarrying of these for new projects that are guaranteed to carry longevity, such as elegan</w:t>
      </w:r>
      <w:r w:rsidRPr="00F31AD2">
        <w:rPr>
          <w:rFonts w:ascii="Verdana" w:hAnsi="Verdana"/>
        </w:rPr>
        <w:t xml:space="preserve">t Housing Estates that are authentically </w:t>
      </w:r>
      <w:r w:rsidRPr="00F31AD2">
        <w:rPr>
          <w:rFonts w:ascii="Verdana" w:hAnsi="Verdana"/>
        </w:rPr>
        <w:t>Traditionally-based</w:t>
      </w:r>
      <w:r w:rsidRPr="00F31AD2">
        <w:rPr>
          <w:rFonts w:ascii="Verdana" w:hAnsi="Verdana"/>
        </w:rPr>
        <w:t xml:space="preserve">, but with far more detail invested into the final construction that aligns with both building schematic and the original built historic environment. </w:t>
      </w:r>
    </w:p>
    <w:p w:rsidR="0012313C" w:rsidRPr="00F31AD2" w:rsidP="00A62F84">
      <w:pPr>
        <w:pStyle w:val="ListParagraph"/>
        <w:numPr>
          <w:ilvl w:val="0"/>
          <w:numId w:val="12"/>
        </w:numPr>
        <w:spacing w:after="160" w:line="259" w:lineRule="auto"/>
        <w:ind w:left="357" w:hanging="357"/>
        <w:contextualSpacing w:val="0"/>
        <w:rPr>
          <w:rFonts w:ascii="Verdana" w:hAnsi="Verdana"/>
          <w:i/>
          <w:iCs/>
        </w:rPr>
      </w:pPr>
      <w:r w:rsidRPr="00F31AD2">
        <w:rPr>
          <w:rFonts w:ascii="Verdana" w:hAnsi="Verdana"/>
        </w:rPr>
        <w:t>Recovered  and Recycled raw materials, such as Yorkshire Paving Stone should be encouraged with greater support to ensure that any one geographical point of the UK and Ireland has full accessibility through any and all associated means, such as reduced or eliminated VAT to encourage adoption of Tradit</w:t>
      </w:r>
      <w:r w:rsidRPr="00F31AD2">
        <w:rPr>
          <w:rFonts w:ascii="Verdana" w:hAnsi="Verdana"/>
        </w:rPr>
        <w:t>ional style Raw materials with replica raw materials that aesthetically match also accepted to encourage actual beautiful Building design as set out in the late Sir Roger Scruton’s Building Better Building Beautiful Report of 2020.</w:t>
      </w:r>
    </w:p>
    <w:p w:rsidR="001E63E1" w:rsidRPr="00F31AD2" w:rsidP="00A62F84">
      <w:pPr>
        <w:spacing w:after="160" w:line="259" w:lineRule="auto"/>
        <w:rPr>
          <w:rFonts w:ascii="Verdana" w:hAnsi="Verdana"/>
        </w:rPr>
      </w:pPr>
    </w:p>
    <w:p w:rsidR="008E5D10" w:rsidRPr="00B427BE" w:rsidP="00A62F84">
      <w:pPr>
        <w:spacing w:after="160" w:line="259" w:lineRule="auto"/>
        <w:rPr>
          <w:rFonts w:ascii="Verdana" w:hAnsi="Verdana"/>
        </w:rPr>
      </w:pPr>
      <w:r w:rsidRPr="00F31AD2">
        <w:rPr>
          <w:rFonts w:ascii="Verdana" w:hAnsi="Verdana"/>
          <w:b/>
        </w:rPr>
        <w:t>What do you think are the greatest challenges associated with connecting new towns and expanded settlements to utilities? How can these challenges be addressed</w:t>
      </w:r>
      <w:r w:rsidRPr="00B427BE">
        <w:rPr>
          <w:rFonts w:ascii="Verdana" w:hAnsi="Verdana"/>
        </w:rPr>
        <w:t>?</w:t>
      </w:r>
    </w:p>
    <w:p w:rsidR="00331BAF" w:rsidP="00A62F84">
      <w:pPr>
        <w:pStyle w:val="ListParagraph"/>
        <w:numPr>
          <w:ilvl w:val="0"/>
          <w:numId w:val="12"/>
        </w:numPr>
        <w:spacing w:after="160" w:line="259" w:lineRule="auto"/>
        <w:ind w:left="357" w:hanging="357"/>
        <w:contextualSpacing w:val="0"/>
        <w:rPr>
          <w:rFonts w:ascii="Verdana" w:hAnsi="Verdana"/>
        </w:rPr>
      </w:pPr>
      <w:r w:rsidRPr="00F31AD2">
        <w:rPr>
          <w:rFonts w:ascii="Verdana" w:hAnsi="Verdana"/>
        </w:rPr>
        <w:t xml:space="preserve">Core Placemaking Infrastructure- </w:t>
      </w:r>
      <w:r w:rsidRPr="00B427BE">
        <w:rPr>
          <w:rFonts w:ascii="Verdana" w:hAnsi="Verdana"/>
        </w:rPr>
        <w:t xml:space="preserve">Roads and sufficient supply of free car parking to encourage visitation and investment from other parts of the country and Ireland to this location and vice versa. Irrespective of national campaigns people will always retain the desire to travel freely and independently and will in fact make greater effort to become greener in their </w:t>
      </w:r>
      <w:r w:rsidRPr="00B427BE">
        <w:rPr>
          <w:rFonts w:ascii="Verdana" w:hAnsi="Verdana"/>
        </w:rPr>
        <w:t xml:space="preserve">daily lives if a simple activity, such as transportation is not only retained, but positively improved. </w:t>
      </w:r>
    </w:p>
    <w:p w:rsidR="0030393C" w:rsidRPr="00F31AD2" w:rsidP="00A62F84">
      <w:pPr>
        <w:pStyle w:val="ListParagraph"/>
        <w:numPr>
          <w:ilvl w:val="0"/>
          <w:numId w:val="12"/>
        </w:numPr>
        <w:spacing w:after="160" w:line="259" w:lineRule="auto"/>
        <w:ind w:left="357" w:hanging="357"/>
        <w:contextualSpacing w:val="0"/>
        <w:rPr>
          <w:rFonts w:ascii="Verdana" w:hAnsi="Verdana"/>
        </w:rPr>
      </w:pPr>
      <w:r w:rsidRPr="00B427BE">
        <w:rPr>
          <w:rFonts w:ascii="Verdana" w:hAnsi="Verdana"/>
        </w:rPr>
        <w:t xml:space="preserve">People cannot rely upon Bicycle and Train completely in any case and the </w:t>
      </w:r>
      <w:r w:rsidRPr="00B427BE">
        <w:rPr>
          <w:rFonts w:ascii="Verdana" w:hAnsi="Verdana"/>
        </w:rPr>
        <w:t xml:space="preserve">costs associated with facilitating free car parking </w:t>
      </w:r>
      <w:r w:rsidRPr="00B427BE">
        <w:rPr>
          <w:rFonts w:ascii="Verdana" w:hAnsi="Verdana"/>
        </w:rPr>
        <w:t>en</w:t>
      </w:r>
      <w:r w:rsidRPr="00B427BE">
        <w:rPr>
          <w:rFonts w:ascii="Verdana" w:hAnsi="Verdana"/>
        </w:rPr>
        <w:t xml:space="preserve"> masse, for instance will be outweighed by the short, mid and long-term positive economic impacts. By creating a strong infrastructure- based settlement with actual authentic traditional architecture this will encourage people to take better care in the right local areas and neighbourhoods and make the necessary individual changes, such as reduced water usage, etc where appropriate. This can and will also alleviate burdens on Central Government and paral</w:t>
      </w:r>
      <w:r w:rsidRPr="00B427BE">
        <w:rPr>
          <w:rFonts w:ascii="Verdana" w:hAnsi="Verdana"/>
        </w:rPr>
        <w:t xml:space="preserve">lel partners, such as Utility Companies.  </w:t>
      </w:r>
    </w:p>
    <w:p w:rsidR="002E1306" w:rsidRPr="0002235B" w:rsidP="00A62F84">
      <w:pPr>
        <w:pStyle w:val="ListParagraph"/>
        <w:spacing w:after="160" w:line="259" w:lineRule="auto"/>
        <w:ind w:left="357"/>
        <w:contextualSpacing w:val="0"/>
        <w:rPr>
          <w:rFonts w:ascii="Verdana" w:hAnsi="Verdana"/>
        </w:rPr>
      </w:pPr>
    </w:p>
    <w:p w:rsidR="008E5D10" w:rsidRPr="00F31AD2" w:rsidP="00A62F84">
      <w:pPr>
        <w:spacing w:after="160" w:line="259" w:lineRule="auto"/>
        <w:rPr>
          <w:rFonts w:ascii="Verdana" w:hAnsi="Verdana"/>
          <w:b/>
        </w:rPr>
      </w:pPr>
      <w:r w:rsidRPr="00F31AD2">
        <w:rPr>
          <w:rFonts w:ascii="Verdana" w:hAnsi="Verdana"/>
          <w:b/>
        </w:rPr>
        <w:t>Which policy areas or barriers represent the ‘low-hanging fruit’ for this inquiry? Are there any ‘quick fixes’ that the Committee and Government could address?</w:t>
      </w:r>
    </w:p>
    <w:p w:rsidR="00C91DAE" w:rsidP="00A62F84">
      <w:pPr>
        <w:pStyle w:val="ListParagraph"/>
        <w:numPr>
          <w:ilvl w:val="0"/>
          <w:numId w:val="12"/>
        </w:numPr>
        <w:spacing w:after="160" w:line="259" w:lineRule="auto"/>
        <w:ind w:left="357" w:hanging="357"/>
        <w:contextualSpacing w:val="0"/>
        <w:rPr>
          <w:rFonts w:ascii="Verdana" w:hAnsi="Verdana"/>
        </w:rPr>
      </w:pPr>
      <w:r w:rsidRPr="00F31AD2">
        <w:rPr>
          <w:rFonts w:ascii="Verdana" w:hAnsi="Verdana"/>
        </w:rPr>
        <w:t xml:space="preserve">VAT Relief and Funding Grants with Incentives for Commercial Civic Restorers (CCRs)- </w:t>
      </w:r>
      <w:r w:rsidRPr="00B427BE">
        <w:rPr>
          <w:rFonts w:ascii="Verdana" w:hAnsi="Verdana"/>
        </w:rPr>
        <w:t xml:space="preserve">Simply put by eliminating or vastly reducing VAT and associated taxation costs on constructing and reconstructing authentic traditional architecture in the 2020s onwards this will have a substantially positive influence on encouraging people to build beautifully. This was the intention of the </w:t>
      </w:r>
      <w:r w:rsidRPr="00B427BE">
        <w:rPr>
          <w:rFonts w:ascii="Verdana" w:hAnsi="Verdana"/>
        </w:rPr>
        <w:t>aforementioned 2020</w:t>
      </w:r>
      <w:r w:rsidRPr="00B427BE">
        <w:rPr>
          <w:rFonts w:ascii="Verdana" w:hAnsi="Verdana"/>
        </w:rPr>
        <w:t xml:space="preserve"> Building Better Building Beautiful Commission that importantly caters for all backgrounds and social strata of society. Funding Grants and staged/ tailored pathways should be established that will i</w:t>
      </w:r>
      <w:r w:rsidRPr="00B427BE">
        <w:rPr>
          <w:rFonts w:ascii="Verdana" w:hAnsi="Verdana"/>
        </w:rPr>
        <w:t xml:space="preserve">mmediately dissuade House Builder Corporations and Individuals from pursuing active demolition of prized old sites. Examples include former Manor Houses that have seen multiple uses only to be torn down in recent years after being sold under value to the said third parties causing great disenfranchisement towards Government at all levels. </w:t>
      </w:r>
    </w:p>
    <w:p w:rsidR="004C6F5F" w:rsidP="00A62F84">
      <w:pPr>
        <w:pStyle w:val="ListParagraph"/>
        <w:numPr>
          <w:ilvl w:val="0"/>
          <w:numId w:val="12"/>
        </w:numPr>
        <w:spacing w:after="160" w:line="259" w:lineRule="auto"/>
        <w:ind w:left="357" w:hanging="357"/>
        <w:contextualSpacing w:val="0"/>
        <w:rPr>
          <w:rFonts w:ascii="Verdana" w:hAnsi="Verdana"/>
        </w:rPr>
      </w:pPr>
      <w:r w:rsidRPr="00B427BE">
        <w:rPr>
          <w:rFonts w:ascii="Verdana" w:hAnsi="Verdana"/>
        </w:rPr>
        <w:t>To ensure Return on Investment (ROI) and the ability to justify both construction costs (and in some cases restorative and reconstructive costs), it is essential that exit</w:t>
      </w:r>
      <w:r w:rsidRPr="00B427BE">
        <w:rPr>
          <w:rFonts w:ascii="Verdana" w:hAnsi="Verdana"/>
        </w:rPr>
        <w:t xml:space="preserve">ing financial burdens are removed so that people abandon the demolition pathway altogether. To do this central Government must radically demonstrate that there are clear trajectories towards alternatively utilising the existing historic structural fabric whilst also being better financially placed to construct anew in this rich widely popular traditional style.  </w:t>
      </w:r>
    </w:p>
    <w:p w:rsidR="008E5D10" w:rsidRPr="00F31AD2" w:rsidP="00A62F84">
      <w:pPr>
        <w:pStyle w:val="ListParagraph"/>
        <w:numPr>
          <w:ilvl w:val="0"/>
          <w:numId w:val="12"/>
        </w:numPr>
        <w:spacing w:after="160" w:line="259" w:lineRule="auto"/>
        <w:ind w:left="357" w:hanging="357"/>
        <w:contextualSpacing w:val="0"/>
        <w:rPr>
          <w:rFonts w:ascii="Verdana" w:hAnsi="Verdana"/>
        </w:rPr>
      </w:pPr>
      <w:r w:rsidRPr="00B427BE">
        <w:rPr>
          <w:rFonts w:ascii="Verdana" w:hAnsi="Verdana"/>
        </w:rPr>
        <w:t>Besides being a major vehicle in combatting the Climate Crisis through acknowledging the built environments’ 40% impact on carbon emissions, this m</w:t>
      </w:r>
      <w:r w:rsidRPr="00B427BE">
        <w:rPr>
          <w:rFonts w:ascii="Verdana" w:hAnsi="Verdana"/>
        </w:rPr>
        <w:t xml:space="preserve">ay present wider grant funding opportunities from international Governments and Organisations where the UK can serve a s a template for other nations across Europe and globally. CCRs may become more widely available to community groups and better equipped to engage with house Builder Individuals and Organisations thereby preventing the demolition of a historic building or construction of a contemporary widely objected housing estate through re-sale and/or a partnership combination that </w:t>
      </w:r>
      <w:r w:rsidRPr="00B427BE">
        <w:rPr>
          <w:rFonts w:ascii="Verdana" w:hAnsi="Verdana"/>
        </w:rPr>
        <w:t>wold</w:t>
      </w:r>
      <w:r w:rsidRPr="00B427BE">
        <w:rPr>
          <w:rFonts w:ascii="Verdana" w:hAnsi="Verdana"/>
        </w:rPr>
        <w:t xml:space="preserve"> actually </w:t>
      </w:r>
      <w:r w:rsidRPr="00B427BE">
        <w:rPr>
          <w:rFonts w:ascii="Verdana" w:hAnsi="Verdana"/>
        </w:rPr>
        <w:t xml:space="preserve">have a </w:t>
      </w:r>
      <w:r w:rsidRPr="00B427BE">
        <w:rPr>
          <w:rFonts w:ascii="Verdana" w:hAnsi="Verdana"/>
        </w:rPr>
        <w:t>greater probability of collating resources to achieve a high ROI yield whilst also enabling the Government to hit required housing targets.</w:t>
      </w:r>
    </w:p>
    <w:p w:rsidR="002E1306" w:rsidRPr="00F31AD2" w:rsidP="00A62F84">
      <w:pPr>
        <w:pStyle w:val="ListParagraph"/>
        <w:spacing w:after="160" w:line="259" w:lineRule="auto"/>
        <w:ind w:left="357"/>
        <w:contextualSpacing w:val="0"/>
        <w:rPr>
          <w:rFonts w:ascii="Verdana" w:hAnsi="Verdana"/>
        </w:rPr>
      </w:pPr>
    </w:p>
    <w:p w:rsidR="008E5D10" w:rsidRPr="00F31AD2" w:rsidP="00A62F84">
      <w:pPr>
        <w:spacing w:after="160" w:line="259" w:lineRule="auto"/>
        <w:rPr>
          <w:rFonts w:ascii="Verdana" w:hAnsi="Verdana"/>
          <w:b/>
        </w:rPr>
      </w:pPr>
      <w:r w:rsidRPr="00F31AD2">
        <w:rPr>
          <w:rFonts w:ascii="Verdana" w:hAnsi="Verdana"/>
          <w:b/>
        </w:rPr>
        <w:t>What can the Government and new town delivery vehicles do in the short term to ensure that construction of new towns over the coming years and decades is successful?</w:t>
      </w:r>
    </w:p>
    <w:p w:rsidR="00F31AD2" w:rsidRPr="00F31AD2" w:rsidP="00A62F84">
      <w:pPr>
        <w:pStyle w:val="ListParagraph"/>
        <w:numPr>
          <w:ilvl w:val="0"/>
          <w:numId w:val="12"/>
        </w:numPr>
        <w:spacing w:after="160" w:line="259" w:lineRule="auto"/>
        <w:ind w:left="357" w:hanging="357"/>
        <w:contextualSpacing w:val="0"/>
        <w:rPr>
          <w:rFonts w:ascii="Verdana" w:hAnsi="Verdana"/>
        </w:rPr>
      </w:pPr>
      <w:r w:rsidRPr="00F31AD2">
        <w:rPr>
          <w:rFonts w:ascii="Verdana" w:hAnsi="Verdana"/>
        </w:rPr>
        <w:t xml:space="preserve">Supply Chains, Placemaking &amp; Funding Channels Action Plan- </w:t>
      </w:r>
      <w:r w:rsidRPr="00B427BE">
        <w:rPr>
          <w:rFonts w:ascii="Verdana" w:hAnsi="Verdana"/>
        </w:rPr>
        <w:t>An immediate consolidated document that identifies and signposts key stakeholders towards existing support that has the ability to be tailored to individual conurbations (towns, villages, cities, etc) must and should be commenced so that each respective area can complement one another without the likes of coastal towns continuing to lose support such as retail expenditure to neighbouring cities and vice versa people emigrating from cities to smaller towns where they feel displaced through socio-economic fac</w:t>
      </w:r>
      <w:r w:rsidRPr="00B427BE">
        <w:rPr>
          <w:rFonts w:ascii="Verdana" w:hAnsi="Verdana"/>
        </w:rPr>
        <w:t xml:space="preserve">tors, etc. Whilst existing consultations, such as Parliamentary, Local Authority and personally created ones can be effective resources; this needs a streamlined unified focus to ensure maximal return on the contributions and output of society. I would encourage the model utilised for the 10-Year Census here to address and resolve the housing crisis in accordance with the actual needs and wishes of all part of the community. This could be enacted very soon this </w:t>
      </w:r>
      <w:r w:rsidRPr="00B427BE">
        <w:rPr>
          <w:rFonts w:ascii="Verdana" w:hAnsi="Verdana"/>
        </w:rPr>
        <w:t>year</w:t>
      </w:r>
      <w:r w:rsidRPr="00B427BE">
        <w:rPr>
          <w:rFonts w:ascii="Verdana" w:hAnsi="Verdana"/>
        </w:rPr>
        <w:t xml:space="preserve"> and I would be pleased to discuss how to </w:t>
      </w:r>
      <w:r w:rsidRPr="00B427BE">
        <w:rPr>
          <w:rFonts w:ascii="Verdana" w:hAnsi="Verdana"/>
        </w:rPr>
        <w:t>advance this if the invitation is so extended.</w:t>
      </w:r>
    </w:p>
    <w:p w:rsidR="002E1306" w:rsidRPr="0002235B" w:rsidP="00A62F84">
      <w:pPr>
        <w:pStyle w:val="ListParagraph"/>
        <w:spacing w:after="160" w:line="259" w:lineRule="auto"/>
        <w:ind w:left="357"/>
        <w:contextualSpacing w:val="0"/>
        <w:rPr>
          <w:rFonts w:ascii="Verdana" w:hAnsi="Verdana"/>
        </w:rPr>
      </w:pPr>
    </w:p>
    <w:p w:rsidR="008E5D10" w:rsidRPr="00F31AD2" w:rsidP="00A62F84">
      <w:pPr>
        <w:spacing w:after="160" w:line="259" w:lineRule="auto"/>
        <w:rPr>
          <w:rFonts w:ascii="Verdana" w:hAnsi="Verdana"/>
          <w:b/>
        </w:rPr>
      </w:pPr>
      <w:r w:rsidRPr="00F31AD2">
        <w:rPr>
          <w:rFonts w:ascii="Verdana" w:hAnsi="Verdana"/>
          <w:b/>
        </w:rPr>
        <w:t>How can the Government give assurance to suppliers, builders and developers that new towns are a viable source of business and a credible investment opportunity?</w:t>
      </w:r>
    </w:p>
    <w:p w:rsidR="0030797B" w:rsidRPr="0002235B" w:rsidP="00A62F84">
      <w:pPr>
        <w:pStyle w:val="ListParagraph"/>
        <w:numPr>
          <w:ilvl w:val="0"/>
          <w:numId w:val="12"/>
        </w:numPr>
        <w:spacing w:after="160" w:line="259" w:lineRule="auto"/>
        <w:ind w:left="357" w:hanging="357"/>
        <w:contextualSpacing w:val="0"/>
        <w:rPr>
          <w:rFonts w:ascii="Verdana" w:hAnsi="Verdana"/>
        </w:rPr>
      </w:pPr>
      <w:r w:rsidRPr="0002235B">
        <w:rPr>
          <w:rFonts w:ascii="Verdana" w:hAnsi="Verdana"/>
        </w:rPr>
        <w:t xml:space="preserve">Permitted use of Replica Raw Materials that have greater longevity- </w:t>
      </w:r>
      <w:r w:rsidRPr="0002235B">
        <w:rPr>
          <w:rFonts w:ascii="Verdana" w:hAnsi="Verdana"/>
        </w:rPr>
        <w:t xml:space="preserve">This may be one of the single most crucial components that will make new towns, particularly those that will be supported across the board of key stakeholders achievable. Whilst notwithstanding </w:t>
      </w:r>
      <w:r w:rsidRPr="0002235B">
        <w:rPr>
          <w:rFonts w:ascii="Verdana" w:hAnsi="Verdana"/>
        </w:rPr>
        <w:t>all of</w:t>
      </w:r>
      <w:r w:rsidRPr="0002235B">
        <w:rPr>
          <w:rFonts w:ascii="Verdana" w:hAnsi="Verdana"/>
        </w:rPr>
        <w:t xml:space="preserve"> the </w:t>
      </w:r>
      <w:r w:rsidRPr="0002235B">
        <w:rPr>
          <w:rFonts w:ascii="Verdana" w:hAnsi="Verdana"/>
        </w:rPr>
        <w:t>above mentioned</w:t>
      </w:r>
      <w:r w:rsidRPr="0002235B">
        <w:rPr>
          <w:rFonts w:ascii="Verdana" w:hAnsi="Verdana"/>
        </w:rPr>
        <w:t xml:space="preserve"> aspects, it is becoming ever more evident that rather than stringently expecting builders and investors to utilise centuries’ old materials and techniques subject and adhere rigidly to strict Conservation Principles this is </w:t>
      </w:r>
      <w:r w:rsidRPr="0002235B">
        <w:rPr>
          <w:rFonts w:ascii="Verdana" w:hAnsi="Verdana"/>
        </w:rPr>
        <w:t>actually counter-productive</w:t>
      </w:r>
      <w:r w:rsidRPr="0002235B">
        <w:rPr>
          <w:rFonts w:ascii="Verdana" w:hAnsi="Verdana"/>
        </w:rPr>
        <w:t>. Many people from my own grassroots fee</w:t>
      </w:r>
      <w:r w:rsidRPr="0002235B">
        <w:rPr>
          <w:rFonts w:ascii="Verdana" w:hAnsi="Verdana"/>
        </w:rPr>
        <w:t xml:space="preserve">dback have reported the grievances and costly delays in seeking approval to build or restore traditionally including when this involves retrofitting an historic building for modern day use. A prime example is period sash windows which are often prone to upkeep and replacement after a relatively short tenure, therefore I would advocate strongly that the Law </w:t>
      </w:r>
      <w:r w:rsidRPr="0002235B">
        <w:rPr>
          <w:rFonts w:ascii="Verdana" w:hAnsi="Verdana"/>
        </w:rPr>
        <w:t>is rightfully evolved</w:t>
      </w:r>
      <w:r w:rsidRPr="0002235B">
        <w:rPr>
          <w:rFonts w:ascii="Verdana" w:hAnsi="Verdana"/>
        </w:rPr>
        <w:t xml:space="preserve"> to integrate progress and living change as technology and materials naturally get better with the passage of time. </w:t>
      </w:r>
    </w:p>
    <w:p w:rsidR="0012313C" w:rsidRPr="00F31AD2" w:rsidP="00A62F84">
      <w:pPr>
        <w:pStyle w:val="ListParagraph"/>
        <w:numPr>
          <w:ilvl w:val="0"/>
          <w:numId w:val="12"/>
        </w:numPr>
        <w:spacing w:after="160" w:line="259" w:lineRule="auto"/>
        <w:ind w:left="357" w:hanging="357"/>
        <w:contextualSpacing w:val="0"/>
        <w:rPr>
          <w:rFonts w:ascii="Verdana" w:hAnsi="Verdana"/>
        </w:rPr>
      </w:pPr>
      <w:r w:rsidRPr="00D37C62">
        <w:rPr>
          <w:rFonts w:ascii="Verdana" w:hAnsi="Verdana"/>
        </w:rPr>
        <w:t>This will ease e</w:t>
      </w:r>
      <w:r w:rsidRPr="00D37C62">
        <w:rPr>
          <w:rFonts w:ascii="Verdana" w:hAnsi="Verdana"/>
        </w:rPr>
        <w:t xml:space="preserve">xisting strains on Supply Chains allowing greater frequency and utilisation of desired raw materials whilst simultaneously enabling people to take stable careers in the Advanced Building Trades Sector. Archive </w:t>
      </w:r>
      <w:r w:rsidRPr="00D37C62">
        <w:rPr>
          <w:rFonts w:ascii="Verdana" w:hAnsi="Verdana"/>
        </w:rPr>
        <w:t xml:space="preserve">retrieval can be a costly and time-consuming process </w:t>
      </w:r>
      <w:r w:rsidRPr="00D37C62">
        <w:rPr>
          <w:rFonts w:ascii="Verdana" w:hAnsi="Verdana"/>
        </w:rPr>
        <w:t>in itself subject</w:t>
      </w:r>
      <w:r w:rsidRPr="00D37C62">
        <w:rPr>
          <w:rFonts w:ascii="Verdana" w:hAnsi="Verdana"/>
        </w:rPr>
        <w:t xml:space="preserve"> to limited staff, opening hours and the level of accessibility to </w:t>
      </w:r>
      <w:r w:rsidRPr="00D37C62">
        <w:rPr>
          <w:rFonts w:ascii="Verdana" w:hAnsi="Verdana"/>
        </w:rPr>
        <w:t>particular documents</w:t>
      </w:r>
      <w:r w:rsidRPr="00D37C62">
        <w:rPr>
          <w:rFonts w:ascii="Verdana" w:hAnsi="Verdana"/>
        </w:rPr>
        <w:t xml:space="preserve"> and blueprints so the entire process must be simplified at the core. Replica Raw Materials will have an instant positive impact on the dual Supp</w:t>
      </w:r>
      <w:r w:rsidRPr="00D37C62">
        <w:rPr>
          <w:rFonts w:ascii="Verdana" w:hAnsi="Verdana"/>
        </w:rPr>
        <w:t>ly Chans elucidated upon already.</w:t>
      </w:r>
    </w:p>
    <w:p w:rsidR="002E1306" w:rsidRPr="0002235B" w:rsidP="00A62F84">
      <w:pPr>
        <w:pStyle w:val="ListParagraph"/>
        <w:spacing w:after="160" w:line="259" w:lineRule="auto"/>
        <w:ind w:left="357"/>
        <w:contextualSpacing w:val="0"/>
        <w:rPr>
          <w:rFonts w:ascii="Verdana" w:hAnsi="Verdana"/>
        </w:rPr>
      </w:pPr>
    </w:p>
    <w:p w:rsidR="008E5D10" w:rsidRPr="00F31AD2" w:rsidP="00A62F84">
      <w:pPr>
        <w:spacing w:after="160" w:line="259" w:lineRule="auto"/>
        <w:rPr>
          <w:rFonts w:ascii="Verdana" w:hAnsi="Verdana"/>
          <w:b/>
        </w:rPr>
      </w:pPr>
      <w:r w:rsidRPr="00F31AD2">
        <w:rPr>
          <w:rFonts w:ascii="Verdana" w:hAnsi="Verdana"/>
          <w:b/>
        </w:rPr>
        <w:t>How can we ensure that new towns and expanded settlements are delivered to a high-quality standard that go beyond minimum expectations for construction and demonstrates best practice for sustainability, aesthetics and place-making?</w:t>
      </w:r>
    </w:p>
    <w:p w:rsidR="003F19FE" w:rsidP="00A62F84">
      <w:pPr>
        <w:pStyle w:val="ListParagraph"/>
        <w:numPr>
          <w:ilvl w:val="0"/>
          <w:numId w:val="12"/>
        </w:numPr>
        <w:spacing w:after="160" w:line="259" w:lineRule="auto"/>
        <w:ind w:left="357" w:hanging="357"/>
        <w:contextualSpacing w:val="0"/>
        <w:rPr>
          <w:rFonts w:ascii="Verdana" w:hAnsi="Verdana"/>
        </w:rPr>
      </w:pPr>
      <w:r w:rsidRPr="00F31AD2">
        <w:rPr>
          <w:rFonts w:ascii="Verdana" w:hAnsi="Verdana"/>
        </w:rPr>
        <w:t xml:space="preserve">Traditional Architecture Design Codes- </w:t>
      </w:r>
      <w:r w:rsidRPr="00B427BE">
        <w:rPr>
          <w:rFonts w:ascii="Verdana" w:hAnsi="Verdana"/>
        </w:rPr>
        <w:t>These three points literally comprise the entirety of my own community campaigning and can be encapsulated through authentic Traditional Architecture Design Codes (TADCs). By closely consulting with specialist heritage architects that both restore and construct brand new traditional style construction this will provide a much stronger case that can be accepted and recognised by key stakeholders across the UK and Ireland. My own grassroots experiences with leading professionals in the Traditional Architectur</w:t>
      </w:r>
      <w:r w:rsidRPr="00B427BE">
        <w:rPr>
          <w:rFonts w:ascii="Verdana" w:hAnsi="Verdana"/>
        </w:rPr>
        <w:t xml:space="preserve">al field have highlighted the fact that each aspect is multifaceted and indeed iterative. TADCs combine the two Supply Chains providing the silver bullet answer to attaining best practice for sustainability, aesthetics and place-making on so many grounds for everyone. </w:t>
      </w:r>
    </w:p>
    <w:p w:rsidR="003F19FE" w:rsidRPr="007452D7" w:rsidP="00A62F84">
      <w:pPr>
        <w:pStyle w:val="ListParagraph"/>
        <w:numPr>
          <w:ilvl w:val="0"/>
          <w:numId w:val="12"/>
        </w:numPr>
        <w:spacing w:after="160" w:line="259" w:lineRule="auto"/>
        <w:ind w:left="357" w:hanging="357"/>
        <w:contextualSpacing w:val="0"/>
        <w:rPr>
          <w:rFonts w:ascii="Verdana" w:hAnsi="Verdana"/>
        </w:rPr>
      </w:pPr>
      <w:r w:rsidRPr="00B427BE">
        <w:rPr>
          <w:rFonts w:ascii="Verdana" w:hAnsi="Verdana"/>
        </w:rPr>
        <w:t>I shall address each of these three points individually. The first point provides one of the greatest means of combatting the Climate Emergency through their raw materials, such as timber frame wood and stone can be huge carbon absorbers, notw</w:t>
      </w:r>
      <w:r w:rsidRPr="00B427BE">
        <w:rPr>
          <w:rFonts w:ascii="Verdana" w:hAnsi="Verdana"/>
        </w:rPr>
        <w:t xml:space="preserve">ithstanding modern versions, such as structurally equivalent or superior forms of wood and stone that are more easily accessible. </w:t>
      </w:r>
    </w:p>
    <w:p w:rsidR="003F19FE" w:rsidP="00A62F84">
      <w:pPr>
        <w:pStyle w:val="ListParagraph"/>
        <w:numPr>
          <w:ilvl w:val="0"/>
          <w:numId w:val="12"/>
        </w:numPr>
        <w:spacing w:after="160" w:line="259" w:lineRule="auto"/>
        <w:ind w:left="357" w:hanging="357"/>
        <w:contextualSpacing w:val="0"/>
        <w:rPr>
          <w:rFonts w:ascii="Verdana" w:hAnsi="Verdana"/>
        </w:rPr>
      </w:pPr>
      <w:r w:rsidRPr="00B427BE">
        <w:rPr>
          <w:rFonts w:ascii="Verdana" w:hAnsi="Verdana"/>
        </w:rPr>
        <w:t xml:space="preserve">The second point speaks for itself serving as a joint prime USP in that it bridges the accolade of British culture and detailed design that is timelessly popular amongst all ages and backgrounds. </w:t>
      </w:r>
    </w:p>
    <w:p w:rsidR="008E5D10" w:rsidRPr="00F31AD2" w:rsidP="00A62F84">
      <w:pPr>
        <w:pStyle w:val="ListParagraph"/>
        <w:numPr>
          <w:ilvl w:val="0"/>
          <w:numId w:val="12"/>
        </w:numPr>
        <w:spacing w:after="160" w:line="259" w:lineRule="auto"/>
        <w:ind w:left="357" w:hanging="357"/>
        <w:contextualSpacing w:val="0"/>
        <w:rPr>
          <w:rFonts w:ascii="Verdana" w:hAnsi="Verdana"/>
        </w:rPr>
      </w:pPr>
      <w:r w:rsidRPr="00B427BE">
        <w:rPr>
          <w:rFonts w:ascii="Verdana" w:hAnsi="Verdana"/>
        </w:rPr>
        <w:t>Finally</w:t>
      </w:r>
      <w:r w:rsidRPr="00B427BE" w:rsidR="007452D7">
        <w:rPr>
          <w:rFonts w:ascii="Verdana" w:hAnsi="Verdana"/>
        </w:rPr>
        <w:t>,</w:t>
      </w:r>
      <w:r w:rsidRPr="00B427BE">
        <w:rPr>
          <w:rFonts w:ascii="Verdana" w:hAnsi="Verdana"/>
        </w:rPr>
        <w:t xml:space="preserve"> the third point provides the ability to shape and transform communities that will work for everyone especially trough targeted infrastructure requirements. </w:t>
      </w:r>
      <w:r w:rsidRPr="00B427BE">
        <w:rPr>
          <w:rFonts w:ascii="Verdana" w:hAnsi="Verdana"/>
        </w:rPr>
        <w:t>I myself</w:t>
      </w:r>
      <w:r w:rsidRPr="00B427BE">
        <w:rPr>
          <w:rFonts w:ascii="Verdana" w:hAnsi="Verdana"/>
        </w:rPr>
        <w:t xml:space="preserve"> have pursued </w:t>
      </w:r>
      <w:r w:rsidRPr="00B427BE">
        <w:rPr>
          <w:rFonts w:ascii="Verdana" w:hAnsi="Verdana"/>
        </w:rPr>
        <w:t xml:space="preserve">the core necessities and would be pleased to expand upon these if </w:t>
      </w:r>
      <w:r w:rsidRPr="00B427BE">
        <w:rPr>
          <w:rFonts w:ascii="Verdana" w:hAnsi="Verdana"/>
        </w:rPr>
        <w:t>so</w:t>
      </w:r>
      <w:r w:rsidRPr="00B427BE">
        <w:rPr>
          <w:rFonts w:ascii="Verdana" w:hAnsi="Verdana"/>
        </w:rPr>
        <w:t xml:space="preserve"> given the opportunity. For the meantime I would clarify that by having key landmark buildings and desirable traditional streetscapes this will not only ensure easier uptake by new occupants through their natural desirability, but also the required level of accommodation for those on waiting lists. This point is covered well by Mr. Nicholas Jutras- director of The Institute for Traditional Architecture clearly demonstrating the practical be</w:t>
      </w:r>
      <w:r w:rsidRPr="00B427BE">
        <w:rPr>
          <w:rFonts w:ascii="Verdana" w:hAnsi="Verdana"/>
        </w:rPr>
        <w:t>nefits of TADCs.</w:t>
      </w:r>
    </w:p>
    <w:p w:rsidR="0030393C" w:rsidRPr="00F31AD2" w:rsidP="00A62F84">
      <w:pPr>
        <w:spacing w:after="160" w:line="259" w:lineRule="auto"/>
        <w:rPr>
          <w:rFonts w:ascii="Verdana" w:hAnsi="Verdana"/>
        </w:rPr>
      </w:pPr>
    </w:p>
    <w:p w:rsidR="008E5D10" w:rsidRPr="00A62F84" w:rsidP="00A62F84">
      <w:pPr>
        <w:spacing w:after="160" w:line="259" w:lineRule="auto"/>
        <w:rPr>
          <w:rFonts w:ascii="Verdana" w:hAnsi="Verdana"/>
          <w:b/>
        </w:rPr>
      </w:pPr>
      <w:r w:rsidRPr="00A62F84">
        <w:rPr>
          <w:rFonts w:ascii="Verdana" w:hAnsi="Verdana"/>
          <w:b/>
        </w:rPr>
        <w:t>Which</w:t>
      </w:r>
      <w:r w:rsidRPr="00A62F84">
        <w:rPr>
          <w:rFonts w:ascii="Verdana" w:hAnsi="Verdana"/>
          <w:b/>
        </w:rPr>
        <w:t xml:space="preserve"> case studies of large-scale construction projects should the Committee and Government look at to learn from best and worst practice in construction and supply logistics?</w:t>
      </w:r>
    </w:p>
    <w:p w:rsidR="008E5D10" w:rsidRPr="00B427BE" w:rsidP="00A62F84">
      <w:pPr>
        <w:pStyle w:val="ListParagraph"/>
        <w:numPr>
          <w:ilvl w:val="0"/>
          <w:numId w:val="12"/>
        </w:numPr>
        <w:spacing w:after="160" w:line="259" w:lineRule="auto"/>
        <w:ind w:left="357" w:hanging="357"/>
        <w:contextualSpacing w:val="0"/>
        <w:rPr>
          <w:rFonts w:ascii="Verdana" w:hAnsi="Verdana"/>
        </w:rPr>
      </w:pPr>
      <w:r w:rsidRPr="00B427BE">
        <w:rPr>
          <w:rFonts w:ascii="Verdana" w:hAnsi="Verdana"/>
        </w:rPr>
        <w:t>T</w:t>
      </w:r>
      <w:r w:rsidRPr="00B427BE">
        <w:rPr>
          <w:rFonts w:ascii="Verdana" w:hAnsi="Verdana"/>
        </w:rPr>
        <w:t>he best recent examples of construction projects are Poundbury, Dorset and Nansledan, Newquay. Whilst legislation must be adapted to ensure that far more enriching details may be integrated notwithstanding budget constraints, these two projects especially demonstrate well the importance of construction and supply logistics through their staged delivery which has attracted decorated professionals, including leading accredited heritage specialist architects, such as Quinlan Terry and Francis Terry &amp; Associat</w:t>
      </w:r>
      <w:r w:rsidRPr="00B427BE">
        <w:rPr>
          <w:rFonts w:ascii="Verdana" w:hAnsi="Verdana"/>
        </w:rPr>
        <w:t xml:space="preserve">es. These are not names to be trifled with as each of the cited Practices has and continues to provide </w:t>
      </w:r>
      <w:r w:rsidRPr="00B427BE">
        <w:rPr>
          <w:rFonts w:ascii="Verdana" w:hAnsi="Verdana"/>
        </w:rPr>
        <w:t>Ten Star</w:t>
      </w:r>
      <w:r w:rsidRPr="00B427BE">
        <w:rPr>
          <w:rFonts w:ascii="Verdana" w:hAnsi="Verdana"/>
        </w:rPr>
        <w:t xml:space="preserve"> Quality of success and practicality across the UK, Ireland and beyond. Only by harness true building professionals can such factors as quality construction, practical application </w:t>
      </w:r>
      <w:r w:rsidRPr="00B427BE">
        <w:rPr>
          <w:rFonts w:ascii="Verdana" w:hAnsi="Verdana"/>
        </w:rPr>
        <w:t>in reality and</w:t>
      </w:r>
      <w:r w:rsidRPr="00B427BE">
        <w:rPr>
          <w:rFonts w:ascii="Verdana" w:hAnsi="Verdana"/>
        </w:rPr>
        <w:t xml:space="preserve"> longevity be achieved. </w:t>
      </w:r>
    </w:p>
    <w:p w:rsidR="008E5D10" w:rsidRPr="00B427BE" w:rsidP="00A62F84">
      <w:pPr>
        <w:pStyle w:val="ListParagraph"/>
        <w:numPr>
          <w:ilvl w:val="0"/>
          <w:numId w:val="12"/>
        </w:numPr>
        <w:spacing w:after="160" w:line="259" w:lineRule="auto"/>
        <w:ind w:left="357" w:hanging="357"/>
        <w:contextualSpacing w:val="0"/>
        <w:rPr>
          <w:rFonts w:ascii="Verdana" w:hAnsi="Verdana"/>
        </w:rPr>
      </w:pPr>
      <w:r w:rsidRPr="00B427BE">
        <w:rPr>
          <w:rFonts w:ascii="Verdana" w:hAnsi="Verdana"/>
        </w:rPr>
        <w:t xml:space="preserve">The worst recent examples of construction projects include Newhall, Harlow whereupon a contemporary housing estate has been established with seemingly traditional cottage silhouettes and shapes, but which lacks genuine historical character through blatant </w:t>
      </w:r>
      <w:r w:rsidRPr="00B427BE">
        <w:rPr>
          <w:rFonts w:ascii="Verdana" w:hAnsi="Verdana"/>
        </w:rPr>
        <w:t>poor quality</w:t>
      </w:r>
      <w:r w:rsidRPr="00B427BE">
        <w:rPr>
          <w:rFonts w:ascii="Verdana" w:hAnsi="Verdana"/>
        </w:rPr>
        <w:t xml:space="preserve"> materials that don’t authentically replicate the historic streetscape at all. The detailing has integrated uPVC, and faux finishing, masking modern developer-grade boxes behind traditional roofs conjuring a juxtaposition of pastiche constructi</w:t>
      </w:r>
      <w:r w:rsidRPr="00B427BE">
        <w:rPr>
          <w:rFonts w:ascii="Verdana" w:hAnsi="Verdana"/>
        </w:rPr>
        <w:t>on that is neither traditional nor contemporary.</w:t>
      </w:r>
    </w:p>
    <w:p w:rsidR="00A62F84" w:rsidP="00A62F84">
      <w:pPr>
        <w:spacing w:after="160" w:line="259" w:lineRule="auto"/>
        <w:rPr>
          <w:rFonts w:ascii="Verdana" w:hAnsi="Verdana"/>
          <w:i/>
          <w:iCs/>
        </w:rPr>
      </w:pPr>
    </w:p>
    <w:p w:rsidR="008E5D10" w:rsidRPr="00F31AD2" w:rsidP="00A62F84">
      <w:pPr>
        <w:spacing w:after="160" w:line="259" w:lineRule="auto"/>
        <w:rPr>
          <w:rFonts w:ascii="Verdana" w:hAnsi="Verdana"/>
          <w:i/>
        </w:rPr>
      </w:pPr>
      <w:r w:rsidRPr="00F31AD2">
        <w:rPr>
          <w:rFonts w:ascii="Verdana" w:hAnsi="Verdana"/>
          <w:i/>
          <w:iCs/>
        </w:rPr>
        <w:t xml:space="preserve">10 July </w:t>
      </w:r>
      <w:r w:rsidR="00A62F84">
        <w:rPr>
          <w:rFonts w:ascii="Verdana" w:hAnsi="Verdana"/>
          <w:i/>
          <w:iCs/>
        </w:rPr>
        <w:t>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B02D43"/>
    <w:multiLevelType w:val="hybridMultilevel"/>
    <w:tmpl w:val="3EDCC8D8"/>
    <w:lvl w:ilvl="0">
      <w:start w:val="1"/>
      <w:numFmt w:val="decimal"/>
      <w:suff w:val="nothing"/>
      <w:lvlText w:val="%1."/>
      <w:lvlJc w:val="left"/>
      <w:pPr>
        <w:ind w:left="644" w:hanging="360"/>
      </w:pPr>
      <w:rPr>
        <w:rFonts w:hint="default"/>
        <w:b w:val="0"/>
        <w:bCs/>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FC11ADE"/>
    <w:multiLevelType w:val="hybridMultilevel"/>
    <w:tmpl w:val="485A3474"/>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BCF0A94"/>
    <w:multiLevelType w:val="hybridMultilevel"/>
    <w:tmpl w:val="EC8C79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FB3596B"/>
    <w:multiLevelType w:val="hybridMultilevel"/>
    <w:tmpl w:val="7B74A32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27B0179"/>
    <w:multiLevelType w:val="hybridMultilevel"/>
    <w:tmpl w:val="1CE2507C"/>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90109B2"/>
    <w:multiLevelType w:val="hybridMultilevel"/>
    <w:tmpl w:val="017AFF6A"/>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DFB0767"/>
    <w:multiLevelType w:val="hybridMultilevel"/>
    <w:tmpl w:val="892252E8"/>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F335883"/>
    <w:multiLevelType w:val="hybridMultilevel"/>
    <w:tmpl w:val="8112F5CE"/>
    <w:lvl w:ilvl="0">
      <w:start w:val="1"/>
      <w:numFmt w:val="decimal"/>
      <w:lvlText w:val="%1."/>
      <w:lvlJc w:val="left"/>
      <w:pPr>
        <w:ind w:left="1440" w:hanging="360"/>
      </w:pPr>
      <w:rPr>
        <w:rFonts w:hint="default"/>
        <w:b w:val="0"/>
        <w:bCs/>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500D3E95"/>
    <w:multiLevelType w:val="hybridMultilevel"/>
    <w:tmpl w:val="2B56F15C"/>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1973B77"/>
    <w:multiLevelType w:val="hybridMultilevel"/>
    <w:tmpl w:val="F68CE4D0"/>
    <w:lvl w:ilvl="0">
      <w:start w:val="1"/>
      <w:numFmt w:val="decimal"/>
      <w:lvlText w:val="%1."/>
      <w:lvlJc w:val="left"/>
      <w:pPr>
        <w:ind w:left="1440" w:hanging="360"/>
      </w:pPr>
      <w:rPr>
        <w:rFonts w:hint="default"/>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A806E73"/>
    <w:multiLevelType w:val="hybridMultilevel"/>
    <w:tmpl w:val="C02047F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6DFE7EFD"/>
    <w:multiLevelType w:val="hybridMultilevel"/>
    <w:tmpl w:val="076E682E"/>
    <w:lvl w:ilvl="0">
      <w:start w:val="1"/>
      <w:numFmt w:val="decimal"/>
      <w:suff w:val="nothing"/>
      <w:lvlText w:val="%1."/>
      <w:lvlJc w:val="left"/>
      <w:pPr>
        <w:ind w:left="1440" w:hanging="360"/>
      </w:pPr>
      <w:rPr>
        <w:rFonts w:hint="default"/>
        <w:b w:val="0"/>
        <w:bCs/>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23F2153"/>
    <w:multiLevelType w:val="multilevel"/>
    <w:tmpl w:val="6358B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num>
  <w:num w:numId="3">
    <w:abstractNumId w:val="8"/>
  </w:num>
  <w:num w:numId="4">
    <w:abstractNumId w:val="6"/>
  </w:num>
  <w:num w:numId="5">
    <w:abstractNumId w:val="4"/>
  </w:num>
  <w:num w:numId="6">
    <w:abstractNumId w:val="1"/>
  </w:num>
  <w:num w:numId="7">
    <w:abstractNumId w:val="2"/>
  </w:num>
  <w:num w:numId="8">
    <w:abstractNumId w:val="12"/>
  </w:num>
  <w:num w:numId="9">
    <w:abstractNumId w:val="10"/>
  </w:num>
  <w:num w:numId="10">
    <w:abstractNumId w:val="7"/>
  </w:num>
  <w:num w:numId="11">
    <w:abstractNumId w:val="9"/>
  </w:num>
  <w:num w:numId="12">
    <w:abstractNumId w:val="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4027"/>
    <w:pPr>
      <w:ind w:left="720"/>
      <w:contextualSpacing/>
    </w:pPr>
  </w:style>
  <w:style w:type="character" w:styleId="CommentReference">
    <w:name w:val="annotation reference"/>
    <w:basedOn w:val="DefaultParagraphFont"/>
    <w:uiPriority w:val="99"/>
    <w:semiHidden/>
    <w:unhideWhenUsed/>
    <w:rsid w:val="00F634D7"/>
    <w:rPr>
      <w:sz w:val="16"/>
      <w:szCs w:val="16"/>
    </w:rPr>
  </w:style>
  <w:style w:type="paragraph" w:styleId="CommentText">
    <w:name w:val="annotation text"/>
    <w:basedOn w:val="Normal"/>
    <w:link w:val="CommentTextChar"/>
    <w:uiPriority w:val="99"/>
    <w:unhideWhenUsed/>
    <w:rsid w:val="00F634D7"/>
    <w:pPr>
      <w:spacing w:line="240" w:lineRule="auto"/>
    </w:pPr>
    <w:rPr>
      <w:sz w:val="20"/>
      <w:szCs w:val="20"/>
    </w:rPr>
  </w:style>
  <w:style w:type="character" w:customStyle="1" w:styleId="CommentTextChar">
    <w:name w:val="Comment Text Char"/>
    <w:basedOn w:val="DefaultParagraphFont"/>
    <w:link w:val="CommentText"/>
    <w:uiPriority w:val="99"/>
    <w:rsid w:val="00F634D7"/>
    <w:rPr>
      <w:sz w:val="20"/>
      <w:szCs w:val="20"/>
    </w:rPr>
  </w:style>
  <w:style w:type="paragraph" w:styleId="CommentSubject">
    <w:name w:val="annotation subject"/>
    <w:basedOn w:val="CommentText"/>
    <w:next w:val="CommentText"/>
    <w:link w:val="CommentSubjectChar"/>
    <w:uiPriority w:val="99"/>
    <w:semiHidden/>
    <w:unhideWhenUsed/>
    <w:rsid w:val="00F634D7"/>
    <w:rPr>
      <w:b/>
      <w:bCs/>
    </w:rPr>
  </w:style>
  <w:style w:type="character" w:customStyle="1" w:styleId="CommentSubjectChar">
    <w:name w:val="Comment Subject Char"/>
    <w:basedOn w:val="CommentTextChar"/>
    <w:link w:val="CommentSubject"/>
    <w:uiPriority w:val="99"/>
    <w:semiHidden/>
    <w:rsid w:val="00F634D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_dlc_DocId xmlns="70d2f4a9-7027-4c8b-acc6-1861eab93b19">JRFZP62N7HVT-2044078101-1568</_dlc_DocId>
    <TransfertoArchives xmlns="4600776d-0a3c-44b4-bff2-0ceaafb13046">false</TransfertoArchives>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Written Evidence - Unpublished</TermName>
          <TermId xmlns="http://schemas.microsoft.com/office/infopath/2007/PartnerControls">0be253cd-a155-4ec9-872a-26fd359e68f0</TermId>
        </TermInfo>
      </Terms>
    </c10fc15a1e374d7faacfa4b870e47730>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New Towns: Bricks and Mortar</TermName>
          <TermId xmlns="http://schemas.microsoft.com/office/infopath/2007/PartnerControls">f8c7e7a8-34b4-42c2-8a32-8ac970a121ac</TermId>
        </TermInfo>
      </Terms>
    </edc898bf3bb343549b83ac391d519ef2>
    <RetentionTriggerDate xmlns="4600776d-0a3c-44b4-bff2-0ceaafb13046"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2026-27</TermName>
          <TermId xmlns="http://schemas.microsoft.com/office/infopath/2007/PartnerControls">fa5079ca-fd3f-4f9f-9e9e-7726fbbe0838</TermId>
        </TermInfo>
      </Terms>
    </e6f926d7f5b14a74bee86c3452d9137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70d2f4a9-7027-4c8b-acc6-1861eab93b19">
      <Url>https://hopuk.sharepoint.com/sites/hlc-builtenviro/_layouts/15/DocIdRedir.aspx?ID=JRFZP62N7HVT-2044078101-1568</Url>
      <Description>JRFZP62N7HVT-2044078101-1568</Description>
    </_dlc_DocIdUrl>
    <RecordNumber xmlns="4600776d-0a3c-44b4-bff2-0ceaafb13046" xsi:nil="true"/>
    <Document_x0020_Status1 xmlns="70d2f4a9-7027-4c8b-acc6-1861eab93b19">Draft</Document_x0020_Status1>
    <g3ef09377e3444258679b6035a1ff93a xmlns="4600776d-0a3c-44b4-bff2-0ceaafb13046">
      <Terms xmlns="http://schemas.microsoft.com/office/infopath/2007/PartnerControls"/>
    </g3ef09377e3444258679b6035a1ff93a>
    <TaxCatchAll xmlns="4600776d-0a3c-44b4-bff2-0ceaafb13046">
      <Value>5</Value>
      <Value>104</Value>
      <Value>73</Value>
      <Value>105</Value>
      <Value>2</Value>
      <Value>54</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Restricted: For Committee use only</TermName>
          <TermId xmlns="http://schemas.microsoft.com/office/infopath/2007/PartnerControls">48231b65-b073-4b70-bea2-7eed96ffc402</TermId>
        </TermInfo>
      </Terms>
    </k5b153ee974a4a57a7568e533217f2cb>
    <Meeting_x0020_Date xmlns="70d2f4a9-7027-4c8b-acc6-1861eab93b19">2026-07-20T23:00:00+00:00</Meeting_x0020_D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A1AEC37402C6145BB418B99DC879C2F" ma:contentTypeVersion="142" ma:contentTypeDescription="Create a new document." ma:contentTypeScope="" ma:versionID="bede8a6e59b9cf804aae913f3ec8a661">
  <xsd:schema xmlns:xsd="http://www.w3.org/2001/XMLSchema" xmlns:xs="http://www.w3.org/2001/XMLSchema" xmlns:p="http://schemas.microsoft.com/office/2006/metadata/properties" xmlns:ns2="70d2f4a9-7027-4c8b-acc6-1861eab93b19" xmlns:ns3="4600776d-0a3c-44b4-bff2-0ceaafb13046" xmlns:ns4="899733ae-5711-47d1-bf6b-1aad0d576b8f" targetNamespace="http://schemas.microsoft.com/office/2006/metadata/properties" ma:root="true" ma:fieldsID="ca367f0a5b7fc8a502817a0af1300ca0" ns2:_="" ns3:_="" ns4:_="">
    <xsd:import namespace="70d2f4a9-7027-4c8b-acc6-1861eab93b19"/>
    <xsd:import namespace="4600776d-0a3c-44b4-bff2-0ceaafb13046"/>
    <xsd:import namespace="899733ae-5711-47d1-bf6b-1aad0d576b8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45;#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default="44;#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4649852-c0eb-4bee-a0a4-8da5cea12975}"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s" ma:default="104;#2026-27|fa5079ca-fd3f-4f9f-9e9e-7726fbbe0838"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2;#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9733ae-5711-47d1-bf6b-1aad0d576b8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4E3E3736-4374-4CF2-8C14-11F925CF1B3D}">
  <ds:schemaRefs>
    <ds:schemaRef ds:uri="http://schemas.microsoft.com/office/2006/metadata/properties"/>
    <ds:schemaRef ds:uri="http://schemas.microsoft.com/office/infopath/2007/PartnerControls"/>
    <ds:schemaRef ds:uri="4600776d-0a3c-44b4-bff2-0ceaafb13046"/>
    <ds:schemaRef ds:uri="70d2f4a9-7027-4c8b-acc6-1861eab93b19"/>
  </ds:schemaRefs>
</ds:datastoreItem>
</file>

<file path=customXml/itemProps2.xml><?xml version="1.0" encoding="utf-8"?>
<ds:datastoreItem xmlns:ds="http://schemas.openxmlformats.org/officeDocument/2006/customXml" ds:itemID="{AE5214FA-DF2F-402C-A1BF-4B99FE2948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4600776d-0a3c-44b4-bff2-0ceaafb13046"/>
    <ds:schemaRef ds:uri="899733ae-5711-47d1-bf6b-1aad0d576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75B380-BEFD-4E6E-AFE6-F472296D2377}">
  <ds:schemaRefs>
    <ds:schemaRef ds:uri="http://schemas.microsoft.com/sharepoint/events"/>
  </ds:schemaRefs>
</ds:datastoreItem>
</file>

<file path=customXml/itemProps4.xml><?xml version="1.0" encoding="utf-8"?>
<ds:datastoreItem xmlns:ds="http://schemas.openxmlformats.org/officeDocument/2006/customXml" ds:itemID="{1B5A7501-CBEB-4EFA-9231-8C5506AE8EEF}">
  <ds:schemaRefs>
    <ds:schemaRef ds:uri="http://schemas.microsoft.com/sharepoint/v3/contenttype/forms"/>
  </ds:schemaRefs>
</ds:datastoreItem>
</file>

<file path=docMetadata/LabelInfo.xml><?xml version="1.0" encoding="utf-8"?>
<clbl:labelList xmlns:clbl="http://schemas.microsoft.com/office/2020/mipLabelMetadata">
  <clbl:label id="{ff82c930-76ad-4e10-8f68-9399c956079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NTB0010</dc:title>
  <cp:revision>0</cp:revision>
</cp:coreProperties>
</file>