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0D21" w:rsidRPr="00705FA8">
      <w:pPr>
        <w:pStyle w:val="Title"/>
        <w:rPr>
          <w:rFonts w:asciiTheme="minorBidi" w:hAnsiTheme="minorBidi" w:cstheme="minorBidi"/>
        </w:rPr>
      </w:pPr>
      <w:r w:rsidRPr="00705FA8">
        <w:rPr>
          <w:rFonts w:asciiTheme="minorBidi" w:hAnsiTheme="minorBidi" w:cstheme="minorBidi"/>
        </w:rPr>
        <w:t>Written evidence submitted by Melanie Smith</w:t>
      </w:r>
    </w:p>
    <w:p w:rsidR="008C0D21" w:rsidRPr="00705FA8">
      <w:pPr>
        <w:pStyle w:val="Heading1"/>
        <w:rPr>
          <w:rFonts w:asciiTheme="minorBidi" w:hAnsiTheme="minorBidi" w:cstheme="minorBidi"/>
        </w:rPr>
      </w:pPr>
      <w:r w:rsidRPr="00705FA8">
        <w:rPr>
          <w:rFonts w:asciiTheme="minorBidi" w:hAnsiTheme="minorBidi" w:cstheme="minorBidi"/>
        </w:rPr>
        <w:t>Inquiry</w:t>
      </w:r>
    </w:p>
    <w:p w:rsidR="008C0D21" w:rsidRPr="00705FA8">
      <w:pPr>
        <w:rPr>
          <w:rFonts w:asciiTheme="minorBidi" w:hAnsiTheme="minorBidi"/>
        </w:rPr>
      </w:pPr>
      <w:r w:rsidRPr="00705FA8">
        <w:rPr>
          <w:rFonts w:asciiTheme="minorBidi" w:hAnsiTheme="minorBidi"/>
        </w:rPr>
        <w:t xml:space="preserve">Education Committee inquiry </w:t>
      </w:r>
      <w:r w:rsidRPr="00705FA8">
        <w:rPr>
          <w:rFonts w:asciiTheme="minorBidi" w:hAnsiTheme="minorBidi"/>
        </w:rPr>
        <w:t>on</w:t>
      </w:r>
      <w:r w:rsidRPr="00705FA8">
        <w:rPr>
          <w:rFonts w:asciiTheme="minorBidi" w:hAnsiTheme="minorBidi"/>
        </w:rPr>
        <w:t xml:space="preserve"> *Every Child Achieving and Thriving* White Paper.</w:t>
      </w:r>
    </w:p>
    <w:p w:rsidR="008C0D21" w:rsidRPr="00705FA8">
      <w:pPr>
        <w:pStyle w:val="Heading1"/>
        <w:rPr>
          <w:rFonts w:asciiTheme="minorBidi" w:hAnsiTheme="minorBidi" w:cstheme="minorBidi"/>
        </w:rPr>
      </w:pPr>
      <w:r w:rsidRPr="00705FA8">
        <w:rPr>
          <w:rFonts w:asciiTheme="minorBidi" w:hAnsiTheme="minorBidi" w:cstheme="minorBidi"/>
        </w:rPr>
        <w:t>Terms of reference addressed</w:t>
      </w:r>
    </w:p>
    <w:p w:rsidR="008C0D21" w:rsidRPr="00705FA8">
      <w:pPr>
        <w:rPr>
          <w:rFonts w:asciiTheme="minorBidi" w:hAnsiTheme="minorBidi"/>
        </w:rPr>
      </w:pPr>
      <w:r w:rsidRPr="00705FA8">
        <w:rPr>
          <w:rFonts w:asciiTheme="minorBidi" w:hAnsiTheme="minorBidi"/>
        </w:rPr>
        <w:t xml:space="preserve">This submission addresses the complaints-system element within </w:t>
      </w:r>
      <w:r w:rsidRPr="00705FA8">
        <w:rPr>
          <w:rFonts w:asciiTheme="minorBidi" w:hAnsiTheme="minorBidi"/>
          <w:b/>
        </w:rPr>
        <w:t>Enrichment, belonging and behaviour</w:t>
      </w:r>
      <w:r w:rsidRPr="00705FA8">
        <w:rPr>
          <w:rFonts w:asciiTheme="minorBidi" w:hAnsiTheme="minorBidi"/>
        </w:rPr>
        <w:t>, specifically the proposed reforms to the complaints system, including a digital complaints-handling system, support for schools to monitor complaints, and improved information for parents and families.</w:t>
      </w:r>
    </w:p>
    <w:p w:rsidR="008C0D21" w:rsidRPr="00705FA8">
      <w:pPr>
        <w:pStyle w:val="Heading1"/>
        <w:rPr>
          <w:rFonts w:asciiTheme="minorBidi" w:hAnsiTheme="minorBidi" w:cstheme="minorBidi"/>
        </w:rPr>
      </w:pPr>
      <w:r w:rsidRPr="00705FA8">
        <w:rPr>
          <w:rFonts w:asciiTheme="minorBidi" w:hAnsiTheme="minorBidi" w:cstheme="minorBidi"/>
        </w:rPr>
        <w:t>Executive summary</w:t>
      </w:r>
    </w:p>
    <w:p w:rsidR="008C0D21" w:rsidRPr="00705FA8">
      <w:pPr>
        <w:pStyle w:val="ListBullet"/>
        <w:rPr>
          <w:rFonts w:asciiTheme="minorBidi" w:hAnsiTheme="minorBidi"/>
        </w:rPr>
      </w:pPr>
      <w:r w:rsidRPr="00705FA8">
        <w:rPr>
          <w:rFonts w:asciiTheme="minorBidi" w:hAnsiTheme="minorBidi"/>
        </w:rPr>
        <w:t>Current school and trust complaints processes are too opaque to provide meaningful accountability, especially where complaints concern attendance, inclusion, safeguarding, and failures to secure suitable education.</w:t>
      </w:r>
    </w:p>
    <w:p w:rsidR="008C0D21" w:rsidRPr="00705FA8">
      <w:pPr>
        <w:pStyle w:val="ListBullet"/>
        <w:rPr>
          <w:rFonts w:asciiTheme="minorBidi" w:hAnsiTheme="minorBidi"/>
        </w:rPr>
      </w:pPr>
      <w:r w:rsidRPr="00705FA8">
        <w:rPr>
          <w:rFonts w:asciiTheme="minorBidi" w:hAnsiTheme="minorBidi"/>
        </w:rPr>
        <w:t>A digital complaints system will not improve accountability unless it requires standardised recording, publication of aggregate outcomes, and visibility of escalation patterns.</w:t>
      </w:r>
    </w:p>
    <w:p w:rsidR="008C0D21" w:rsidRPr="00705FA8">
      <w:pPr>
        <w:pStyle w:val="ListBullet"/>
        <w:rPr>
          <w:rFonts w:asciiTheme="minorBidi" w:hAnsiTheme="minorBidi"/>
        </w:rPr>
      </w:pPr>
      <w:r w:rsidRPr="00705FA8">
        <w:rPr>
          <w:rFonts w:asciiTheme="minorBidi" w:hAnsiTheme="minorBidi"/>
        </w:rPr>
        <w:t>At the panel stage (Stage 3), there is a severe lack of "equity of arms." Trusts control the governance of the evidence bundle, frequently withhold relevant documents, and often fail to provide formal minutes, creating an inherently unfair process.</w:t>
      </w:r>
    </w:p>
    <w:p w:rsidR="008C0D21" w:rsidRPr="00705FA8">
      <w:pPr>
        <w:pStyle w:val="ListBullet"/>
        <w:rPr>
          <w:rFonts w:asciiTheme="minorBidi" w:hAnsiTheme="minorBidi"/>
        </w:rPr>
      </w:pPr>
      <w:r w:rsidRPr="00705FA8">
        <w:rPr>
          <w:rFonts w:asciiTheme="minorBidi" w:hAnsiTheme="minorBidi"/>
        </w:rPr>
        <w:t>Parliament should ensure that complaints reform is designed not merely as an administrative portal, but as a transparency and oversight mechanism capable of identifying systemic failure and holding public servants to the Nolan Principles.</w:t>
      </w:r>
    </w:p>
    <w:p w:rsidR="008C0D21" w:rsidRPr="00705FA8">
      <w:pPr>
        <w:pStyle w:val="Heading1"/>
        <w:rPr>
          <w:rFonts w:asciiTheme="minorBidi" w:hAnsiTheme="minorBidi" w:cstheme="minorBidi"/>
        </w:rPr>
      </w:pPr>
      <w:r w:rsidRPr="00705FA8">
        <w:rPr>
          <w:rFonts w:asciiTheme="minorBidi" w:hAnsiTheme="minorBidi" w:cstheme="minorBidi"/>
        </w:rPr>
        <w:t>Introduction</w:t>
      </w:r>
    </w:p>
    <w:p w:rsidR="008C0D21" w:rsidRPr="00705FA8">
      <w:pPr>
        <w:rPr>
          <w:rFonts w:asciiTheme="minorBidi" w:hAnsiTheme="minorBidi"/>
        </w:rPr>
      </w:pPr>
      <w:r w:rsidRPr="00705FA8">
        <w:rPr>
          <w:rFonts w:asciiTheme="minorBidi" w:hAnsiTheme="minorBidi"/>
        </w:rPr>
        <w:t xml:space="preserve">This submission is made by a parent of a disabled child in England with direct experience of school, multi-academy trust (MAT), and local authority complaints processes. It is submitted to assist the Committee's scrutiny of the White Paper's proposals on complaints reform. </w:t>
      </w:r>
    </w:p>
    <w:p w:rsidR="008C0D21" w:rsidRPr="00705FA8">
      <w:pPr>
        <w:rPr>
          <w:rFonts w:asciiTheme="minorBidi" w:hAnsiTheme="minorBidi"/>
        </w:rPr>
      </w:pPr>
      <w:r w:rsidRPr="00705FA8">
        <w:rPr>
          <w:rFonts w:asciiTheme="minorBidi" w:hAnsiTheme="minorBidi"/>
        </w:rPr>
        <w:t xml:space="preserve">The central concern raised in this evidence is that current complaints arrangements are structurally incapable of revealing patterns of failure, and heavily </w:t>
      </w:r>
      <w:r w:rsidRPr="00705FA8">
        <w:rPr>
          <w:rFonts w:asciiTheme="minorBidi" w:hAnsiTheme="minorBidi"/>
        </w:rPr>
        <w:t>weighted</w:t>
      </w:r>
      <w:r w:rsidRPr="00705FA8">
        <w:rPr>
          <w:rFonts w:asciiTheme="minorBidi" w:hAnsiTheme="minorBidi"/>
        </w:rPr>
        <w:t xml:space="preserve"> in favour of the institution over the family.</w:t>
      </w:r>
    </w:p>
    <w:p w:rsidR="008C0D21" w:rsidRPr="00705FA8">
      <w:pPr>
        <w:pStyle w:val="Heading1"/>
        <w:rPr>
          <w:rFonts w:asciiTheme="minorBidi" w:hAnsiTheme="minorBidi" w:cstheme="minorBidi"/>
        </w:rPr>
      </w:pPr>
      <w:r w:rsidRPr="00705FA8">
        <w:rPr>
          <w:rFonts w:asciiTheme="minorBidi" w:hAnsiTheme="minorBidi" w:cstheme="minorBidi"/>
        </w:rPr>
        <w:t>Why current arrangements are inadequate: Procedural unfairness and 'Equity of Arms'</w:t>
      </w:r>
    </w:p>
    <w:p w:rsidR="008C0D21" w:rsidRPr="0081271F" w:rsidP="0081271F">
      <w:pPr>
        <w:pStyle w:val="ListParagraph"/>
        <w:numPr>
          <w:ilvl w:val="0"/>
          <w:numId w:val="10"/>
        </w:numPr>
        <w:rPr>
          <w:rFonts w:asciiTheme="minorBidi" w:hAnsiTheme="minorBidi"/>
        </w:rPr>
      </w:pPr>
      <w:r w:rsidRPr="0081271F">
        <w:rPr>
          <w:rFonts w:asciiTheme="minorBidi" w:hAnsiTheme="minorBidi"/>
        </w:rPr>
        <w:t xml:space="preserve">The White Paper proposes a digital complaints-handling system and better information for families. While potentially valuable, these proposals risk focusing merely on process efficiency rather than addressing the profound imbalance of power—the lack of "equity of </w:t>
      </w:r>
      <w:r w:rsidRPr="0081271F">
        <w:rPr>
          <w:rFonts w:asciiTheme="minorBidi" w:hAnsiTheme="minorBidi"/>
        </w:rPr>
        <w:t>arms"—</w:t>
      </w:r>
      <w:r w:rsidRPr="0081271F">
        <w:rPr>
          <w:rFonts w:asciiTheme="minorBidi" w:hAnsiTheme="minorBidi"/>
        </w:rPr>
        <w:t>between parents and public institutions.</w:t>
      </w:r>
    </w:p>
    <w:p w:rsidR="008C0D21" w:rsidRPr="0081271F" w:rsidP="0081271F">
      <w:pPr>
        <w:pStyle w:val="ListParagraph"/>
        <w:numPr>
          <w:ilvl w:val="0"/>
          <w:numId w:val="10"/>
        </w:numPr>
        <w:rPr>
          <w:rFonts w:asciiTheme="minorBidi" w:hAnsiTheme="minorBidi"/>
        </w:rPr>
      </w:pPr>
      <w:r w:rsidRPr="0081271F">
        <w:rPr>
          <w:rFonts w:asciiTheme="minorBidi" w:hAnsiTheme="minorBidi"/>
        </w:rPr>
        <w:t xml:space="preserve">Currently, MATs act as both defendant and judge in their own complaints processes. This </w:t>
      </w:r>
      <w:r w:rsidRPr="0081271F">
        <w:rPr>
          <w:rFonts w:asciiTheme="minorBidi" w:hAnsiTheme="minorBidi"/>
        </w:rPr>
        <w:t>conflict of interest</w:t>
      </w:r>
      <w:r w:rsidRPr="0081271F">
        <w:rPr>
          <w:rFonts w:asciiTheme="minorBidi" w:hAnsiTheme="minorBidi"/>
        </w:rPr>
        <w:t xml:space="preserve"> peaks at the Stage 3 panel hearing. Because the trust completely controls the governance of the panel bundle, they decide what evidence the panel sees. This routinely results in the non-disclosure of critical documents or correspondence that contradict the trust's narrative. </w:t>
      </w:r>
    </w:p>
    <w:p w:rsidR="008C0D21" w:rsidRPr="0081271F" w:rsidP="0081271F">
      <w:pPr>
        <w:pStyle w:val="ListParagraph"/>
        <w:numPr>
          <w:ilvl w:val="0"/>
          <w:numId w:val="10"/>
        </w:numPr>
        <w:rPr>
          <w:rFonts w:asciiTheme="minorBidi" w:hAnsiTheme="minorBidi"/>
        </w:rPr>
      </w:pPr>
      <w:r w:rsidRPr="0081271F">
        <w:rPr>
          <w:rFonts w:asciiTheme="minorBidi" w:hAnsiTheme="minorBidi"/>
        </w:rPr>
        <w:t>Furthermore, there is no statutory requirement to provide full, independent minutes of these hearings. Parents are often left without an accurate record of what was discussed, what concessions were made, or how public servants justified their actions. This breaches basic expectations of transparency and accountability required of public servants, shielding them from the scrutiny expected under the Nolan Principles of Public Life.</w:t>
      </w:r>
    </w:p>
    <w:p w:rsidR="008C0D21" w:rsidRPr="00705FA8">
      <w:pPr>
        <w:pStyle w:val="Heading1"/>
        <w:rPr>
          <w:rFonts w:asciiTheme="minorBidi" w:hAnsiTheme="minorBidi" w:cstheme="minorBidi"/>
        </w:rPr>
      </w:pPr>
      <w:r w:rsidRPr="00705FA8">
        <w:rPr>
          <w:rFonts w:asciiTheme="minorBidi" w:hAnsiTheme="minorBidi" w:cstheme="minorBidi"/>
        </w:rPr>
        <w:t>Case study evidence</w:t>
      </w:r>
    </w:p>
    <w:p w:rsidR="008C0D21" w:rsidRPr="0081271F" w:rsidP="0081271F">
      <w:pPr>
        <w:pStyle w:val="ListParagraph"/>
        <w:numPr>
          <w:ilvl w:val="0"/>
          <w:numId w:val="10"/>
        </w:numPr>
        <w:rPr>
          <w:rFonts w:asciiTheme="minorBidi" w:hAnsiTheme="minorBidi"/>
        </w:rPr>
      </w:pPr>
      <w:r w:rsidRPr="0081271F">
        <w:rPr>
          <w:rFonts w:asciiTheme="minorBidi" w:hAnsiTheme="minorBidi"/>
        </w:rPr>
        <w:t xml:space="preserve">In the case underlying this submission, a detailed complaint was made concerning attendance coding, Section 19 duties, safeguarding, and SEND-related support during a prolonged period when a child was unable to attend school due to serious distress and trauma linked to the school experience. </w:t>
      </w:r>
    </w:p>
    <w:p w:rsidR="008C0D21" w:rsidRPr="0081271F" w:rsidP="0081271F">
      <w:pPr>
        <w:pStyle w:val="ListParagraph"/>
        <w:numPr>
          <w:ilvl w:val="0"/>
          <w:numId w:val="10"/>
        </w:numPr>
        <w:rPr>
          <w:rFonts w:asciiTheme="minorBidi" w:hAnsiTheme="minorBidi"/>
        </w:rPr>
      </w:pPr>
      <w:r w:rsidRPr="0081271F">
        <w:rPr>
          <w:rFonts w:asciiTheme="minorBidi" w:hAnsiTheme="minorBidi"/>
        </w:rPr>
        <w:t>During the complaints process, the structural imbalance was stark. The trust unilaterally controlled the evidence bundle, effectively burying contemporaneous medical evidence and failing to disclose key internal communications. At the panel hearing, the lack of formal minutes meant that verbal justifications by public servants could not be challenged or reviewed externally later. Ultimately, the formal response concluded that all elements of the complaint were not upheld, asserting that safeguarding systems</w:t>
      </w:r>
      <w:r w:rsidRPr="0081271F">
        <w:rPr>
          <w:rFonts w:asciiTheme="minorBidi" w:hAnsiTheme="minorBidi"/>
        </w:rPr>
        <w:t xml:space="preserve"> were robust despite the documented harm to my child.</w:t>
      </w:r>
    </w:p>
    <w:p w:rsidR="008C0D21" w:rsidRPr="0081271F" w:rsidP="0081271F">
      <w:pPr>
        <w:pStyle w:val="ListParagraph"/>
        <w:numPr>
          <w:ilvl w:val="0"/>
          <w:numId w:val="10"/>
        </w:numPr>
        <w:rPr>
          <w:rFonts w:asciiTheme="minorBidi" w:hAnsiTheme="minorBidi"/>
        </w:rPr>
      </w:pPr>
      <w:r w:rsidRPr="0081271F">
        <w:rPr>
          <w:rFonts w:asciiTheme="minorBidi" w:hAnsiTheme="minorBidi"/>
        </w:rPr>
        <w:t>Where a trust has a strong public reputation, high-performing schools, or senior leaders with standing in the sector, the risk of institutional deference is greater. The positive public narrative encourages the assumption that internal complaint findings are reliable, even when the underlying process lacks basic legal fairness, transparency, and equity of arms.</w:t>
      </w:r>
      <w:r w:rsidRPr="0081271F">
        <w:rPr>
          <w:rFonts w:asciiTheme="minorBidi" w:hAnsiTheme="minorBidi"/>
        </w:rPr>
        <w:t xml:space="preserve"> I</w:t>
      </w:r>
      <w:r w:rsidR="00D72311">
        <w:rPr>
          <w:rFonts w:asciiTheme="minorBidi" w:hAnsiTheme="minorBidi"/>
        </w:rPr>
        <w:t>n</w:t>
      </w:r>
      <w:r w:rsidRPr="0081271F">
        <w:rPr>
          <w:rFonts w:asciiTheme="minorBidi" w:hAnsiTheme="minorBidi"/>
        </w:rPr>
        <w:t xml:space="preserve"> </w:t>
      </w:r>
      <w:r w:rsidRPr="00D72311" w:rsidR="00D72311">
        <w:rPr>
          <w:rFonts w:asciiTheme="minorBidi" w:hAnsiTheme="minorBidi"/>
        </w:rPr>
        <w:t xml:space="preserve">my case, the MAT is associated with Department for Education school-improvement leadership work; yet the </w:t>
      </w:r>
      <w:r w:rsidRPr="00D72311" w:rsidR="00D72311">
        <w:rPr>
          <w:rFonts w:asciiTheme="minorBidi" w:hAnsiTheme="minorBidi"/>
        </w:rPr>
        <w:t>behaviours</w:t>
      </w:r>
      <w:r w:rsidRPr="00D72311" w:rsidR="00D72311">
        <w:rPr>
          <w:rFonts w:asciiTheme="minorBidi" w:hAnsiTheme="minorBidi"/>
        </w:rPr>
        <w:t xml:space="preserve"> displayed in its complaints handling—defensiveness, opacity and procedural unfairness—are not </w:t>
      </w:r>
      <w:r w:rsidRPr="00D72311" w:rsidR="00D72311">
        <w:rPr>
          <w:rFonts w:asciiTheme="minorBidi" w:hAnsiTheme="minorBidi"/>
        </w:rPr>
        <w:t>behaviours</w:t>
      </w:r>
      <w:r w:rsidRPr="00D72311" w:rsidR="00D72311">
        <w:rPr>
          <w:rFonts w:asciiTheme="minorBidi" w:hAnsiTheme="minorBidi"/>
        </w:rPr>
        <w:t xml:space="preserve"> that public policy should reproduce or reward.”</w:t>
      </w:r>
      <w:r w:rsidRPr="0081271F">
        <w:rPr>
          <w:rFonts w:asciiTheme="minorBidi" w:hAnsiTheme="minorBidi"/>
        </w:rPr>
        <w:t>, yet the behaviours displayed in its complaints handling- defensive, opacity and procedural unfairness – are not behaviours that public policy should reproduce or reward.</w:t>
      </w:r>
    </w:p>
    <w:p w:rsidR="008C0D21" w:rsidRPr="00705FA8">
      <w:pPr>
        <w:pStyle w:val="Heading1"/>
        <w:rPr>
          <w:rFonts w:asciiTheme="minorBidi" w:hAnsiTheme="minorBidi" w:cstheme="minorBidi"/>
        </w:rPr>
      </w:pPr>
      <w:r w:rsidRPr="00705FA8">
        <w:rPr>
          <w:rFonts w:asciiTheme="minorBidi" w:hAnsiTheme="minorBidi" w:cstheme="minorBidi"/>
        </w:rPr>
        <w:t>Why this matters for the White Paper</w:t>
      </w:r>
    </w:p>
    <w:p w:rsidR="008C0D21" w:rsidRPr="0081271F" w:rsidP="0081271F">
      <w:pPr>
        <w:pStyle w:val="ListParagraph"/>
        <w:numPr>
          <w:ilvl w:val="0"/>
          <w:numId w:val="10"/>
        </w:numPr>
        <w:rPr>
          <w:rFonts w:asciiTheme="minorBidi" w:hAnsiTheme="minorBidi"/>
        </w:rPr>
      </w:pPr>
      <w:r w:rsidRPr="0081271F">
        <w:rPr>
          <w:rFonts w:asciiTheme="minorBidi" w:hAnsiTheme="minorBidi"/>
        </w:rPr>
        <w:t xml:space="preserve">The Committee's inquiry includes school accountability, attendance, belonging, trust governance, and complaints reform. A trust-led system requires stronger trust-level </w:t>
      </w:r>
      <w:r w:rsidRPr="0081271F">
        <w:rPr>
          <w:rFonts w:asciiTheme="minorBidi" w:hAnsiTheme="minorBidi"/>
        </w:rPr>
        <w:t>accountability. If the Government expects all state-funded schools to join or form trusts, the digital complaints system must level the playing field between families and institutions.</w:t>
      </w:r>
    </w:p>
    <w:p w:rsidR="008C0D21" w:rsidRPr="0081271F" w:rsidP="0081271F">
      <w:pPr>
        <w:pStyle w:val="ListParagraph"/>
        <w:numPr>
          <w:ilvl w:val="0"/>
          <w:numId w:val="10"/>
        </w:numPr>
        <w:rPr>
          <w:rFonts w:asciiTheme="minorBidi" w:hAnsiTheme="minorBidi"/>
        </w:rPr>
      </w:pPr>
      <w:r w:rsidRPr="0081271F">
        <w:rPr>
          <w:rFonts w:asciiTheme="minorBidi" w:hAnsiTheme="minorBidi"/>
        </w:rPr>
        <w:t>Aspirations around attendance, belonging, and inclusion are entirely undermined if families attempting to raise systemic failures are met with non-disclosure, un-minuted hearings, and public servants who are empowered to suppress contradictory evidence.</w:t>
      </w:r>
    </w:p>
    <w:p w:rsidR="008C0D21" w:rsidRPr="00705FA8">
      <w:pPr>
        <w:pStyle w:val="Heading1"/>
        <w:rPr>
          <w:rFonts w:asciiTheme="minorBidi" w:hAnsiTheme="minorBidi" w:cstheme="minorBidi"/>
        </w:rPr>
      </w:pPr>
      <w:r w:rsidRPr="00705FA8">
        <w:rPr>
          <w:rFonts w:asciiTheme="minorBidi" w:hAnsiTheme="minorBidi" w:cstheme="minorBidi"/>
        </w:rPr>
        <w:t>Recommendations</w:t>
      </w:r>
    </w:p>
    <w:p w:rsidR="008C0D21" w:rsidRPr="0081271F" w:rsidP="0081271F">
      <w:pPr>
        <w:pStyle w:val="ListParagraph"/>
        <w:numPr>
          <w:ilvl w:val="0"/>
          <w:numId w:val="10"/>
        </w:numPr>
        <w:rPr>
          <w:rFonts w:asciiTheme="minorBidi" w:hAnsiTheme="minorBidi"/>
        </w:rPr>
      </w:pPr>
      <w:r w:rsidRPr="0081271F">
        <w:rPr>
          <w:rFonts w:asciiTheme="minorBidi" w:hAnsiTheme="minorBidi"/>
        </w:rPr>
        <w:t>The Committee should recommend that any digital complaints-handling reform includes the following features:</w:t>
      </w:r>
    </w:p>
    <w:p w:rsidR="008C0D21" w:rsidRPr="00705FA8">
      <w:pPr>
        <w:pStyle w:val="ListBullet"/>
        <w:rPr>
          <w:rFonts w:asciiTheme="minorBidi" w:hAnsiTheme="minorBidi"/>
        </w:rPr>
      </w:pPr>
      <w:r w:rsidRPr="00705FA8">
        <w:rPr>
          <w:rFonts w:asciiTheme="minorBidi" w:hAnsiTheme="minorBidi"/>
          <w:b/>
        </w:rPr>
        <w:t>Independent governance of evidence:</w:t>
      </w:r>
      <w:r w:rsidRPr="00705FA8">
        <w:rPr>
          <w:rFonts w:asciiTheme="minorBidi" w:hAnsiTheme="minorBidi"/>
        </w:rPr>
        <w:t xml:space="preserve"> The digital portal must remove the trust's unilateral control over the evidence bundle, ensuring all relevant documents submitted by parents are mandately included and disclosed to panels.</w:t>
      </w:r>
    </w:p>
    <w:p w:rsidR="008C0D21" w:rsidRPr="00705FA8">
      <w:pPr>
        <w:pStyle w:val="ListBullet"/>
        <w:rPr>
          <w:rFonts w:asciiTheme="minorBidi" w:hAnsiTheme="minorBidi"/>
        </w:rPr>
      </w:pPr>
      <w:r w:rsidRPr="00705FA8">
        <w:rPr>
          <w:rFonts w:asciiTheme="minorBidi" w:hAnsiTheme="minorBidi"/>
          <w:b/>
        </w:rPr>
        <w:t>Statutory minuting:</w:t>
      </w:r>
      <w:r w:rsidRPr="00705FA8">
        <w:rPr>
          <w:rFonts w:asciiTheme="minorBidi" w:hAnsiTheme="minorBidi"/>
        </w:rPr>
        <w:t xml:space="preserve"> A requirement for mandatory, independent, and shared minutes for all panel hearings, ending the practice of unrecorded decision-making by public servants.</w:t>
      </w:r>
    </w:p>
    <w:p w:rsidR="008C0D21" w:rsidRPr="00705FA8">
      <w:pPr>
        <w:pStyle w:val="ListBullet"/>
        <w:rPr>
          <w:rFonts w:asciiTheme="minorBidi" w:hAnsiTheme="minorBidi"/>
        </w:rPr>
      </w:pPr>
      <w:r w:rsidRPr="00705FA8">
        <w:rPr>
          <w:rFonts w:asciiTheme="minorBidi" w:hAnsiTheme="minorBidi"/>
          <w:b/>
        </w:rPr>
        <w:t>Mandatory standardised recording:</w:t>
      </w:r>
      <w:r w:rsidRPr="00705FA8">
        <w:rPr>
          <w:rFonts w:asciiTheme="minorBidi" w:hAnsiTheme="minorBidi"/>
        </w:rPr>
        <w:t xml:space="preserve"> Publication of annual aggregate data at school, trust, and national level, including volumes, categories (e.g., SEND, attendance, safeguarding), and uphold rates.</w:t>
      </w:r>
    </w:p>
    <w:p w:rsidR="008C0D21" w:rsidRPr="00705FA8">
      <w:pPr>
        <w:pStyle w:val="ListBullet"/>
        <w:rPr>
          <w:rFonts w:asciiTheme="minorBidi" w:hAnsiTheme="minorBidi"/>
        </w:rPr>
      </w:pPr>
      <w:r w:rsidRPr="00705FA8">
        <w:rPr>
          <w:rFonts w:asciiTheme="minorBidi" w:hAnsiTheme="minorBidi"/>
          <w:b/>
        </w:rPr>
        <w:t>Ensuring Equity of Arms:</w:t>
      </w:r>
      <w:r w:rsidRPr="00705FA8">
        <w:rPr>
          <w:rFonts w:asciiTheme="minorBidi" w:hAnsiTheme="minorBidi"/>
        </w:rPr>
        <w:t xml:space="preserve"> Parent-facing guidance and statutory rules that explicitly protect the rights of families to access information, presenting a balanced process rather than a reputational defence mechanism for the institution.</w:t>
      </w:r>
    </w:p>
    <w:p w:rsidR="008C0D21" w:rsidRPr="00705FA8">
      <w:pPr>
        <w:pStyle w:val="Heading1"/>
        <w:rPr>
          <w:rFonts w:asciiTheme="minorBidi" w:hAnsiTheme="minorBidi" w:cstheme="minorBidi"/>
        </w:rPr>
      </w:pPr>
      <w:r w:rsidRPr="00705FA8">
        <w:rPr>
          <w:rFonts w:asciiTheme="minorBidi" w:hAnsiTheme="minorBidi" w:cstheme="minorBidi"/>
        </w:rPr>
        <w:t>Specific points for the Committee</w:t>
      </w:r>
    </w:p>
    <w:p w:rsidR="008C0D21" w:rsidRPr="0081271F" w:rsidP="0081271F">
      <w:pPr>
        <w:pStyle w:val="ListParagraph"/>
        <w:numPr>
          <w:ilvl w:val="0"/>
          <w:numId w:val="10"/>
        </w:numPr>
        <w:rPr>
          <w:rFonts w:asciiTheme="minorBidi" w:hAnsiTheme="minorBidi"/>
        </w:rPr>
      </w:pPr>
      <w:r w:rsidRPr="0081271F">
        <w:rPr>
          <w:rFonts w:asciiTheme="minorBidi" w:hAnsiTheme="minorBidi"/>
        </w:rPr>
        <w:t>The Committee may wish to ask the Government:</w:t>
      </w:r>
    </w:p>
    <w:p w:rsidR="008C0D21" w:rsidRPr="0081271F" w:rsidP="0081271F">
      <w:pPr>
        <w:pStyle w:val="ListParagraph"/>
        <w:numPr>
          <w:ilvl w:val="0"/>
          <w:numId w:val="14"/>
        </w:numPr>
        <w:rPr>
          <w:rFonts w:asciiTheme="minorBidi" w:hAnsiTheme="minorBidi"/>
        </w:rPr>
      </w:pPr>
      <w:r w:rsidRPr="0081271F">
        <w:rPr>
          <w:rFonts w:asciiTheme="minorBidi" w:hAnsiTheme="minorBidi"/>
        </w:rPr>
        <w:t>How the new digital complaints system will ensure 'equity of arms' and prevent trusts from manipulating panel bundles through non-disclosure?</w:t>
      </w:r>
    </w:p>
    <w:p w:rsidR="008C0D21" w:rsidRPr="0081271F" w:rsidP="0081271F">
      <w:pPr>
        <w:pStyle w:val="ListParagraph"/>
        <w:numPr>
          <w:ilvl w:val="0"/>
          <w:numId w:val="14"/>
        </w:numPr>
        <w:rPr>
          <w:rFonts w:asciiTheme="minorBidi" w:hAnsiTheme="minorBidi"/>
        </w:rPr>
      </w:pPr>
      <w:r w:rsidRPr="0081271F">
        <w:rPr>
          <w:rFonts w:asciiTheme="minorBidi" w:hAnsiTheme="minorBidi"/>
        </w:rPr>
        <w:t>Will the Government introduce a statutory requirement for Stage 3 complaints panels to be fully minuted and for those minutes to be provided to parents?</w:t>
      </w:r>
    </w:p>
    <w:p w:rsidR="008C0D21" w:rsidRPr="0081271F" w:rsidP="0081271F">
      <w:pPr>
        <w:pStyle w:val="ListParagraph"/>
        <w:numPr>
          <w:ilvl w:val="0"/>
          <w:numId w:val="14"/>
        </w:numPr>
        <w:rPr>
          <w:rFonts w:asciiTheme="minorBidi" w:hAnsiTheme="minorBidi"/>
        </w:rPr>
      </w:pPr>
      <w:r w:rsidRPr="0081271F">
        <w:rPr>
          <w:rFonts w:asciiTheme="minorBidi" w:hAnsiTheme="minorBidi"/>
        </w:rPr>
        <w:t>What mechanisms will ensure that public servants involved in complaints handling adhere to the Nolan Principles of transparency and accountability?</w:t>
      </w:r>
    </w:p>
    <w:p w:rsidR="008C0D21" w:rsidRPr="0081271F" w:rsidP="0081271F">
      <w:pPr>
        <w:pStyle w:val="ListParagraph"/>
        <w:numPr>
          <w:ilvl w:val="0"/>
          <w:numId w:val="14"/>
        </w:numPr>
        <w:rPr>
          <w:rFonts w:asciiTheme="minorBidi" w:hAnsiTheme="minorBidi"/>
        </w:rPr>
      </w:pPr>
      <w:r w:rsidRPr="0081271F">
        <w:rPr>
          <w:rFonts w:asciiTheme="minorBidi" w:hAnsiTheme="minorBidi"/>
        </w:rPr>
        <w:t>Will schools and trusts be required to publish aggregated complaint outcomes in a standard format?</w:t>
      </w:r>
    </w:p>
    <w:p w:rsidR="008C0D21" w:rsidRPr="00705FA8">
      <w:pPr>
        <w:pStyle w:val="Heading1"/>
        <w:rPr>
          <w:rFonts w:asciiTheme="minorBidi" w:hAnsiTheme="minorBidi" w:cstheme="minorBidi"/>
        </w:rPr>
      </w:pPr>
      <w:r w:rsidRPr="00705FA8">
        <w:rPr>
          <w:rFonts w:asciiTheme="minorBidi" w:hAnsiTheme="minorBidi" w:cstheme="minorBidi"/>
        </w:rPr>
        <w:t>Conclusion</w:t>
      </w:r>
    </w:p>
    <w:p w:rsidR="008C0D21" w:rsidRPr="0081271F" w:rsidP="0081271F">
      <w:pPr>
        <w:pStyle w:val="ListParagraph"/>
        <w:numPr>
          <w:ilvl w:val="0"/>
          <w:numId w:val="17"/>
        </w:numPr>
        <w:rPr>
          <w:rFonts w:asciiTheme="minorBidi" w:hAnsiTheme="minorBidi"/>
        </w:rPr>
      </w:pPr>
      <w:r w:rsidRPr="0081271F">
        <w:rPr>
          <w:rFonts w:asciiTheme="minorBidi" w:hAnsiTheme="minorBidi"/>
        </w:rPr>
        <w:t xml:space="preserve">The proposed reform of complaints handling is critical for families currently trapped inside opaque internal systems. A digital process alone will not suffice; the key test is whether reform ends the structural unfairness of the current system. </w:t>
      </w:r>
    </w:p>
    <w:p w:rsidR="008C0D21" w:rsidRPr="00705FA8">
      <w:pPr>
        <w:rPr>
          <w:rFonts w:asciiTheme="minorBidi" w:hAnsiTheme="minorBidi"/>
        </w:rPr>
      </w:pPr>
      <w:r w:rsidRPr="00705FA8">
        <w:rPr>
          <w:rFonts w:asciiTheme="minorBidi" w:hAnsiTheme="minorBidi"/>
        </w:rPr>
        <w:t>Without addressing bundle governance, non-disclosure, and un-minuted hearings, the system will remain a mechanism for reputational defence. By ensuring equity of arms, the reform could become a meaningful tool for accountability and systemic improvement in the school system.</w:t>
      </w:r>
    </w:p>
    <w:sectPr w:rsidSect="00034616">
      <w:footerReference w:type="default" r:id="rI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D21">
    <w:pPr>
      <w:pStyle w:val="Footer"/>
    </w:pPr>
    <w:r>
      <w:fldChar w:fldCharType="begin"/>
    </w:r>
    <w:r>
      <w:instrText xml:space="preserve"> FILENAME \* MERGEFORMAT </w:instrText>
    </w:r>
    <w:r>
      <w:fldChar w:fldCharType="separate"/>
    </w:r>
    <w:r>
      <w:rPr>
        <w:noProof/>
      </w:rPr>
      <w:t>Education_Committee_Written_Evidence_v1MSMITH</w:t>
    </w:r>
    <w:r>
      <w:rPr>
        <w:noProof/>
      </w:rPr>
      <w:fldChar w:fldCharType="end"/>
    </w:r>
  </w:p>
  <w:p w:rsidR="008C0D21">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6F7072"/>
    <w:multiLevelType w:val="hybridMultilevel"/>
    <w:tmpl w:val="2B6E74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EDA4BE9"/>
    <w:multiLevelType w:val="hybridMultilevel"/>
    <w:tmpl w:val="53E6381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2D670FF2"/>
    <w:multiLevelType w:val="hybridMultilevel"/>
    <w:tmpl w:val="BEBCD7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72436DC"/>
    <w:multiLevelType w:val="hybridMultilevel"/>
    <w:tmpl w:val="881066D8"/>
    <w:lvl w:ilvl="0">
      <w:start w:val="1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9867AE0"/>
    <w:multiLevelType w:val="hybridMultilevel"/>
    <w:tmpl w:val="793EA3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E3703CB"/>
    <w:multiLevelType w:val="hybridMultilevel"/>
    <w:tmpl w:val="659446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09431BE"/>
    <w:multiLevelType w:val="hybridMultilevel"/>
    <w:tmpl w:val="DC5C56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D266183"/>
    <w:multiLevelType w:val="hybridMultilevel"/>
    <w:tmpl w:val="310A9F7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14"/>
  </w:num>
  <w:num w:numId="13">
    <w:abstractNumId w:val="13"/>
  </w:num>
  <w:num w:numId="14">
    <w:abstractNumId w:val="16"/>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ECA0015</dc:title>
  <cp:revision>0</cp:revision>
</cp:coreProperties>
</file>