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1E8A" w:rsidRPr="00C6385D" w:rsidP="00BD090D">
      <w:pPr>
        <w:rPr>
          <w:rFonts w:ascii="Verdana" w:hAnsi="Verdana"/>
          <w:b/>
          <w:bCs/>
          <w:sz w:val="28"/>
          <w:szCs w:val="28"/>
        </w:rPr>
      </w:pPr>
      <w:r w:rsidRPr="00C6385D">
        <w:rPr>
          <w:rFonts w:ascii="Verdana" w:hAnsi="Verdana"/>
          <w:b/>
          <w:bCs/>
          <w:sz w:val="28"/>
          <w:szCs w:val="28"/>
        </w:rPr>
        <w:t xml:space="preserve">NICVA – Written </w:t>
      </w:r>
      <w:r w:rsidR="00F4367C">
        <w:rPr>
          <w:rFonts w:ascii="Verdana" w:hAnsi="Verdana"/>
          <w:b/>
          <w:bCs/>
          <w:sz w:val="28"/>
          <w:szCs w:val="28"/>
        </w:rPr>
        <w:t>evidence</w:t>
      </w:r>
      <w:r w:rsidRPr="00C6385D">
        <w:rPr>
          <w:rFonts w:ascii="Verdana" w:hAnsi="Verdana"/>
          <w:b/>
          <w:bCs/>
          <w:sz w:val="28"/>
          <w:szCs w:val="28"/>
        </w:rPr>
        <w:t xml:space="preserve"> (ART001</w:t>
      </w:r>
      <w:r w:rsidR="00194EE9">
        <w:rPr>
          <w:rFonts w:ascii="Verdana" w:hAnsi="Verdana"/>
          <w:b/>
          <w:bCs/>
          <w:sz w:val="28"/>
          <w:szCs w:val="28"/>
        </w:rPr>
        <w:t>9</w:t>
      </w:r>
      <w:r w:rsidRPr="00C6385D">
        <w:rPr>
          <w:rFonts w:ascii="Verdana" w:hAnsi="Verdana"/>
          <w:b/>
          <w:bCs/>
          <w:sz w:val="28"/>
          <w:szCs w:val="28"/>
        </w:rPr>
        <w:t>)</w:t>
      </w:r>
    </w:p>
    <w:p w:rsidR="003B1E8A" w:rsidRPr="00C6385D" w:rsidP="00BD090D">
      <w:pPr>
        <w:rPr>
          <w:rFonts w:ascii="Verdana" w:hAnsi="Verdana"/>
          <w:b/>
          <w:bCs/>
          <w:sz w:val="22"/>
          <w:szCs w:val="22"/>
        </w:rPr>
      </w:pPr>
    </w:p>
    <w:p w:rsidR="003B1E8A" w:rsidRPr="00C6385D" w:rsidP="00BD090D">
      <w:pPr>
        <w:rPr>
          <w:rFonts w:ascii="Verdana" w:hAnsi="Verdana"/>
          <w:b/>
          <w:bCs/>
          <w:sz w:val="22"/>
          <w:szCs w:val="22"/>
        </w:rPr>
      </w:pPr>
      <w:r w:rsidRPr="00C6385D">
        <w:rPr>
          <w:rFonts w:ascii="Verdana" w:hAnsi="Verdana"/>
          <w:b/>
          <w:bCs/>
          <w:sz w:val="22"/>
          <w:szCs w:val="22"/>
        </w:rPr>
        <w:t xml:space="preserve">NICVA Response to the House of Lords Northern Ireland Scrutiny Committee Inquiry into Article 2 of the Protocol/Windsor Framework: Public all for Written Evidence </w:t>
      </w:r>
    </w:p>
    <w:p w:rsidR="003B1E8A" w:rsidRPr="00C6385D" w:rsidP="00BD090D">
      <w:pPr>
        <w:rPr>
          <w:rFonts w:ascii="Verdana" w:hAnsi="Verdana"/>
          <w:b/>
          <w:bCs/>
          <w:sz w:val="22"/>
          <w:szCs w:val="22"/>
        </w:rPr>
      </w:pPr>
      <w:r w:rsidRPr="00C6385D">
        <w:rPr>
          <w:rFonts w:ascii="Verdana" w:hAnsi="Verdana"/>
          <w:b/>
          <w:bCs/>
          <w:sz w:val="22"/>
          <w:szCs w:val="22"/>
        </w:rPr>
        <w:t>Introduction</w:t>
      </w:r>
    </w:p>
    <w:p w:rsidR="003B1E8A" w:rsidRPr="00C6385D" w:rsidP="00BD090D">
      <w:pPr>
        <w:rPr>
          <w:rFonts w:ascii="Verdana" w:hAnsi="Verdana"/>
          <w:sz w:val="22"/>
          <w:szCs w:val="22"/>
        </w:rPr>
      </w:pPr>
      <w:r w:rsidRPr="00C6385D">
        <w:rPr>
          <w:rFonts w:ascii="Verdana" w:hAnsi="Verdana"/>
          <w:sz w:val="22"/>
          <w:szCs w:val="22"/>
        </w:rPr>
        <w:t>NICVA welcomes the opportunity to contribute to the Northern Ireland Scrutiny Committee's inquiry into Article 2 of the Protocol/Windsor Framework (WF Art 2).</w:t>
      </w:r>
    </w:p>
    <w:p w:rsidR="003B1E8A" w:rsidRPr="00C6385D" w:rsidP="00BD090D">
      <w:pPr>
        <w:rPr>
          <w:rFonts w:ascii="Verdana" w:hAnsi="Verdana"/>
          <w:sz w:val="22"/>
          <w:szCs w:val="22"/>
        </w:rPr>
      </w:pPr>
      <w:r w:rsidRPr="00C6385D">
        <w:rPr>
          <w:rFonts w:ascii="Verdana" w:hAnsi="Verdana"/>
          <w:sz w:val="22"/>
          <w:szCs w:val="22"/>
        </w:rPr>
        <w:t xml:space="preserve">NICVA is the representative body for the voluntary, community and social enterprise (VCSE) sector in Northern Ireland. Through our membership of over 1500 charities, we have direct insight into the experiences of organisations delivering services to individuals and communities, including those supporting people with disabilities, long-term health conditions, young people not in education, employment or training, and those facing multiple barriers to employment. </w:t>
      </w:r>
    </w:p>
    <w:p w:rsidR="003B1E8A" w:rsidRPr="00C6385D" w:rsidP="00BD090D">
      <w:pPr>
        <w:rPr>
          <w:rFonts w:ascii="Verdana" w:hAnsi="Verdana"/>
          <w:sz w:val="22"/>
          <w:szCs w:val="22"/>
        </w:rPr>
      </w:pPr>
      <w:r w:rsidRPr="00C6385D">
        <w:rPr>
          <w:rFonts w:ascii="Verdana" w:hAnsi="Verdana"/>
          <w:sz w:val="22"/>
          <w:szCs w:val="22"/>
        </w:rPr>
        <w:t>Our submission focuses primarily on Questions 7, 9 and 13 of the Committee's call for evidence and considers the practical implications of Article 2 for equality of opportunity and participation in the labour market following significant cuts to employment support programmes since March 2023.</w:t>
      </w:r>
    </w:p>
    <w:p w:rsidR="003B1E8A" w:rsidRPr="00C6385D" w:rsidP="00BD090D">
      <w:pPr>
        <w:rPr>
          <w:rFonts w:ascii="Verdana" w:hAnsi="Verdana"/>
          <w:b/>
          <w:bCs/>
          <w:sz w:val="22"/>
          <w:szCs w:val="22"/>
        </w:rPr>
      </w:pPr>
      <w:r w:rsidRPr="00C6385D">
        <w:rPr>
          <w:rFonts w:ascii="Verdana" w:hAnsi="Verdana"/>
          <w:b/>
          <w:bCs/>
          <w:sz w:val="22"/>
          <w:szCs w:val="22"/>
        </w:rPr>
        <w:t>Question 7: What is classified as a "diminution" of rights under Article 2 WF and how is a breach determined?</w:t>
      </w:r>
    </w:p>
    <w:p w:rsidR="003B1E8A" w:rsidRPr="00C6385D" w:rsidP="00BD090D">
      <w:pPr>
        <w:rPr>
          <w:rFonts w:ascii="Verdana" w:hAnsi="Verdana"/>
          <w:sz w:val="22"/>
          <w:szCs w:val="22"/>
        </w:rPr>
      </w:pPr>
      <w:r w:rsidRPr="00C6385D">
        <w:rPr>
          <w:rFonts w:ascii="Verdana" w:hAnsi="Verdana"/>
          <w:sz w:val="22"/>
          <w:szCs w:val="22"/>
        </w:rPr>
        <w:t>NICVA recognises that the interpretation of "diminution" remains a developing area of law. However, we believe the Committee should consider not only changes to legislation but also whether policy and spending decisions have the practical effect of reducing the ability of individuals to enjoy rights and equality protections in practice as protected groups under Section 75 of the Belfast/Good Friday Agreement.</w:t>
      </w:r>
    </w:p>
    <w:p w:rsidR="003B1E8A" w:rsidRPr="00C6385D" w:rsidP="00BD090D">
      <w:pPr>
        <w:rPr>
          <w:rFonts w:ascii="Verdana" w:hAnsi="Verdana"/>
          <w:sz w:val="22"/>
          <w:szCs w:val="22"/>
        </w:rPr>
      </w:pPr>
      <w:r w:rsidRPr="00C6385D">
        <w:rPr>
          <w:rFonts w:ascii="Verdana" w:hAnsi="Verdana"/>
          <w:sz w:val="22"/>
          <w:szCs w:val="22"/>
        </w:rPr>
        <w:t>For many people facing disadvantage, rights are realised not through legislation alone but through access to support, services and interventions that enable equal participation in society and the economy.</w:t>
      </w:r>
    </w:p>
    <w:p w:rsidR="003B1E8A" w:rsidRPr="00C6385D" w:rsidP="00BD090D">
      <w:pPr>
        <w:rPr>
          <w:rFonts w:ascii="Verdana" w:hAnsi="Verdana"/>
          <w:sz w:val="22"/>
          <w:szCs w:val="22"/>
        </w:rPr>
      </w:pPr>
      <w:r w:rsidRPr="00C6385D">
        <w:rPr>
          <w:rFonts w:ascii="Verdana" w:hAnsi="Verdana"/>
          <w:sz w:val="22"/>
          <w:szCs w:val="22"/>
        </w:rPr>
        <w:t xml:space="preserve">Our evidence from organisations delivering employability services demonstrates a substantial reduction in provision following the transition from European Union funding arrangements to UK funding mechanisms. Annual funding has reduced from approximately £40 million under the European Social Fund (ESF), to £25 million under the UK Shared Prosperity Fund (UKSPF), and to £9.2 million under the Local Growth Fund from April 2026. This represents a reduction of approximately 77% compared to previous ESF funding levels. </w:t>
      </w:r>
    </w:p>
    <w:p w:rsidR="003B1E8A" w:rsidRPr="00C6385D" w:rsidP="00BD090D">
      <w:pPr>
        <w:rPr>
          <w:rFonts w:ascii="Verdana" w:hAnsi="Verdana"/>
          <w:sz w:val="22"/>
          <w:szCs w:val="22"/>
        </w:rPr>
      </w:pPr>
      <w:r w:rsidRPr="00C6385D">
        <w:rPr>
          <w:rFonts w:ascii="Verdana" w:hAnsi="Verdana"/>
          <w:sz w:val="22"/>
          <w:szCs w:val="22"/>
        </w:rPr>
        <w:t>Across the sector, organisations report:</w:t>
      </w:r>
    </w:p>
    <w:p w:rsidR="003B1E8A" w:rsidRPr="00C6385D" w:rsidP="00BD090D">
      <w:pPr>
        <w:pStyle w:val="ListParagraph"/>
        <w:numPr>
          <w:ilvl w:val="0"/>
          <w:numId w:val="1"/>
        </w:numPr>
        <w:rPr>
          <w:rFonts w:ascii="Verdana" w:hAnsi="Verdana"/>
          <w:sz w:val="22"/>
          <w:szCs w:val="22"/>
        </w:rPr>
      </w:pPr>
      <w:r w:rsidRPr="00C6385D">
        <w:rPr>
          <w:rFonts w:ascii="Verdana" w:hAnsi="Verdana"/>
          <w:sz w:val="22"/>
          <w:szCs w:val="22"/>
        </w:rPr>
        <w:t>Delivery budget reductions of between 60% and 70%. (totalling £16.2 million loss of funding)</w:t>
      </w:r>
    </w:p>
    <w:p w:rsidR="003B1E8A" w:rsidRPr="00C6385D" w:rsidP="00BD090D">
      <w:pPr>
        <w:pStyle w:val="ListParagraph"/>
        <w:numPr>
          <w:ilvl w:val="0"/>
          <w:numId w:val="1"/>
        </w:numPr>
        <w:rPr>
          <w:rFonts w:ascii="Verdana" w:hAnsi="Verdana"/>
          <w:sz w:val="22"/>
          <w:szCs w:val="22"/>
        </w:rPr>
      </w:pPr>
      <w:r w:rsidRPr="00C6385D">
        <w:rPr>
          <w:rFonts w:ascii="Verdana" w:hAnsi="Verdana"/>
          <w:sz w:val="22"/>
          <w:szCs w:val="22"/>
        </w:rPr>
        <w:t>210 Specialised roles made redundant and loss of expertise (59% reduction)</w:t>
      </w:r>
    </w:p>
    <w:p w:rsidR="003B1E8A" w:rsidRPr="00C6385D" w:rsidP="00BD090D">
      <w:pPr>
        <w:pStyle w:val="ListParagraph"/>
        <w:numPr>
          <w:ilvl w:val="0"/>
          <w:numId w:val="1"/>
        </w:numPr>
        <w:rPr>
          <w:rFonts w:ascii="Verdana" w:hAnsi="Verdana"/>
          <w:sz w:val="22"/>
          <w:szCs w:val="22"/>
        </w:rPr>
      </w:pPr>
      <w:r w:rsidRPr="00C6385D">
        <w:rPr>
          <w:rFonts w:ascii="Verdana" w:hAnsi="Verdana"/>
          <w:sz w:val="22"/>
          <w:szCs w:val="22"/>
        </w:rPr>
        <w:t>6060 less participants supported (68% reduction).</w:t>
      </w:r>
    </w:p>
    <w:p w:rsidR="003B1E8A" w:rsidRPr="00C6385D" w:rsidP="003618FB">
      <w:pPr>
        <w:pStyle w:val="ListParagraph"/>
        <w:numPr>
          <w:ilvl w:val="0"/>
          <w:numId w:val="1"/>
        </w:numPr>
        <w:rPr>
          <w:rFonts w:ascii="Verdana" w:hAnsi="Verdana"/>
          <w:sz w:val="22"/>
          <w:szCs w:val="22"/>
        </w:rPr>
      </w:pPr>
      <w:r w:rsidRPr="00C6385D">
        <w:rPr>
          <w:rFonts w:ascii="Verdana" w:hAnsi="Verdana"/>
          <w:sz w:val="22"/>
          <w:szCs w:val="22"/>
        </w:rPr>
        <w:t xml:space="preserve">Loss of specialist programmes and supports (one organisation closed). </w:t>
      </w:r>
    </w:p>
    <w:p w:rsidR="003B1E8A" w:rsidRPr="00C6385D" w:rsidP="00BD090D">
      <w:pPr>
        <w:pStyle w:val="ListParagraph"/>
        <w:numPr>
          <w:ilvl w:val="0"/>
          <w:numId w:val="1"/>
        </w:numPr>
        <w:rPr>
          <w:rFonts w:ascii="Verdana" w:hAnsi="Verdana"/>
          <w:sz w:val="22"/>
          <w:szCs w:val="22"/>
        </w:rPr>
      </w:pPr>
      <w:r w:rsidRPr="00C6385D">
        <w:rPr>
          <w:rFonts w:ascii="Verdana" w:hAnsi="Verdana"/>
          <w:sz w:val="22"/>
          <w:szCs w:val="22"/>
        </w:rPr>
        <w:t xml:space="preserve">Shortened programme durations and reduced intensity of support. </w:t>
      </w:r>
    </w:p>
    <w:p w:rsidR="003B1E8A" w:rsidRPr="00C6385D" w:rsidP="00F23735">
      <w:pPr>
        <w:pStyle w:val="NoSpacing"/>
        <w:rPr>
          <w:rFonts w:ascii="Verdana" w:hAnsi="Verdana"/>
          <w:sz w:val="22"/>
          <w:szCs w:val="22"/>
        </w:rPr>
      </w:pPr>
      <w:r w:rsidRPr="00C6385D">
        <w:rPr>
          <w:rFonts w:ascii="Verdana" w:hAnsi="Verdana"/>
          <w:sz w:val="22"/>
          <w:szCs w:val="22"/>
        </w:rPr>
        <w:t>There is ongoing uncertainty regarding the future funding arrangements of the Local Growth Fund with a recent public consultation exercise lead by the Northern Ireland Office, closing on 26</w:t>
      </w:r>
      <w:r w:rsidRPr="00C6385D">
        <w:rPr>
          <w:rFonts w:ascii="Verdana" w:hAnsi="Verdana"/>
          <w:sz w:val="22"/>
          <w:szCs w:val="22"/>
          <w:vertAlign w:val="superscript"/>
        </w:rPr>
        <w:t>th</w:t>
      </w:r>
      <w:r w:rsidRPr="00C6385D">
        <w:rPr>
          <w:rFonts w:ascii="Verdana" w:hAnsi="Verdana"/>
          <w:sz w:val="22"/>
          <w:szCs w:val="22"/>
        </w:rPr>
        <w:t xml:space="preserve"> June 2026. It has been proposed that the resources funding in 2027/28 and 2028/29 will be administered by NI Government with mechanism to monitor outputs and outcomes against UK Government LGF framework. NICVA is unsure how Article 2 of the Protocol/Windsor Framework will be considered during this process</w:t>
      </w:r>
    </w:p>
    <w:p w:rsidR="003B1E8A" w:rsidRPr="00C6385D" w:rsidP="00F23735">
      <w:pPr>
        <w:pStyle w:val="NoSpacing"/>
        <w:rPr>
          <w:rFonts w:ascii="Verdana" w:hAnsi="Verdana"/>
          <w:sz w:val="22"/>
          <w:szCs w:val="22"/>
          <w:highlight w:val="yellow"/>
        </w:rPr>
      </w:pPr>
      <w:r w:rsidRPr="00C6385D">
        <w:rPr>
          <w:rFonts w:ascii="Verdana" w:hAnsi="Verdana"/>
          <w:sz w:val="22"/>
          <w:szCs w:val="22"/>
        </w:rPr>
        <w:t xml:space="preserve">  </w:t>
      </w:r>
    </w:p>
    <w:p w:rsidR="003B1E8A" w:rsidRPr="00C6385D" w:rsidP="00BD090D">
      <w:pPr>
        <w:rPr>
          <w:rFonts w:ascii="Verdana" w:hAnsi="Verdana"/>
          <w:sz w:val="22"/>
          <w:szCs w:val="22"/>
        </w:rPr>
      </w:pPr>
      <w:r w:rsidRPr="00C6385D">
        <w:rPr>
          <w:rFonts w:ascii="Verdana" w:hAnsi="Verdana"/>
          <w:sz w:val="22"/>
          <w:szCs w:val="22"/>
        </w:rPr>
        <w:t xml:space="preserve">The Committee may therefore wish to consider whether a diminution of rights could arise where the cumulative effect of policy and funding decisions substantially weakens the practical enjoyment of equality of opportunity for groups protected under the Good Friday Agreement. </w:t>
      </w:r>
    </w:p>
    <w:p w:rsidR="003B1E8A" w:rsidRPr="00C6385D" w:rsidP="00BD090D">
      <w:pPr>
        <w:rPr>
          <w:rFonts w:ascii="Verdana" w:hAnsi="Verdana"/>
          <w:b/>
          <w:bCs/>
          <w:sz w:val="22"/>
          <w:szCs w:val="22"/>
        </w:rPr>
      </w:pPr>
      <w:r w:rsidRPr="00C6385D">
        <w:rPr>
          <w:rFonts w:ascii="Verdana" w:hAnsi="Verdana"/>
          <w:b/>
          <w:bCs/>
          <w:sz w:val="22"/>
          <w:szCs w:val="22"/>
        </w:rPr>
        <w:t>Impact on People with Disabilities and Other Protected Groups</w:t>
      </w:r>
    </w:p>
    <w:p w:rsidR="003B1E8A" w:rsidRPr="00C6385D" w:rsidP="009A5178">
      <w:pPr>
        <w:rPr>
          <w:rFonts w:ascii="Verdana" w:hAnsi="Verdana"/>
          <w:sz w:val="22"/>
          <w:szCs w:val="22"/>
        </w:rPr>
      </w:pPr>
      <w:r w:rsidRPr="00C6385D">
        <w:rPr>
          <w:rFonts w:ascii="Verdana" w:hAnsi="Verdana"/>
          <w:sz w:val="22"/>
          <w:szCs w:val="22"/>
        </w:rPr>
        <w:t>NICVA is particularly concerned about the impact on people with disabilities and long-term health conditions. Evidence gathered by NICVA shows that funding reductions have disproportionately affected those furthest from the labour market, including disabled people and those with long-term health conditions. Our survey found that 72% of specialised posts in this sector have been lost, equivalent to 98 roles, and that 66% fewer participants with disabilities or health conditions are being supported, equivalent to 1,968 people.</w:t>
      </w:r>
    </w:p>
    <w:p w:rsidR="003B1E8A" w:rsidRPr="00C6385D" w:rsidP="00BD090D">
      <w:pPr>
        <w:rPr>
          <w:rFonts w:ascii="Verdana" w:hAnsi="Verdana"/>
          <w:sz w:val="22"/>
          <w:szCs w:val="22"/>
        </w:rPr>
      </w:pPr>
      <w:r w:rsidRPr="00C6385D">
        <w:rPr>
          <w:rFonts w:ascii="Verdana" w:hAnsi="Verdana"/>
          <w:sz w:val="22"/>
          <w:szCs w:val="22"/>
        </w:rPr>
        <w:t>Organisations report:</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Reduced access to specialist employability support.</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Loss of tailored one-to-one interventions.</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Reduced mentoring and outreach provision.</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Reduced access to training opportunities.</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Reduced financial supports such as transport assistance and specialist equipment.</w:t>
      </w:r>
    </w:p>
    <w:p w:rsidR="003B1E8A" w:rsidRPr="00C6385D" w:rsidP="00BD090D">
      <w:pPr>
        <w:pStyle w:val="ListParagraph"/>
        <w:numPr>
          <w:ilvl w:val="0"/>
          <w:numId w:val="3"/>
        </w:numPr>
        <w:rPr>
          <w:rFonts w:ascii="Verdana" w:hAnsi="Verdana"/>
          <w:sz w:val="22"/>
          <w:szCs w:val="22"/>
        </w:rPr>
      </w:pPr>
      <w:r w:rsidRPr="00C6385D">
        <w:rPr>
          <w:rFonts w:ascii="Verdana" w:hAnsi="Verdana"/>
          <w:sz w:val="22"/>
          <w:szCs w:val="22"/>
        </w:rPr>
        <w:t xml:space="preserve">Increased waiting lists and reduced ability to accept referrals. </w:t>
      </w:r>
    </w:p>
    <w:p w:rsidR="003B1E8A" w:rsidRPr="00C6385D" w:rsidP="00BD090D">
      <w:pPr>
        <w:rPr>
          <w:rFonts w:ascii="Verdana" w:hAnsi="Verdana"/>
          <w:sz w:val="22"/>
          <w:szCs w:val="22"/>
        </w:rPr>
      </w:pPr>
      <w:r w:rsidRPr="00C6385D">
        <w:rPr>
          <w:rFonts w:ascii="Verdana" w:hAnsi="Verdana"/>
          <w:sz w:val="22"/>
          <w:szCs w:val="22"/>
        </w:rPr>
        <w:t>While a reduction in funding does not automatically constitute a breach of Article 2, the Committee should consider whether substantial reductions in specialist support services can result in a practical weakening of equality of opportunity for disabled people compared to the position that existed prior to the UK's withdrawal from the European Union.</w:t>
      </w:r>
    </w:p>
    <w:p w:rsidR="003B1E8A" w:rsidRPr="00C6385D" w:rsidP="00BD090D">
      <w:pPr>
        <w:rPr>
          <w:rFonts w:ascii="Verdana" w:hAnsi="Verdana"/>
          <w:sz w:val="22"/>
          <w:szCs w:val="22"/>
        </w:rPr>
      </w:pPr>
      <w:r w:rsidRPr="00C6385D">
        <w:rPr>
          <w:rFonts w:ascii="Verdana" w:hAnsi="Verdana"/>
          <w:sz w:val="22"/>
          <w:szCs w:val="22"/>
        </w:rPr>
        <w:t xml:space="preserve">The fundamental question is whether the cumulative impact of these changes means that access to employment is becoming less attainable for disabled </w:t>
      </w:r>
      <w:r w:rsidRPr="00C6385D">
        <w:rPr>
          <w:rFonts w:ascii="Verdana" w:hAnsi="Verdana"/>
          <w:sz w:val="22"/>
          <w:szCs w:val="22"/>
        </w:rPr>
        <w:t xml:space="preserve">people and other disadvantaged groups, thereby undermining the practical enjoyment of rights and equality protections Article 2 was intended to safeguard. </w:t>
      </w:r>
    </w:p>
    <w:p w:rsidR="003B1E8A" w:rsidRPr="00C6385D" w:rsidP="00BD090D">
      <w:pPr>
        <w:rPr>
          <w:rFonts w:ascii="Verdana" w:hAnsi="Verdana"/>
          <w:b/>
          <w:bCs/>
          <w:sz w:val="22"/>
          <w:szCs w:val="22"/>
        </w:rPr>
      </w:pPr>
      <w:r w:rsidRPr="00C6385D">
        <w:rPr>
          <w:rFonts w:ascii="Verdana" w:hAnsi="Verdana"/>
          <w:b/>
          <w:bCs/>
          <w:sz w:val="22"/>
          <w:szCs w:val="22"/>
        </w:rPr>
        <w:t>Question 9: What is your overall assessment of the success of Article 2 WF in protecting rights after Brexit?</w:t>
      </w:r>
    </w:p>
    <w:p w:rsidR="003B1E8A" w:rsidRPr="00C6385D" w:rsidP="00BD090D">
      <w:pPr>
        <w:rPr>
          <w:rFonts w:ascii="Verdana" w:hAnsi="Verdana"/>
          <w:sz w:val="22"/>
          <w:szCs w:val="22"/>
        </w:rPr>
      </w:pPr>
      <w:r w:rsidRPr="00C6385D">
        <w:rPr>
          <w:rFonts w:ascii="Verdana" w:hAnsi="Verdana"/>
          <w:sz w:val="22"/>
          <w:szCs w:val="22"/>
        </w:rPr>
        <w:t xml:space="preserve">NICVA believes Article 2 has provided an important safeguard within the post-Brexit constitutional framework. The existence of Article 2 has prompted increased awareness among policymakers and public authorities of the need to consider the impact of legislative and policy decisions on rights and equality protections. It has also created an accountability framework through which government actions can be scrutinised. </w:t>
      </w:r>
    </w:p>
    <w:p w:rsidR="003B1E8A" w:rsidRPr="00C6385D" w:rsidP="00BD090D">
      <w:pPr>
        <w:rPr>
          <w:rFonts w:ascii="Verdana" w:hAnsi="Verdana"/>
          <w:sz w:val="22"/>
          <w:szCs w:val="22"/>
        </w:rPr>
      </w:pPr>
      <w:r w:rsidRPr="00C6385D">
        <w:rPr>
          <w:rFonts w:ascii="Verdana" w:hAnsi="Verdana"/>
          <w:sz w:val="22"/>
          <w:szCs w:val="22"/>
        </w:rPr>
        <w:t>However, there remains uncertainty about how Article 2 should apply beyond direct legislative change. The experience of VCSE in NI within economic inactivity policy suggests that some of the most significant risks to equality of opportunity may arise not from explicit changes to legislation but from funding decisions that affect the practical ability of individuals to participate in employment and wider society.</w:t>
      </w:r>
    </w:p>
    <w:p w:rsidR="003B1E8A" w:rsidRPr="00C6385D" w:rsidP="00BD090D">
      <w:pPr>
        <w:rPr>
          <w:rFonts w:ascii="Verdana" w:hAnsi="Verdana"/>
          <w:sz w:val="22"/>
          <w:szCs w:val="22"/>
        </w:rPr>
      </w:pPr>
      <w:r w:rsidRPr="00C6385D">
        <w:rPr>
          <w:rFonts w:ascii="Verdana" w:hAnsi="Verdana"/>
          <w:sz w:val="22"/>
          <w:szCs w:val="22"/>
        </w:rPr>
        <w:t>The Committee's inquiry therefore provides an important opportunity to explore whether existing approaches to Article 2 sufficiently capture the real-world consequences of such decisions on disadvantaged or marginalised groups.</w:t>
      </w:r>
    </w:p>
    <w:p w:rsidR="003B1E8A" w:rsidRPr="00C6385D" w:rsidP="00BD090D">
      <w:pPr>
        <w:rPr>
          <w:rFonts w:ascii="Verdana" w:hAnsi="Verdana"/>
          <w:sz w:val="22"/>
          <w:szCs w:val="22"/>
        </w:rPr>
      </w:pPr>
      <w:r w:rsidRPr="00C6385D">
        <w:rPr>
          <w:rFonts w:ascii="Verdana" w:hAnsi="Verdana"/>
          <w:sz w:val="22"/>
          <w:szCs w:val="22"/>
        </w:rPr>
        <w:t xml:space="preserve">NICVA believes that future consideration of Article 2 should place greater emphasis on practical outcomes and lived experience, particularly where changes disproportionately affect people with disabilities and others facing structural barriers to participation. </w:t>
      </w:r>
    </w:p>
    <w:p w:rsidR="003B1E8A" w:rsidRPr="00C6385D" w:rsidP="00BD090D">
      <w:pPr>
        <w:rPr>
          <w:rFonts w:ascii="Verdana" w:hAnsi="Verdana"/>
          <w:b/>
          <w:bCs/>
          <w:sz w:val="22"/>
          <w:szCs w:val="22"/>
        </w:rPr>
      </w:pPr>
      <w:r w:rsidRPr="00C6385D">
        <w:rPr>
          <w:rFonts w:ascii="Verdana" w:hAnsi="Verdana"/>
          <w:b/>
          <w:bCs/>
          <w:sz w:val="22"/>
          <w:szCs w:val="22"/>
        </w:rPr>
        <w:t>Question 13: How does Government meet its commitments under Article 2 when making new legislation and policy?</w:t>
      </w:r>
    </w:p>
    <w:p w:rsidR="003B1E8A" w:rsidRPr="00C6385D" w:rsidP="00BD090D">
      <w:pPr>
        <w:rPr>
          <w:rFonts w:ascii="Verdana" w:hAnsi="Verdana"/>
          <w:sz w:val="22"/>
          <w:szCs w:val="22"/>
        </w:rPr>
      </w:pPr>
      <w:r w:rsidRPr="00C6385D">
        <w:rPr>
          <w:rFonts w:ascii="Verdana" w:hAnsi="Verdana"/>
          <w:sz w:val="22"/>
          <w:szCs w:val="22"/>
        </w:rPr>
        <w:t xml:space="preserve">NICVA believes considerations of compliance with Article 2 should be embedded at the earliest stages of policy development rather than considered only after proposals have been challenged. </w:t>
      </w:r>
    </w:p>
    <w:p w:rsidR="003B1E8A" w:rsidRPr="00C6385D" w:rsidP="00BD090D">
      <w:pPr>
        <w:rPr>
          <w:rFonts w:ascii="Verdana" w:hAnsi="Verdana"/>
          <w:sz w:val="22"/>
          <w:szCs w:val="22"/>
        </w:rPr>
      </w:pPr>
      <w:r w:rsidRPr="00C6385D">
        <w:rPr>
          <w:rFonts w:ascii="Verdana" w:hAnsi="Verdana"/>
          <w:sz w:val="22"/>
          <w:szCs w:val="22"/>
        </w:rPr>
        <w:t xml:space="preserve">Our recent engagement with VCSE sector regarding the Local Growth Fund highlighted significant concerns about transparency, consultation, assessment processes and the consideration of equality impacts during funding design. </w:t>
      </w:r>
    </w:p>
    <w:p w:rsidR="003B1E8A" w:rsidP="003D5E5F">
      <w:pPr>
        <w:rPr>
          <w:rFonts w:ascii="Verdana" w:hAnsi="Verdana"/>
          <w:sz w:val="22"/>
          <w:szCs w:val="22"/>
        </w:rPr>
      </w:pPr>
      <w:r w:rsidRPr="00C6385D">
        <w:rPr>
          <w:rFonts w:ascii="Verdana" w:hAnsi="Verdana"/>
          <w:sz w:val="22"/>
          <w:szCs w:val="22"/>
        </w:rPr>
        <w:t xml:space="preserve">In our view, the UK Government and Northern Ireland Executive should adopt a more systematic approach to Article 2 compliance. This should include early assessment of significant policy, spending and legislative proposals for potential Article 2 impacts; explicit consideration of whether funding reductions could disproportionately affect protected groups; stronger use of evidence from frontline organisations to understand the real-world impact of policy changes on disadvantaged groups and communities and greater transparency in how Article 2 considerations inform decision-making. </w:t>
      </w:r>
    </w:p>
    <w:p w:rsidR="00C6385D" w:rsidRPr="00C6385D" w:rsidP="003D5E5F">
      <w:pPr>
        <w:rPr>
          <w:rFonts w:ascii="Verdana" w:hAnsi="Verdana"/>
          <w:sz w:val="22"/>
          <w:szCs w:val="22"/>
        </w:rPr>
      </w:pPr>
    </w:p>
    <w:p w:rsidR="003B1E8A" w:rsidRPr="00C6385D" w:rsidP="00BD090D">
      <w:pPr>
        <w:rPr>
          <w:rFonts w:ascii="Verdana" w:hAnsi="Verdana"/>
          <w:b/>
          <w:bCs/>
          <w:sz w:val="22"/>
          <w:szCs w:val="22"/>
        </w:rPr>
      </w:pPr>
      <w:r w:rsidRPr="00C6385D">
        <w:rPr>
          <w:rFonts w:ascii="Verdana" w:hAnsi="Verdana"/>
          <w:b/>
          <w:bCs/>
          <w:sz w:val="22"/>
          <w:szCs w:val="22"/>
        </w:rPr>
        <w:t>Conclusion</w:t>
      </w:r>
    </w:p>
    <w:p w:rsidR="003B1E8A" w:rsidRPr="00C6385D" w:rsidP="00BD090D">
      <w:pPr>
        <w:rPr>
          <w:rFonts w:ascii="Verdana" w:hAnsi="Verdana"/>
          <w:sz w:val="22"/>
          <w:szCs w:val="22"/>
        </w:rPr>
      </w:pPr>
      <w:r w:rsidRPr="00C6385D">
        <w:rPr>
          <w:rFonts w:ascii="Verdana" w:hAnsi="Verdana"/>
          <w:sz w:val="22"/>
          <w:szCs w:val="22"/>
        </w:rPr>
        <w:t>NICVA considers Article 2 to be a vital safeguard for the protection of rights, equality and opportunity in Northern Ireland following Brexit.</w:t>
      </w:r>
    </w:p>
    <w:p w:rsidR="003B1E8A" w:rsidRPr="00C6385D" w:rsidP="00BD090D">
      <w:pPr>
        <w:rPr>
          <w:rFonts w:ascii="Verdana" w:hAnsi="Verdana"/>
          <w:sz w:val="22"/>
          <w:szCs w:val="22"/>
        </w:rPr>
      </w:pPr>
      <w:r w:rsidRPr="00C6385D">
        <w:rPr>
          <w:rFonts w:ascii="Verdana" w:hAnsi="Verdana"/>
          <w:sz w:val="22"/>
          <w:szCs w:val="22"/>
        </w:rPr>
        <w:t>Our evidence from the VCSE sector demonstrates that significant reductions in funding and service provision are having substantial impacts on people who already face the greatest barriers to employment, particularly people with disabilities and long-term health conditions.</w:t>
      </w:r>
    </w:p>
    <w:p w:rsidR="003B1E8A" w:rsidRPr="00C6385D" w:rsidP="00BD090D">
      <w:pPr>
        <w:rPr>
          <w:rFonts w:ascii="Verdana" w:hAnsi="Verdana"/>
          <w:sz w:val="22"/>
          <w:szCs w:val="22"/>
        </w:rPr>
      </w:pPr>
      <w:r w:rsidRPr="00C6385D">
        <w:rPr>
          <w:rFonts w:ascii="Verdana" w:hAnsi="Verdana"/>
          <w:sz w:val="22"/>
          <w:szCs w:val="22"/>
        </w:rPr>
        <w:t>While NICVA does not seek to make a legal determination regarding whether these changes constitute a breach of Article 2, we believe they raise important questions about the interpretation of Article 2 and the meaning of "diminution" and whether sufficient attention is currently being given to the realisation of equality of opportunity.</w:t>
      </w:r>
    </w:p>
    <w:p w:rsidR="003B1E8A" w:rsidRPr="00C6385D" w:rsidP="00BD090D">
      <w:pPr>
        <w:rPr>
          <w:rFonts w:ascii="Verdana" w:hAnsi="Verdana"/>
          <w:sz w:val="22"/>
          <w:szCs w:val="22"/>
        </w:rPr>
      </w:pPr>
      <w:r w:rsidRPr="00C6385D">
        <w:rPr>
          <w:rFonts w:ascii="Verdana" w:hAnsi="Verdana"/>
          <w:sz w:val="22"/>
          <w:szCs w:val="22"/>
        </w:rPr>
        <w:t xml:space="preserve">We therefore encourage the Committee to consider how Article 2 can operate not only as a protection against legislative changes but also as a framework for assessing whether future policy and funding decisions maintain meaningful and effective equality protections for all people in Northern Ireland. </w:t>
      </w:r>
    </w:p>
    <w:p w:rsidR="003B1E8A" w:rsidRPr="00C6385D" w:rsidP="00BD090D">
      <w:pPr>
        <w:rPr>
          <w:rFonts w:ascii="Verdana" w:hAnsi="Verdana"/>
          <w:b/>
          <w:bCs/>
          <w:sz w:val="22"/>
          <w:szCs w:val="22"/>
        </w:rPr>
      </w:pPr>
      <w:r w:rsidRPr="00C6385D">
        <w:rPr>
          <w:rFonts w:ascii="Verdana" w:hAnsi="Verdana"/>
          <w:b/>
          <w:bCs/>
          <w:sz w:val="22"/>
          <w:szCs w:val="22"/>
        </w:rPr>
        <w:t>Submitted by:</w:t>
      </w:r>
    </w:p>
    <w:p w:rsidR="003B1E8A" w:rsidRPr="00C6385D" w:rsidP="00BD090D">
      <w:pPr>
        <w:rPr>
          <w:rFonts w:ascii="Verdana" w:hAnsi="Verdana"/>
          <w:sz w:val="22"/>
          <w:szCs w:val="22"/>
        </w:rPr>
      </w:pPr>
      <w:r w:rsidRPr="00C6385D">
        <w:rPr>
          <w:rFonts w:ascii="Verdana" w:hAnsi="Verdana"/>
          <w:sz w:val="22"/>
          <w:szCs w:val="22"/>
        </w:rPr>
        <w:t xml:space="preserve">NICVA </w:t>
      </w:r>
    </w:p>
    <w:p w:rsidR="003B1E8A" w:rsidP="00BD090D">
      <w:pPr>
        <w:rPr>
          <w:rFonts w:ascii="Verdana" w:hAnsi="Verdana"/>
          <w:sz w:val="22"/>
          <w:szCs w:val="22"/>
        </w:rPr>
      </w:pPr>
      <w:r w:rsidRPr="00C6385D">
        <w:rPr>
          <w:rFonts w:ascii="Verdana" w:hAnsi="Verdana"/>
          <w:sz w:val="22"/>
          <w:szCs w:val="22"/>
        </w:rPr>
        <w:t>Jenny Potter - Director of Policy &amp; Insight</w:t>
      </w:r>
    </w:p>
    <w:p w:rsidR="00692A3D" w:rsidP="00BD090D">
      <w:pPr>
        <w:rPr>
          <w:rFonts w:ascii="Verdana" w:hAnsi="Verdana"/>
          <w:sz w:val="22"/>
          <w:szCs w:val="22"/>
        </w:rPr>
      </w:pPr>
    </w:p>
    <w:p w:rsidR="00692A3D" w:rsidRPr="00692A3D" w:rsidP="00BD090D">
      <w:pPr>
        <w:rPr>
          <w:rFonts w:ascii="Verdana" w:hAnsi="Verdana"/>
          <w:b/>
          <w:bCs/>
          <w:i/>
          <w:iCs/>
          <w:sz w:val="22"/>
          <w:szCs w:val="22"/>
        </w:rPr>
      </w:pPr>
      <w:r>
        <w:rPr>
          <w:rFonts w:ascii="Verdana" w:hAnsi="Verdana"/>
          <w:b/>
          <w:bCs/>
          <w:i/>
          <w:iCs/>
          <w:sz w:val="22"/>
          <w:szCs w:val="22"/>
        </w:rPr>
        <w:t>9</w:t>
      </w:r>
      <w:r w:rsidRPr="00692A3D">
        <w:rPr>
          <w:rFonts w:ascii="Verdana" w:hAnsi="Verdana"/>
          <w:b/>
          <w:bCs/>
          <w:i/>
          <w:iCs/>
          <w:sz w:val="22"/>
          <w:szCs w:val="22"/>
        </w:rPr>
        <w:t xml:space="preserve"> July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ulis Sans">
    <w:altName w:val="Calibri"/>
    <w:panose1 w:val="00000000000000000000"/>
    <w:charset w:val="00"/>
    <w:family w:val="modern"/>
    <w:notTrueType/>
    <w:pitch w:val="variable"/>
    <w:sig w:usb0="A00000EF" w:usb1="50008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95427"/>
    <w:multiLevelType w:val="hybridMultilevel"/>
    <w:tmpl w:val="30B4DC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2A0AFE"/>
    <w:multiLevelType w:val="hybridMultilevel"/>
    <w:tmpl w:val="AED6E7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3175506"/>
    <w:multiLevelType w:val="hybridMultilevel"/>
    <w:tmpl w:val="286E68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lis Sans" w:hAnsi="Neulis Sans" w:eastAsia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D09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9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90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90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090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090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090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090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090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9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9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90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90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090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090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090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090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090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0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90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90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090D"/>
    <w:pPr>
      <w:spacing w:before="160"/>
      <w:jc w:val="center"/>
    </w:pPr>
    <w:rPr>
      <w:i/>
      <w:iCs/>
      <w:color w:val="404040" w:themeColor="text1" w:themeTint="BF"/>
    </w:rPr>
  </w:style>
  <w:style w:type="character" w:customStyle="1" w:styleId="QuoteChar">
    <w:name w:val="Quote Char"/>
    <w:basedOn w:val="DefaultParagraphFont"/>
    <w:link w:val="Quote"/>
    <w:uiPriority w:val="29"/>
    <w:rsid w:val="00BD090D"/>
    <w:rPr>
      <w:i/>
      <w:iCs/>
      <w:color w:val="404040" w:themeColor="text1" w:themeTint="BF"/>
    </w:rPr>
  </w:style>
  <w:style w:type="paragraph" w:styleId="ListParagraph">
    <w:name w:val="List Paragraph"/>
    <w:basedOn w:val="Normal"/>
    <w:uiPriority w:val="34"/>
    <w:qFormat/>
    <w:rsid w:val="00BD090D"/>
    <w:pPr>
      <w:ind w:left="720"/>
      <w:contextualSpacing/>
    </w:pPr>
  </w:style>
  <w:style w:type="character" w:styleId="IntenseEmphasis">
    <w:name w:val="Intense Emphasis"/>
    <w:basedOn w:val="DefaultParagraphFont"/>
    <w:uiPriority w:val="21"/>
    <w:qFormat/>
    <w:rsid w:val="00BD090D"/>
    <w:rPr>
      <w:i/>
      <w:iCs/>
      <w:color w:val="0F4761" w:themeColor="accent1" w:themeShade="BF"/>
    </w:rPr>
  </w:style>
  <w:style w:type="paragraph" w:styleId="IntenseQuote">
    <w:name w:val="Intense Quote"/>
    <w:basedOn w:val="Normal"/>
    <w:next w:val="Normal"/>
    <w:link w:val="IntenseQuoteChar"/>
    <w:uiPriority w:val="30"/>
    <w:qFormat/>
    <w:rsid w:val="00BD09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90D"/>
    <w:rPr>
      <w:i/>
      <w:iCs/>
      <w:color w:val="0F4761" w:themeColor="accent1" w:themeShade="BF"/>
    </w:rPr>
  </w:style>
  <w:style w:type="character" w:styleId="IntenseReference">
    <w:name w:val="Intense Reference"/>
    <w:basedOn w:val="DefaultParagraphFont"/>
    <w:uiPriority w:val="32"/>
    <w:qFormat/>
    <w:rsid w:val="00BD090D"/>
    <w:rPr>
      <w:b/>
      <w:bCs/>
      <w:smallCaps/>
      <w:color w:val="0F4761" w:themeColor="accent1" w:themeShade="BF"/>
      <w:spacing w:val="5"/>
    </w:rPr>
  </w:style>
  <w:style w:type="character" w:styleId="Hyperlink">
    <w:name w:val="Hyperlink"/>
    <w:basedOn w:val="DefaultParagraphFont"/>
    <w:uiPriority w:val="99"/>
    <w:unhideWhenUsed/>
    <w:rsid w:val="00BD090D"/>
    <w:rPr>
      <w:color w:val="467886" w:themeColor="hyperlink"/>
      <w:u w:val="single"/>
    </w:rPr>
  </w:style>
  <w:style w:type="character" w:customStyle="1" w:styleId="UnresolvedMention1">
    <w:name w:val="Unresolved Mention1"/>
    <w:basedOn w:val="DefaultParagraphFont"/>
    <w:uiPriority w:val="99"/>
    <w:semiHidden/>
    <w:unhideWhenUsed/>
    <w:rsid w:val="00BD090D"/>
    <w:rPr>
      <w:color w:val="605E5C"/>
      <w:shd w:val="clear" w:color="auto" w:fill="E1DFDD"/>
    </w:rPr>
  </w:style>
  <w:style w:type="character" w:styleId="CommentReference">
    <w:name w:val="annotation reference"/>
    <w:basedOn w:val="DefaultParagraphFont"/>
    <w:uiPriority w:val="99"/>
    <w:semiHidden/>
    <w:unhideWhenUsed/>
    <w:rsid w:val="0028398D"/>
    <w:rPr>
      <w:sz w:val="16"/>
      <w:szCs w:val="16"/>
    </w:rPr>
  </w:style>
  <w:style w:type="paragraph" w:styleId="CommentText">
    <w:name w:val="annotation text"/>
    <w:basedOn w:val="Normal"/>
    <w:link w:val="CommentTextChar"/>
    <w:uiPriority w:val="99"/>
    <w:unhideWhenUsed/>
    <w:rsid w:val="0028398D"/>
    <w:pPr>
      <w:spacing w:line="240" w:lineRule="auto"/>
    </w:pPr>
    <w:rPr>
      <w:sz w:val="20"/>
      <w:szCs w:val="20"/>
    </w:rPr>
  </w:style>
  <w:style w:type="character" w:customStyle="1" w:styleId="CommentTextChar">
    <w:name w:val="Comment Text Char"/>
    <w:basedOn w:val="DefaultParagraphFont"/>
    <w:link w:val="CommentText"/>
    <w:uiPriority w:val="99"/>
    <w:rsid w:val="0028398D"/>
    <w:rPr>
      <w:sz w:val="20"/>
      <w:szCs w:val="20"/>
    </w:rPr>
  </w:style>
  <w:style w:type="paragraph" w:styleId="CommentSubject">
    <w:name w:val="annotation subject"/>
    <w:basedOn w:val="CommentText"/>
    <w:next w:val="CommentText"/>
    <w:link w:val="CommentSubjectChar"/>
    <w:uiPriority w:val="99"/>
    <w:semiHidden/>
    <w:unhideWhenUsed/>
    <w:rsid w:val="0028398D"/>
    <w:rPr>
      <w:b/>
      <w:bCs/>
    </w:rPr>
  </w:style>
  <w:style w:type="character" w:customStyle="1" w:styleId="CommentSubjectChar">
    <w:name w:val="Comment Subject Char"/>
    <w:basedOn w:val="CommentTextChar"/>
    <w:link w:val="CommentSubject"/>
    <w:uiPriority w:val="99"/>
    <w:semiHidden/>
    <w:rsid w:val="0028398D"/>
    <w:rPr>
      <w:b/>
      <w:bCs/>
      <w:sz w:val="20"/>
      <w:szCs w:val="20"/>
    </w:rPr>
  </w:style>
  <w:style w:type="paragraph" w:styleId="NoSpacing">
    <w:name w:val="No Spacing"/>
    <w:uiPriority w:val="1"/>
    <w:qFormat/>
    <w:rsid w:val="00F237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C5671-0159-4854-BCAE-86DE8777D48D}">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ART0019</dc:title>
  <cp:revision>0</cp:revision>
</cp:coreProperties>
</file>