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2D84" w:rsidRPr="00DB04B9" w:rsidP="00882D84">
      <w:pPr>
        <w:spacing w:before="207"/>
        <w:ind w:left="23"/>
        <w:rPr>
          <w:rFonts w:ascii="Verdana" w:hAnsi="Verdana"/>
          <w:b/>
          <w:sz w:val="28"/>
          <w:szCs w:val="24"/>
        </w:rPr>
      </w:pPr>
      <w:r w:rsidRPr="00DB04B9">
        <w:rPr>
          <w:rFonts w:ascii="Verdana" w:hAnsi="Verdana"/>
          <w:b/>
          <w:sz w:val="28"/>
          <w:szCs w:val="24"/>
        </w:rPr>
        <w:t>Compare the Market – Written evidence (CIM0041)</w:t>
      </w:r>
    </w:p>
    <w:p w:rsidR="00060505" w:rsidRPr="00882D84" w:rsidP="00882D84">
      <w:pPr>
        <w:spacing w:before="207"/>
        <w:ind w:left="23"/>
        <w:rPr>
          <w:rFonts w:ascii="Verdana" w:hAnsi="Verdana"/>
          <w:b/>
          <w:sz w:val="24"/>
        </w:rPr>
      </w:pPr>
      <w:r w:rsidRPr="00882D84">
        <w:rPr>
          <w:rFonts w:ascii="Verdana" w:hAnsi="Verdana"/>
          <w:b/>
          <w:w w:val="110"/>
          <w:sz w:val="24"/>
        </w:rPr>
        <w:t>Compare</w:t>
      </w:r>
      <w:r w:rsidRPr="00882D84">
        <w:rPr>
          <w:rFonts w:ascii="Verdana" w:hAnsi="Verdana"/>
          <w:b/>
          <w:spacing w:val="-13"/>
          <w:w w:val="110"/>
          <w:sz w:val="24"/>
        </w:rPr>
        <w:t xml:space="preserve"> </w:t>
      </w:r>
      <w:r w:rsidRPr="00882D84">
        <w:rPr>
          <w:rFonts w:ascii="Verdana" w:hAnsi="Verdana"/>
          <w:b/>
          <w:w w:val="110"/>
          <w:sz w:val="24"/>
        </w:rPr>
        <w:t>the</w:t>
      </w:r>
      <w:r w:rsidRPr="00882D84">
        <w:rPr>
          <w:rFonts w:ascii="Verdana" w:hAnsi="Verdana"/>
          <w:b/>
          <w:spacing w:val="-13"/>
          <w:w w:val="110"/>
          <w:sz w:val="24"/>
        </w:rPr>
        <w:t xml:space="preserve"> </w:t>
      </w:r>
      <w:r w:rsidRPr="00882D84">
        <w:rPr>
          <w:rFonts w:ascii="Verdana" w:hAnsi="Verdana"/>
          <w:b/>
          <w:w w:val="110"/>
          <w:sz w:val="24"/>
        </w:rPr>
        <w:t>Market</w:t>
      </w:r>
      <w:r w:rsidRPr="00882D84">
        <w:rPr>
          <w:rFonts w:ascii="Verdana" w:hAnsi="Verdana"/>
          <w:b/>
          <w:spacing w:val="-13"/>
          <w:w w:val="110"/>
          <w:sz w:val="24"/>
        </w:rPr>
        <w:t xml:space="preserve"> </w:t>
      </w:r>
      <w:r w:rsidRPr="00882D84">
        <w:rPr>
          <w:rFonts w:ascii="Verdana" w:hAnsi="Verdana"/>
          <w:b/>
          <w:w w:val="110"/>
          <w:sz w:val="24"/>
        </w:rPr>
        <w:t>submission</w:t>
      </w:r>
      <w:r w:rsidRPr="00882D84">
        <w:rPr>
          <w:rFonts w:ascii="Verdana" w:hAnsi="Verdana"/>
          <w:b/>
          <w:spacing w:val="-14"/>
          <w:w w:val="110"/>
          <w:sz w:val="24"/>
        </w:rPr>
        <w:t xml:space="preserve"> </w:t>
      </w:r>
      <w:r w:rsidRPr="00882D84">
        <w:rPr>
          <w:rFonts w:ascii="Verdana" w:hAnsi="Verdana"/>
          <w:b/>
          <w:w w:val="110"/>
          <w:sz w:val="24"/>
        </w:rPr>
        <w:t>to</w:t>
      </w:r>
      <w:r w:rsidRPr="00882D84">
        <w:rPr>
          <w:rFonts w:ascii="Verdana" w:hAnsi="Verdana"/>
          <w:b/>
          <w:spacing w:val="-15"/>
          <w:w w:val="110"/>
          <w:sz w:val="24"/>
        </w:rPr>
        <w:t xml:space="preserve"> </w:t>
      </w:r>
      <w:r w:rsidRPr="00882D84">
        <w:rPr>
          <w:rFonts w:ascii="Verdana" w:hAnsi="Verdana"/>
          <w:b/>
          <w:w w:val="110"/>
          <w:sz w:val="24"/>
        </w:rPr>
        <w:t>the</w:t>
      </w:r>
      <w:r w:rsidRPr="00882D84">
        <w:rPr>
          <w:rFonts w:ascii="Verdana" w:hAnsi="Verdana"/>
          <w:b/>
          <w:spacing w:val="-13"/>
          <w:w w:val="110"/>
          <w:sz w:val="24"/>
        </w:rPr>
        <w:t xml:space="preserve"> </w:t>
      </w:r>
      <w:r w:rsidRPr="00882D84">
        <w:rPr>
          <w:rFonts w:ascii="Verdana" w:hAnsi="Verdana"/>
          <w:b/>
          <w:w w:val="110"/>
          <w:sz w:val="24"/>
        </w:rPr>
        <w:t>House</w:t>
      </w:r>
      <w:r w:rsidRPr="00882D84">
        <w:rPr>
          <w:rFonts w:ascii="Verdana" w:hAnsi="Verdana"/>
          <w:b/>
          <w:spacing w:val="-13"/>
          <w:w w:val="110"/>
          <w:sz w:val="24"/>
        </w:rPr>
        <w:t xml:space="preserve"> </w:t>
      </w:r>
      <w:r w:rsidRPr="00882D84">
        <w:rPr>
          <w:rFonts w:ascii="Verdana" w:hAnsi="Verdana"/>
          <w:b/>
          <w:w w:val="110"/>
          <w:sz w:val="24"/>
        </w:rPr>
        <w:t>of</w:t>
      </w:r>
      <w:r w:rsidRPr="00882D84">
        <w:rPr>
          <w:rFonts w:ascii="Verdana" w:hAnsi="Verdana"/>
          <w:b/>
          <w:spacing w:val="-15"/>
          <w:w w:val="110"/>
          <w:sz w:val="24"/>
        </w:rPr>
        <w:t xml:space="preserve"> </w:t>
      </w:r>
      <w:r w:rsidRPr="00882D84">
        <w:rPr>
          <w:rFonts w:ascii="Verdana" w:hAnsi="Verdana"/>
          <w:b/>
          <w:w w:val="110"/>
          <w:sz w:val="24"/>
        </w:rPr>
        <w:t>Lords</w:t>
      </w:r>
      <w:r w:rsidRPr="00882D84">
        <w:rPr>
          <w:rFonts w:ascii="Verdana" w:hAnsi="Verdana"/>
          <w:b/>
          <w:spacing w:val="-13"/>
          <w:w w:val="110"/>
          <w:sz w:val="24"/>
        </w:rPr>
        <w:t xml:space="preserve"> </w:t>
      </w:r>
      <w:r w:rsidRPr="00882D84">
        <w:rPr>
          <w:rFonts w:ascii="Verdana" w:hAnsi="Verdana"/>
          <w:b/>
          <w:w w:val="110"/>
          <w:sz w:val="24"/>
        </w:rPr>
        <w:t>Financial</w:t>
      </w:r>
      <w:r w:rsidRPr="00882D84">
        <w:rPr>
          <w:rFonts w:ascii="Verdana" w:hAnsi="Verdana"/>
          <w:b/>
          <w:spacing w:val="-14"/>
          <w:w w:val="110"/>
          <w:sz w:val="24"/>
        </w:rPr>
        <w:t xml:space="preserve"> </w:t>
      </w:r>
      <w:r w:rsidRPr="00882D84">
        <w:rPr>
          <w:rFonts w:ascii="Verdana" w:hAnsi="Verdana"/>
          <w:b/>
          <w:spacing w:val="-2"/>
          <w:w w:val="110"/>
          <w:sz w:val="24"/>
        </w:rPr>
        <w:t>Services</w:t>
      </w:r>
      <w:r w:rsidR="00882D84">
        <w:rPr>
          <w:rFonts w:ascii="Verdana" w:hAnsi="Verdana"/>
          <w:b/>
          <w:sz w:val="24"/>
        </w:rPr>
        <w:t xml:space="preserve"> </w:t>
      </w:r>
      <w:r w:rsidRPr="00882D84">
        <w:rPr>
          <w:rFonts w:ascii="Verdana" w:hAnsi="Verdana"/>
          <w:b/>
          <w:w w:val="110"/>
          <w:sz w:val="24"/>
        </w:rPr>
        <w:t>Regulation</w:t>
      </w:r>
      <w:r w:rsidRPr="00882D84">
        <w:rPr>
          <w:rFonts w:ascii="Verdana" w:hAnsi="Verdana"/>
          <w:b/>
          <w:spacing w:val="-12"/>
          <w:w w:val="110"/>
          <w:sz w:val="24"/>
        </w:rPr>
        <w:t xml:space="preserve"> </w:t>
      </w:r>
      <w:r w:rsidRPr="00882D84">
        <w:rPr>
          <w:rFonts w:ascii="Verdana" w:hAnsi="Verdana"/>
          <w:b/>
          <w:w w:val="110"/>
          <w:sz w:val="24"/>
        </w:rPr>
        <w:t>Committee’s</w:t>
      </w:r>
      <w:r w:rsidRPr="00882D84">
        <w:rPr>
          <w:rFonts w:ascii="Verdana" w:hAnsi="Verdana"/>
          <w:b/>
          <w:spacing w:val="-11"/>
          <w:w w:val="110"/>
          <w:sz w:val="24"/>
        </w:rPr>
        <w:t xml:space="preserve"> </w:t>
      </w:r>
      <w:r w:rsidRPr="00882D84">
        <w:rPr>
          <w:rFonts w:ascii="Verdana" w:hAnsi="Verdana"/>
          <w:b/>
          <w:w w:val="110"/>
          <w:sz w:val="24"/>
        </w:rPr>
        <w:t>Call</w:t>
      </w:r>
      <w:r w:rsidRPr="00882D84">
        <w:rPr>
          <w:rFonts w:ascii="Verdana" w:hAnsi="Verdana"/>
          <w:b/>
          <w:spacing w:val="-11"/>
          <w:w w:val="110"/>
          <w:sz w:val="24"/>
        </w:rPr>
        <w:t xml:space="preserve"> </w:t>
      </w:r>
      <w:r w:rsidRPr="00882D84">
        <w:rPr>
          <w:rFonts w:ascii="Verdana" w:hAnsi="Verdana"/>
          <w:b/>
          <w:w w:val="110"/>
          <w:sz w:val="24"/>
        </w:rPr>
        <w:t>for</w:t>
      </w:r>
      <w:r w:rsidRPr="00882D84">
        <w:rPr>
          <w:rFonts w:ascii="Verdana" w:hAnsi="Verdana"/>
          <w:b/>
          <w:spacing w:val="-12"/>
          <w:w w:val="110"/>
          <w:sz w:val="24"/>
        </w:rPr>
        <w:t xml:space="preserve"> </w:t>
      </w:r>
      <w:r w:rsidRPr="00882D84">
        <w:rPr>
          <w:rFonts w:ascii="Verdana" w:hAnsi="Verdana"/>
          <w:b/>
          <w:w w:val="110"/>
          <w:sz w:val="24"/>
        </w:rPr>
        <w:t>Evidence</w:t>
      </w:r>
      <w:r w:rsidRPr="00882D84">
        <w:rPr>
          <w:rFonts w:ascii="Verdana" w:hAnsi="Verdana"/>
          <w:b/>
          <w:spacing w:val="-11"/>
          <w:w w:val="110"/>
          <w:sz w:val="24"/>
        </w:rPr>
        <w:t xml:space="preserve"> </w:t>
      </w:r>
      <w:r w:rsidRPr="00882D84">
        <w:rPr>
          <w:rFonts w:ascii="Verdana" w:hAnsi="Verdana"/>
          <w:b/>
          <w:w w:val="110"/>
          <w:sz w:val="24"/>
        </w:rPr>
        <w:t>into</w:t>
      </w:r>
      <w:r w:rsidRPr="00882D84">
        <w:rPr>
          <w:rFonts w:ascii="Verdana" w:hAnsi="Verdana"/>
          <w:b/>
          <w:spacing w:val="-26"/>
          <w:w w:val="110"/>
          <w:sz w:val="24"/>
        </w:rPr>
        <w:t xml:space="preserve"> </w:t>
      </w:r>
      <w:r w:rsidRPr="00882D84">
        <w:rPr>
          <w:rFonts w:ascii="Verdana" w:hAnsi="Verdana"/>
          <w:b/>
          <w:w w:val="110"/>
          <w:sz w:val="24"/>
        </w:rPr>
        <w:t>‘the</w:t>
      </w:r>
      <w:r w:rsidRPr="00882D84">
        <w:rPr>
          <w:rFonts w:ascii="Verdana" w:hAnsi="Verdana"/>
          <w:b/>
          <w:spacing w:val="-10"/>
          <w:w w:val="110"/>
          <w:sz w:val="24"/>
        </w:rPr>
        <w:t xml:space="preserve"> </w:t>
      </w:r>
      <w:r w:rsidRPr="00882D84">
        <w:rPr>
          <w:rFonts w:ascii="Verdana" w:hAnsi="Verdana"/>
          <w:b/>
          <w:w w:val="110"/>
          <w:sz w:val="24"/>
        </w:rPr>
        <w:t>regulation</w:t>
      </w:r>
      <w:r w:rsidRPr="00882D84">
        <w:rPr>
          <w:rFonts w:ascii="Verdana" w:hAnsi="Verdana"/>
          <w:b/>
          <w:spacing w:val="-12"/>
          <w:w w:val="110"/>
          <w:sz w:val="24"/>
        </w:rPr>
        <w:t xml:space="preserve"> </w:t>
      </w:r>
      <w:r w:rsidRPr="00882D84">
        <w:rPr>
          <w:rFonts w:ascii="Verdana" w:hAnsi="Verdana"/>
          <w:b/>
          <w:w w:val="110"/>
          <w:sz w:val="24"/>
        </w:rPr>
        <w:t>of</w:t>
      </w:r>
      <w:r w:rsidRPr="00882D84">
        <w:rPr>
          <w:rFonts w:ascii="Verdana" w:hAnsi="Verdana"/>
          <w:b/>
          <w:spacing w:val="-13"/>
          <w:w w:val="110"/>
          <w:sz w:val="24"/>
        </w:rPr>
        <w:t xml:space="preserve"> </w:t>
      </w:r>
      <w:r w:rsidRPr="00882D84">
        <w:rPr>
          <w:rFonts w:ascii="Verdana" w:hAnsi="Verdana"/>
          <w:b/>
          <w:w w:val="110"/>
          <w:sz w:val="24"/>
        </w:rPr>
        <w:t>the</w:t>
      </w:r>
      <w:r w:rsidRPr="00882D84">
        <w:rPr>
          <w:rFonts w:ascii="Verdana" w:hAnsi="Verdana"/>
          <w:b/>
          <w:spacing w:val="-11"/>
          <w:w w:val="110"/>
          <w:sz w:val="24"/>
        </w:rPr>
        <w:t xml:space="preserve"> </w:t>
      </w:r>
      <w:r w:rsidRPr="00882D84">
        <w:rPr>
          <w:rFonts w:ascii="Verdana" w:hAnsi="Verdana"/>
          <w:b/>
          <w:w w:val="110"/>
          <w:sz w:val="24"/>
        </w:rPr>
        <w:t>consumer insurance</w:t>
      </w:r>
      <w:r w:rsidRPr="00882D84">
        <w:rPr>
          <w:rFonts w:ascii="Verdana" w:hAnsi="Verdana"/>
          <w:b/>
          <w:spacing w:val="-2"/>
          <w:w w:val="110"/>
          <w:sz w:val="24"/>
        </w:rPr>
        <w:t xml:space="preserve"> </w:t>
      </w:r>
      <w:r w:rsidRPr="00882D84">
        <w:rPr>
          <w:rFonts w:ascii="Verdana" w:hAnsi="Verdana"/>
          <w:b/>
          <w:w w:val="110"/>
          <w:sz w:val="24"/>
        </w:rPr>
        <w:t>market’</w:t>
      </w:r>
    </w:p>
    <w:p w:rsidR="00060505" w:rsidRPr="00882D84">
      <w:pPr>
        <w:spacing w:before="158"/>
        <w:ind w:left="23"/>
        <w:rPr>
          <w:rFonts w:ascii="Verdana" w:hAnsi="Verdana"/>
          <w:b/>
          <w:sz w:val="24"/>
        </w:rPr>
      </w:pPr>
      <w:r w:rsidRPr="00882D84">
        <w:rPr>
          <w:rFonts w:ascii="Verdana" w:hAnsi="Verdana"/>
          <w:b/>
          <w:spacing w:val="-2"/>
          <w:w w:val="110"/>
          <w:sz w:val="24"/>
        </w:rPr>
        <w:t>Introduction</w:t>
      </w:r>
    </w:p>
    <w:p w:rsidR="00060505" w:rsidRPr="00882D84" w:rsidP="00882D84">
      <w:pPr>
        <w:pStyle w:val="BodyText"/>
        <w:spacing w:before="206" w:line="278" w:lineRule="auto"/>
        <w:rPr>
          <w:rFonts w:ascii="Verdana" w:hAnsi="Verdana"/>
        </w:rPr>
      </w:pPr>
      <w:r w:rsidRPr="00882D84">
        <w:rPr>
          <w:rFonts w:ascii="Verdana" w:hAnsi="Verdana"/>
          <w:w w:val="105"/>
        </w:rPr>
        <w:t>This</w:t>
      </w:r>
      <w:r w:rsidRPr="00882D84">
        <w:rPr>
          <w:rFonts w:ascii="Verdana" w:hAnsi="Verdana"/>
          <w:spacing w:val="-9"/>
          <w:w w:val="105"/>
        </w:rPr>
        <w:t xml:space="preserve"> </w:t>
      </w:r>
      <w:r w:rsidRPr="00882D84">
        <w:rPr>
          <w:rFonts w:ascii="Verdana" w:hAnsi="Verdana"/>
          <w:w w:val="105"/>
        </w:rPr>
        <w:t>document</w:t>
      </w:r>
      <w:r w:rsidRPr="00882D84">
        <w:rPr>
          <w:rFonts w:ascii="Verdana" w:hAnsi="Verdana"/>
          <w:spacing w:val="-12"/>
          <w:w w:val="105"/>
        </w:rPr>
        <w:t xml:space="preserve"> </w:t>
      </w:r>
      <w:r w:rsidRPr="00882D84">
        <w:rPr>
          <w:rFonts w:ascii="Verdana" w:hAnsi="Verdana"/>
          <w:w w:val="105"/>
        </w:rPr>
        <w:t>represents</w:t>
      </w:r>
      <w:r w:rsidRPr="00882D84">
        <w:rPr>
          <w:rFonts w:ascii="Verdana" w:hAnsi="Verdana"/>
          <w:spacing w:val="-9"/>
          <w:w w:val="105"/>
        </w:rPr>
        <w:t xml:space="preserve"> </w:t>
      </w:r>
      <w:r w:rsidRPr="00882D84">
        <w:rPr>
          <w:rFonts w:ascii="Verdana" w:hAnsi="Verdana"/>
          <w:w w:val="105"/>
        </w:rPr>
        <w:t>Compare</w:t>
      </w:r>
      <w:r w:rsidRPr="00882D84">
        <w:rPr>
          <w:rFonts w:ascii="Verdana" w:hAnsi="Verdana"/>
          <w:spacing w:val="-10"/>
          <w:w w:val="105"/>
        </w:rPr>
        <w:t xml:space="preserve"> </w:t>
      </w:r>
      <w:r w:rsidRPr="00882D84">
        <w:rPr>
          <w:rFonts w:ascii="Verdana" w:hAnsi="Verdana"/>
          <w:w w:val="105"/>
        </w:rPr>
        <w:t>the</w:t>
      </w:r>
      <w:r w:rsidRPr="00882D84">
        <w:rPr>
          <w:rFonts w:ascii="Verdana" w:hAnsi="Verdana"/>
          <w:spacing w:val="-10"/>
          <w:w w:val="105"/>
        </w:rPr>
        <w:t xml:space="preserve"> </w:t>
      </w:r>
      <w:r w:rsidRPr="00882D84">
        <w:rPr>
          <w:rFonts w:ascii="Verdana" w:hAnsi="Verdana"/>
          <w:w w:val="105"/>
        </w:rPr>
        <w:t>Market’s</w:t>
      </w:r>
      <w:r w:rsidRPr="00882D84">
        <w:rPr>
          <w:rFonts w:ascii="Verdana" w:hAnsi="Verdana"/>
          <w:spacing w:val="-9"/>
          <w:w w:val="105"/>
        </w:rPr>
        <w:t xml:space="preserve"> </w:t>
      </w:r>
      <w:r w:rsidRPr="00882D84">
        <w:rPr>
          <w:rFonts w:ascii="Verdana" w:hAnsi="Verdana"/>
          <w:w w:val="105"/>
        </w:rPr>
        <w:t>(‘CtM’)</w:t>
      </w:r>
      <w:r w:rsidRPr="00882D84">
        <w:rPr>
          <w:rFonts w:ascii="Verdana" w:hAnsi="Verdana"/>
          <w:spacing w:val="-9"/>
          <w:w w:val="105"/>
        </w:rPr>
        <w:t xml:space="preserve"> </w:t>
      </w:r>
      <w:r w:rsidRPr="00882D84">
        <w:rPr>
          <w:rFonts w:ascii="Verdana" w:hAnsi="Verdana"/>
          <w:w w:val="105"/>
        </w:rPr>
        <w:t>written</w:t>
      </w:r>
      <w:r w:rsidRPr="00882D84">
        <w:rPr>
          <w:rFonts w:ascii="Verdana" w:hAnsi="Verdana"/>
          <w:spacing w:val="-10"/>
          <w:w w:val="105"/>
        </w:rPr>
        <w:t xml:space="preserve"> </w:t>
      </w:r>
      <w:r w:rsidRPr="00882D84">
        <w:rPr>
          <w:rFonts w:ascii="Verdana" w:hAnsi="Verdana"/>
          <w:w w:val="105"/>
        </w:rPr>
        <w:t>evidence</w:t>
      </w:r>
      <w:r w:rsidRPr="00882D84">
        <w:rPr>
          <w:rFonts w:ascii="Verdana" w:hAnsi="Verdana"/>
          <w:spacing w:val="-10"/>
          <w:w w:val="105"/>
        </w:rPr>
        <w:t xml:space="preserve"> </w:t>
      </w:r>
      <w:r w:rsidRPr="00882D84">
        <w:rPr>
          <w:rFonts w:ascii="Verdana" w:hAnsi="Verdana"/>
          <w:w w:val="105"/>
        </w:rPr>
        <w:t>for</w:t>
      </w:r>
      <w:r w:rsidRPr="00882D84">
        <w:rPr>
          <w:rFonts w:ascii="Verdana" w:hAnsi="Verdana"/>
          <w:spacing w:val="-10"/>
          <w:w w:val="105"/>
        </w:rPr>
        <w:t xml:space="preserve"> </w:t>
      </w:r>
      <w:r w:rsidRPr="00882D84">
        <w:rPr>
          <w:rFonts w:ascii="Verdana" w:hAnsi="Verdana"/>
          <w:w w:val="105"/>
        </w:rPr>
        <w:t>the</w:t>
      </w:r>
      <w:r w:rsidRPr="00882D84">
        <w:rPr>
          <w:rFonts w:ascii="Verdana" w:hAnsi="Verdana"/>
          <w:spacing w:val="-10"/>
          <w:w w:val="105"/>
        </w:rPr>
        <w:t xml:space="preserve"> </w:t>
      </w:r>
      <w:r w:rsidRPr="00882D84">
        <w:rPr>
          <w:rFonts w:ascii="Verdana" w:hAnsi="Verdana"/>
          <w:w w:val="105"/>
        </w:rPr>
        <w:t>House of Lords’ Financial Services Regulation Committee’s Inquiry “Regulation of the</w:t>
      </w:r>
      <w:r w:rsidR="00882D84">
        <w:rPr>
          <w:rFonts w:ascii="Verdana" w:hAnsi="Verdana"/>
        </w:rPr>
        <w:t xml:space="preserve"> </w:t>
      </w:r>
      <w:r w:rsidRPr="00882D84">
        <w:rPr>
          <w:rFonts w:ascii="Verdana" w:hAnsi="Verdana"/>
          <w:w w:val="105"/>
        </w:rPr>
        <w:t>consumer</w:t>
      </w:r>
      <w:r w:rsidRPr="00882D84">
        <w:rPr>
          <w:rFonts w:ascii="Verdana" w:hAnsi="Verdana"/>
          <w:spacing w:val="-4"/>
          <w:w w:val="105"/>
        </w:rPr>
        <w:t xml:space="preserve"> </w:t>
      </w:r>
      <w:r w:rsidRPr="00882D84">
        <w:rPr>
          <w:rFonts w:ascii="Verdana" w:hAnsi="Verdana"/>
          <w:w w:val="105"/>
        </w:rPr>
        <w:t>insurance</w:t>
      </w:r>
      <w:r w:rsidRPr="00882D84">
        <w:rPr>
          <w:rFonts w:ascii="Verdana" w:hAnsi="Verdana"/>
          <w:spacing w:val="-2"/>
          <w:w w:val="105"/>
        </w:rPr>
        <w:t xml:space="preserve"> </w:t>
      </w:r>
      <w:r w:rsidRPr="00882D84">
        <w:rPr>
          <w:rFonts w:ascii="Verdana" w:hAnsi="Verdana"/>
          <w:w w:val="105"/>
        </w:rPr>
        <w:t>market”. We</w:t>
      </w:r>
      <w:r w:rsidRPr="00882D84">
        <w:rPr>
          <w:rFonts w:ascii="Verdana" w:hAnsi="Verdana"/>
          <w:spacing w:val="-2"/>
          <w:w w:val="105"/>
        </w:rPr>
        <w:t xml:space="preserve"> </w:t>
      </w:r>
      <w:r w:rsidRPr="00882D84">
        <w:rPr>
          <w:rFonts w:ascii="Verdana" w:hAnsi="Verdana"/>
          <w:w w:val="105"/>
        </w:rPr>
        <w:t>are</w:t>
      </w:r>
      <w:r w:rsidRPr="00882D84">
        <w:rPr>
          <w:rFonts w:ascii="Verdana" w:hAnsi="Verdana"/>
          <w:spacing w:val="-2"/>
          <w:w w:val="105"/>
        </w:rPr>
        <w:t xml:space="preserve"> </w:t>
      </w:r>
      <w:r w:rsidRPr="00882D84">
        <w:rPr>
          <w:rFonts w:ascii="Verdana" w:hAnsi="Verdana"/>
          <w:w w:val="105"/>
        </w:rPr>
        <w:t>aware</w:t>
      </w:r>
      <w:r w:rsidRPr="00882D84">
        <w:rPr>
          <w:rFonts w:ascii="Verdana" w:hAnsi="Verdana"/>
          <w:spacing w:val="-2"/>
          <w:w w:val="105"/>
        </w:rPr>
        <w:t xml:space="preserve"> </w:t>
      </w:r>
      <w:r w:rsidRPr="00882D84">
        <w:rPr>
          <w:rFonts w:ascii="Verdana" w:hAnsi="Verdana"/>
          <w:w w:val="105"/>
        </w:rPr>
        <w:t>that</w:t>
      </w:r>
      <w:r w:rsidRPr="00882D84">
        <w:rPr>
          <w:rFonts w:ascii="Verdana" w:hAnsi="Verdana"/>
          <w:spacing w:val="-4"/>
          <w:w w:val="105"/>
        </w:rPr>
        <w:t xml:space="preserve"> </w:t>
      </w:r>
      <w:r w:rsidRPr="00882D84">
        <w:rPr>
          <w:rFonts w:ascii="Verdana" w:hAnsi="Verdana"/>
          <w:w w:val="105"/>
        </w:rPr>
        <w:t>the</w:t>
      </w:r>
      <w:r w:rsidRPr="00882D84">
        <w:rPr>
          <w:rFonts w:ascii="Verdana" w:hAnsi="Verdana"/>
          <w:spacing w:val="-2"/>
          <w:w w:val="105"/>
        </w:rPr>
        <w:t xml:space="preserve"> </w:t>
      </w:r>
      <w:r w:rsidRPr="00882D84">
        <w:rPr>
          <w:rFonts w:ascii="Verdana" w:hAnsi="Verdana"/>
          <w:w w:val="105"/>
        </w:rPr>
        <w:t>Digital Comparison</w:t>
      </w:r>
      <w:r w:rsidRPr="00882D84">
        <w:rPr>
          <w:rFonts w:ascii="Verdana" w:hAnsi="Verdana"/>
          <w:spacing w:val="-4"/>
          <w:w w:val="105"/>
        </w:rPr>
        <w:t xml:space="preserve"> </w:t>
      </w:r>
      <w:r w:rsidRPr="00882D84">
        <w:rPr>
          <w:rFonts w:ascii="Verdana" w:hAnsi="Verdana"/>
          <w:w w:val="105"/>
        </w:rPr>
        <w:t>Association (DCA) of which we are a member firm has submitted an industry body response.</w:t>
      </w:r>
      <w:r w:rsidR="00882D84">
        <w:rPr>
          <w:rFonts w:ascii="Verdana" w:hAnsi="Verdana"/>
        </w:rPr>
        <w:t xml:space="preserve"> </w:t>
      </w:r>
      <w:r w:rsidRPr="00882D84">
        <w:rPr>
          <w:rFonts w:ascii="Verdana" w:hAnsi="Verdana"/>
        </w:rPr>
        <w:t>However,</w:t>
      </w:r>
      <w:r w:rsidRPr="00882D84">
        <w:rPr>
          <w:rFonts w:ascii="Verdana" w:hAnsi="Verdana"/>
          <w:spacing w:val="19"/>
        </w:rPr>
        <w:t xml:space="preserve"> </w:t>
      </w:r>
      <w:r w:rsidRPr="00882D84">
        <w:rPr>
          <w:rFonts w:ascii="Verdana" w:hAnsi="Verdana"/>
        </w:rPr>
        <w:t>this</w:t>
      </w:r>
      <w:r w:rsidRPr="00882D84">
        <w:rPr>
          <w:rFonts w:ascii="Verdana" w:hAnsi="Verdana"/>
          <w:spacing w:val="22"/>
        </w:rPr>
        <w:t xml:space="preserve"> </w:t>
      </w:r>
      <w:r w:rsidRPr="00882D84">
        <w:rPr>
          <w:rFonts w:ascii="Verdana" w:hAnsi="Verdana"/>
        </w:rPr>
        <w:t>response</w:t>
      </w:r>
      <w:r w:rsidRPr="00882D84">
        <w:rPr>
          <w:rFonts w:ascii="Verdana" w:hAnsi="Verdana"/>
          <w:spacing w:val="21"/>
        </w:rPr>
        <w:t xml:space="preserve"> </w:t>
      </w:r>
      <w:r w:rsidRPr="00882D84">
        <w:rPr>
          <w:rFonts w:ascii="Verdana" w:hAnsi="Verdana"/>
        </w:rPr>
        <w:t>is</w:t>
      </w:r>
      <w:r w:rsidRPr="00882D84">
        <w:rPr>
          <w:rFonts w:ascii="Verdana" w:hAnsi="Verdana"/>
          <w:spacing w:val="23"/>
        </w:rPr>
        <w:t xml:space="preserve"> </w:t>
      </w:r>
      <w:r w:rsidRPr="00882D84">
        <w:rPr>
          <w:rFonts w:ascii="Verdana" w:hAnsi="Verdana"/>
        </w:rPr>
        <w:t>in</w:t>
      </w:r>
      <w:r w:rsidRPr="00882D84">
        <w:rPr>
          <w:rFonts w:ascii="Verdana" w:hAnsi="Verdana"/>
          <w:spacing w:val="20"/>
        </w:rPr>
        <w:t xml:space="preserve"> </w:t>
      </w:r>
      <w:r w:rsidRPr="00882D84">
        <w:rPr>
          <w:rFonts w:ascii="Verdana" w:hAnsi="Verdana"/>
        </w:rPr>
        <w:t>CtM’s</w:t>
      </w:r>
      <w:r w:rsidRPr="00882D84">
        <w:rPr>
          <w:rFonts w:ascii="Verdana" w:hAnsi="Verdana"/>
          <w:spacing w:val="22"/>
        </w:rPr>
        <w:t xml:space="preserve"> </w:t>
      </w:r>
      <w:r w:rsidRPr="00882D84">
        <w:rPr>
          <w:rFonts w:ascii="Verdana" w:hAnsi="Verdana"/>
        </w:rPr>
        <w:t>sole</w:t>
      </w:r>
      <w:r w:rsidRPr="00882D84">
        <w:rPr>
          <w:rFonts w:ascii="Verdana" w:hAnsi="Verdana"/>
          <w:spacing w:val="21"/>
        </w:rPr>
        <w:t xml:space="preserve"> </w:t>
      </w:r>
      <w:r w:rsidRPr="00882D84">
        <w:rPr>
          <w:rFonts w:ascii="Verdana" w:hAnsi="Verdana"/>
          <w:spacing w:val="-2"/>
        </w:rPr>
        <w:t>capacity.</w:t>
      </w:r>
    </w:p>
    <w:p w:rsidR="00060505" w:rsidRPr="00882D84">
      <w:pPr>
        <w:pStyle w:val="BodyText"/>
        <w:spacing w:before="206" w:line="278" w:lineRule="auto"/>
        <w:rPr>
          <w:rFonts w:ascii="Verdana" w:hAnsi="Verdana"/>
        </w:rPr>
      </w:pPr>
      <w:r w:rsidRPr="00882D84">
        <w:rPr>
          <w:rFonts w:ascii="Verdana" w:hAnsi="Verdana"/>
        </w:rPr>
        <w:t>CtM</w:t>
      </w:r>
      <w:r w:rsidRPr="00882D84">
        <w:rPr>
          <w:rFonts w:ascii="Verdana" w:hAnsi="Verdana"/>
          <w:spacing w:val="29"/>
        </w:rPr>
        <w:t xml:space="preserve"> </w:t>
      </w:r>
      <w:r w:rsidRPr="00882D84">
        <w:rPr>
          <w:rFonts w:ascii="Verdana" w:hAnsi="Verdana"/>
        </w:rPr>
        <w:t>is</w:t>
      </w:r>
      <w:r w:rsidRPr="00882D84">
        <w:rPr>
          <w:rFonts w:ascii="Verdana" w:hAnsi="Verdana"/>
          <w:spacing w:val="33"/>
        </w:rPr>
        <w:t xml:space="preserve"> </w:t>
      </w:r>
      <w:r w:rsidRPr="00882D84">
        <w:rPr>
          <w:rFonts w:ascii="Verdana" w:hAnsi="Verdana"/>
        </w:rPr>
        <w:t>one</w:t>
      </w:r>
      <w:r w:rsidRPr="00882D84">
        <w:rPr>
          <w:rFonts w:ascii="Verdana" w:hAnsi="Verdana"/>
          <w:spacing w:val="31"/>
        </w:rPr>
        <w:t xml:space="preserve"> </w:t>
      </w:r>
      <w:r w:rsidRPr="00882D84">
        <w:rPr>
          <w:rFonts w:ascii="Verdana" w:hAnsi="Verdana"/>
        </w:rPr>
        <w:t>of</w:t>
      </w:r>
      <w:r w:rsidRPr="00882D84">
        <w:rPr>
          <w:rFonts w:ascii="Verdana" w:hAnsi="Verdana"/>
          <w:spacing w:val="35"/>
        </w:rPr>
        <w:t xml:space="preserve"> </w:t>
      </w:r>
      <w:r w:rsidRPr="00882D84">
        <w:rPr>
          <w:rFonts w:ascii="Verdana" w:hAnsi="Verdana"/>
        </w:rPr>
        <w:t>the</w:t>
      </w:r>
      <w:r w:rsidRPr="00882D84">
        <w:rPr>
          <w:rFonts w:ascii="Verdana" w:hAnsi="Verdana"/>
          <w:spacing w:val="31"/>
        </w:rPr>
        <w:t xml:space="preserve"> </w:t>
      </w:r>
      <w:r w:rsidRPr="00882D84">
        <w:rPr>
          <w:rFonts w:ascii="Verdana" w:hAnsi="Verdana"/>
        </w:rPr>
        <w:t>UK’s</w:t>
      </w:r>
      <w:r w:rsidRPr="00882D84">
        <w:rPr>
          <w:rFonts w:ascii="Verdana" w:hAnsi="Verdana"/>
          <w:spacing w:val="33"/>
        </w:rPr>
        <w:t xml:space="preserve"> </w:t>
      </w:r>
      <w:r w:rsidRPr="00882D84">
        <w:rPr>
          <w:rFonts w:ascii="Verdana" w:hAnsi="Verdana"/>
        </w:rPr>
        <w:t>leading</w:t>
      </w:r>
      <w:r w:rsidRPr="00882D84">
        <w:rPr>
          <w:rFonts w:ascii="Verdana" w:hAnsi="Verdana"/>
          <w:spacing w:val="29"/>
        </w:rPr>
        <w:t xml:space="preserve"> </w:t>
      </w:r>
      <w:r w:rsidRPr="00882D84">
        <w:rPr>
          <w:rFonts w:ascii="Verdana" w:hAnsi="Verdana"/>
        </w:rPr>
        <w:t>Fintech</w:t>
      </w:r>
      <w:r w:rsidRPr="00882D84">
        <w:rPr>
          <w:rFonts w:ascii="Verdana" w:hAnsi="Verdana"/>
          <w:spacing w:val="33"/>
        </w:rPr>
        <w:t xml:space="preserve"> </w:t>
      </w:r>
      <w:r w:rsidRPr="00882D84">
        <w:rPr>
          <w:rFonts w:ascii="Verdana" w:hAnsi="Verdana"/>
        </w:rPr>
        <w:t>companies</w:t>
      </w:r>
      <w:r w:rsidRPr="00882D84">
        <w:rPr>
          <w:rFonts w:ascii="Verdana" w:hAnsi="Verdana"/>
          <w:spacing w:val="33"/>
        </w:rPr>
        <w:t xml:space="preserve"> </w:t>
      </w:r>
      <w:r w:rsidRPr="00882D84">
        <w:rPr>
          <w:rFonts w:ascii="Verdana" w:hAnsi="Verdana"/>
        </w:rPr>
        <w:t>and</w:t>
      </w:r>
      <w:r w:rsidRPr="00882D84">
        <w:rPr>
          <w:rFonts w:ascii="Verdana" w:hAnsi="Verdana"/>
          <w:spacing w:val="29"/>
        </w:rPr>
        <w:t xml:space="preserve"> </w:t>
      </w:r>
      <w:r w:rsidRPr="00882D84">
        <w:rPr>
          <w:rFonts w:ascii="Verdana" w:hAnsi="Verdana"/>
        </w:rPr>
        <w:t>digital</w:t>
      </w:r>
      <w:r w:rsidRPr="00882D84">
        <w:rPr>
          <w:rFonts w:ascii="Verdana" w:hAnsi="Verdana"/>
          <w:spacing w:val="33"/>
        </w:rPr>
        <w:t xml:space="preserve"> </w:t>
      </w:r>
      <w:r w:rsidRPr="00882D84">
        <w:rPr>
          <w:rFonts w:ascii="Verdana" w:hAnsi="Verdana"/>
        </w:rPr>
        <w:t>comparison</w:t>
      </w:r>
      <w:r w:rsidRPr="00882D84">
        <w:rPr>
          <w:rFonts w:ascii="Verdana" w:hAnsi="Verdana"/>
          <w:spacing w:val="27"/>
        </w:rPr>
        <w:t xml:space="preserve"> </w:t>
      </w:r>
      <w:r w:rsidRPr="00882D84">
        <w:rPr>
          <w:rFonts w:ascii="Verdana" w:hAnsi="Verdana"/>
        </w:rPr>
        <w:t>sites,</w:t>
      </w:r>
      <w:r w:rsidRPr="00882D84">
        <w:rPr>
          <w:rFonts w:ascii="Verdana" w:hAnsi="Verdana"/>
          <w:spacing w:val="33"/>
        </w:rPr>
        <w:t xml:space="preserve"> </w:t>
      </w:r>
      <w:r w:rsidRPr="00882D84">
        <w:rPr>
          <w:rFonts w:ascii="Verdana" w:hAnsi="Verdana"/>
        </w:rPr>
        <w:t>and</w:t>
      </w:r>
      <w:r w:rsidRPr="00882D84">
        <w:rPr>
          <w:rFonts w:ascii="Verdana" w:hAnsi="Verdana"/>
          <w:spacing w:val="29"/>
        </w:rPr>
        <w:t xml:space="preserve"> </w:t>
      </w:r>
      <w:r w:rsidRPr="00882D84">
        <w:rPr>
          <w:rFonts w:ascii="Verdana" w:hAnsi="Verdana"/>
        </w:rPr>
        <w:t>our core</w:t>
      </w:r>
      <w:r w:rsidRPr="00882D84">
        <w:rPr>
          <w:rFonts w:ascii="Verdana" w:hAnsi="Verdana"/>
          <w:spacing w:val="38"/>
        </w:rPr>
        <w:t xml:space="preserve"> </w:t>
      </w:r>
      <w:r w:rsidRPr="00882D84">
        <w:rPr>
          <w:rFonts w:ascii="Verdana" w:hAnsi="Verdana"/>
        </w:rPr>
        <w:t>purpose</w:t>
      </w:r>
      <w:r w:rsidRPr="00882D84">
        <w:rPr>
          <w:rFonts w:ascii="Verdana" w:hAnsi="Verdana"/>
          <w:spacing w:val="38"/>
        </w:rPr>
        <w:t xml:space="preserve"> </w:t>
      </w:r>
      <w:r w:rsidRPr="00882D84">
        <w:rPr>
          <w:rFonts w:ascii="Verdana" w:hAnsi="Verdana"/>
        </w:rPr>
        <w:t>is</w:t>
      </w:r>
      <w:r w:rsidRPr="00882D84">
        <w:rPr>
          <w:rFonts w:ascii="Verdana" w:hAnsi="Verdana"/>
          <w:spacing w:val="40"/>
        </w:rPr>
        <w:t xml:space="preserve"> </w:t>
      </w:r>
      <w:r w:rsidRPr="00882D84">
        <w:rPr>
          <w:rFonts w:ascii="Verdana" w:hAnsi="Verdana"/>
        </w:rPr>
        <w:t>to</w:t>
      </w:r>
      <w:r w:rsidRPr="00882D84">
        <w:rPr>
          <w:rFonts w:ascii="Verdana" w:hAnsi="Verdana"/>
          <w:spacing w:val="36"/>
        </w:rPr>
        <w:t xml:space="preserve"> </w:t>
      </w:r>
      <w:r w:rsidRPr="00882D84">
        <w:rPr>
          <w:rFonts w:ascii="Verdana" w:hAnsi="Verdana"/>
        </w:rPr>
        <w:t>make</w:t>
      </w:r>
      <w:r w:rsidRPr="00882D84">
        <w:rPr>
          <w:rFonts w:ascii="Verdana" w:hAnsi="Verdana"/>
          <w:spacing w:val="38"/>
        </w:rPr>
        <w:t xml:space="preserve"> </w:t>
      </w:r>
      <w:r w:rsidRPr="00882D84">
        <w:rPr>
          <w:rFonts w:ascii="Verdana" w:hAnsi="Verdana"/>
        </w:rPr>
        <w:t>great financial</w:t>
      </w:r>
      <w:r w:rsidRPr="00882D84">
        <w:rPr>
          <w:rFonts w:ascii="Verdana" w:hAnsi="Verdana"/>
          <w:spacing w:val="38"/>
        </w:rPr>
        <w:t xml:space="preserve"> </w:t>
      </w:r>
      <w:r w:rsidRPr="00882D84">
        <w:rPr>
          <w:rFonts w:ascii="Verdana" w:hAnsi="Verdana"/>
        </w:rPr>
        <w:t>decision</w:t>
      </w:r>
      <w:r w:rsidRPr="00882D84">
        <w:rPr>
          <w:rFonts w:ascii="Verdana" w:hAnsi="Verdana"/>
          <w:spacing w:val="36"/>
        </w:rPr>
        <w:t xml:space="preserve"> </w:t>
      </w:r>
      <w:r w:rsidRPr="00882D84">
        <w:rPr>
          <w:rFonts w:ascii="Verdana" w:hAnsi="Verdana"/>
        </w:rPr>
        <w:t>making</w:t>
      </w:r>
      <w:r w:rsidRPr="00882D84">
        <w:rPr>
          <w:rFonts w:ascii="Verdana" w:hAnsi="Verdana"/>
          <w:spacing w:val="36"/>
        </w:rPr>
        <w:t xml:space="preserve"> </w:t>
      </w:r>
      <w:r w:rsidRPr="00882D84">
        <w:rPr>
          <w:rFonts w:ascii="Verdana" w:hAnsi="Verdana"/>
        </w:rPr>
        <w:t>a</w:t>
      </w:r>
      <w:r w:rsidRPr="00882D84">
        <w:rPr>
          <w:rFonts w:ascii="Verdana" w:hAnsi="Verdana"/>
          <w:spacing w:val="40"/>
        </w:rPr>
        <w:t xml:space="preserve"> </w:t>
      </w:r>
      <w:r w:rsidRPr="00882D84">
        <w:rPr>
          <w:rFonts w:ascii="Verdana" w:hAnsi="Verdana"/>
        </w:rPr>
        <w:t>breeze</w:t>
      </w:r>
      <w:r w:rsidRPr="00882D84">
        <w:rPr>
          <w:rFonts w:ascii="Verdana" w:hAnsi="Verdana"/>
          <w:spacing w:val="38"/>
        </w:rPr>
        <w:t xml:space="preserve"> </w:t>
      </w:r>
      <w:r w:rsidRPr="00882D84">
        <w:rPr>
          <w:rFonts w:ascii="Verdana" w:hAnsi="Verdana"/>
        </w:rPr>
        <w:t>for</w:t>
      </w:r>
      <w:r w:rsidRPr="00882D84">
        <w:rPr>
          <w:rFonts w:ascii="Verdana" w:hAnsi="Verdana"/>
          <w:spacing w:val="36"/>
        </w:rPr>
        <w:t xml:space="preserve"> </w:t>
      </w:r>
      <w:r w:rsidRPr="00882D84">
        <w:rPr>
          <w:rFonts w:ascii="Verdana" w:hAnsi="Verdana"/>
        </w:rPr>
        <w:t>everyone.</w:t>
      </w:r>
      <w:r w:rsidRPr="00882D84">
        <w:rPr>
          <w:rFonts w:ascii="Verdana" w:hAnsi="Verdana"/>
          <w:spacing w:val="40"/>
        </w:rPr>
        <w:t xml:space="preserve"> </w:t>
      </w:r>
      <w:r w:rsidRPr="00882D84">
        <w:rPr>
          <w:rFonts w:ascii="Verdana" w:hAnsi="Verdana"/>
        </w:rPr>
        <w:t xml:space="preserve">Our </w:t>
      </w:r>
      <w:r w:rsidRPr="00882D84">
        <w:rPr>
          <w:rFonts w:ascii="Verdana" w:hAnsi="Verdana"/>
          <w:w w:val="110"/>
        </w:rPr>
        <w:t>services</w:t>
      </w:r>
      <w:r w:rsidRPr="00882D84">
        <w:rPr>
          <w:rFonts w:ascii="Verdana" w:hAnsi="Verdana"/>
          <w:spacing w:val="-15"/>
          <w:w w:val="110"/>
        </w:rPr>
        <w:t xml:space="preserve"> </w:t>
      </w:r>
      <w:r w:rsidRPr="00882D84">
        <w:rPr>
          <w:rFonts w:ascii="Verdana" w:hAnsi="Verdana"/>
          <w:w w:val="110"/>
        </w:rPr>
        <w:t>empower</w:t>
      </w:r>
      <w:r w:rsidRPr="00882D84">
        <w:rPr>
          <w:rFonts w:ascii="Verdana" w:hAnsi="Verdana"/>
          <w:spacing w:val="-15"/>
          <w:w w:val="110"/>
        </w:rPr>
        <w:t xml:space="preserve"> </w:t>
      </w:r>
      <w:r w:rsidRPr="00882D84">
        <w:rPr>
          <w:rFonts w:ascii="Verdana" w:hAnsi="Verdana"/>
          <w:w w:val="110"/>
        </w:rPr>
        <w:t>people</w:t>
      </w:r>
      <w:r w:rsidRPr="00882D84">
        <w:rPr>
          <w:rFonts w:ascii="Verdana" w:hAnsi="Verdana"/>
          <w:spacing w:val="-15"/>
          <w:w w:val="110"/>
        </w:rPr>
        <w:t xml:space="preserve"> </w:t>
      </w:r>
      <w:r w:rsidRPr="00882D84">
        <w:rPr>
          <w:rFonts w:ascii="Verdana" w:hAnsi="Verdana"/>
          <w:w w:val="110"/>
        </w:rPr>
        <w:t>to</w:t>
      </w:r>
      <w:r w:rsidRPr="00882D84">
        <w:rPr>
          <w:rFonts w:ascii="Verdana" w:hAnsi="Verdana"/>
          <w:spacing w:val="-15"/>
          <w:w w:val="110"/>
        </w:rPr>
        <w:t xml:space="preserve"> </w:t>
      </w:r>
      <w:r w:rsidRPr="00882D84">
        <w:rPr>
          <w:rFonts w:ascii="Verdana" w:hAnsi="Verdana"/>
          <w:w w:val="110"/>
        </w:rPr>
        <w:t>access</w:t>
      </w:r>
      <w:r w:rsidRPr="00882D84">
        <w:rPr>
          <w:rFonts w:ascii="Verdana" w:hAnsi="Verdana"/>
          <w:spacing w:val="-15"/>
          <w:w w:val="110"/>
        </w:rPr>
        <w:t xml:space="preserve"> </w:t>
      </w:r>
      <w:r w:rsidRPr="00882D84">
        <w:rPr>
          <w:rFonts w:ascii="Verdana" w:hAnsi="Verdana"/>
          <w:w w:val="110"/>
        </w:rPr>
        <w:t>great</w:t>
      </w:r>
      <w:r w:rsidRPr="00882D84">
        <w:rPr>
          <w:rFonts w:ascii="Verdana" w:hAnsi="Verdana"/>
          <w:spacing w:val="-15"/>
          <w:w w:val="110"/>
        </w:rPr>
        <w:t xml:space="preserve"> </w:t>
      </w:r>
      <w:r w:rsidRPr="00882D84">
        <w:rPr>
          <w:rFonts w:ascii="Verdana" w:hAnsi="Verdana"/>
          <w:w w:val="110"/>
        </w:rPr>
        <w:t>deals</w:t>
      </w:r>
      <w:r w:rsidRPr="00882D84">
        <w:rPr>
          <w:rFonts w:ascii="Verdana" w:hAnsi="Verdana"/>
          <w:spacing w:val="-15"/>
          <w:w w:val="110"/>
        </w:rPr>
        <w:t xml:space="preserve"> </w:t>
      </w:r>
      <w:r w:rsidRPr="00882D84">
        <w:rPr>
          <w:rFonts w:ascii="Verdana" w:hAnsi="Verdana"/>
          <w:w w:val="110"/>
        </w:rPr>
        <w:t>and</w:t>
      </w:r>
      <w:r w:rsidRPr="00882D84">
        <w:rPr>
          <w:rFonts w:ascii="Verdana" w:hAnsi="Verdana"/>
          <w:spacing w:val="-15"/>
          <w:w w:val="110"/>
        </w:rPr>
        <w:t xml:space="preserve"> </w:t>
      </w:r>
      <w:r w:rsidRPr="00882D84">
        <w:rPr>
          <w:rFonts w:ascii="Verdana" w:hAnsi="Verdana"/>
          <w:w w:val="110"/>
        </w:rPr>
        <w:t>secure</w:t>
      </w:r>
      <w:r w:rsidRPr="00882D84">
        <w:rPr>
          <w:rFonts w:ascii="Verdana" w:hAnsi="Verdana"/>
          <w:spacing w:val="-15"/>
          <w:w w:val="110"/>
        </w:rPr>
        <w:t xml:space="preserve"> </w:t>
      </w:r>
      <w:r w:rsidRPr="00882D84">
        <w:rPr>
          <w:rFonts w:ascii="Verdana" w:hAnsi="Verdana"/>
          <w:w w:val="110"/>
        </w:rPr>
        <w:t>a</w:t>
      </w:r>
      <w:r w:rsidRPr="00882D84">
        <w:rPr>
          <w:rFonts w:ascii="Verdana" w:hAnsi="Verdana"/>
          <w:spacing w:val="-15"/>
          <w:w w:val="110"/>
        </w:rPr>
        <w:t xml:space="preserve"> </w:t>
      </w:r>
      <w:r w:rsidRPr="00882D84">
        <w:rPr>
          <w:rFonts w:ascii="Verdana" w:hAnsi="Verdana"/>
          <w:w w:val="110"/>
        </w:rPr>
        <w:t>positive</w:t>
      </w:r>
      <w:r w:rsidRPr="00882D84">
        <w:rPr>
          <w:rFonts w:ascii="Verdana" w:hAnsi="Verdana"/>
          <w:spacing w:val="-15"/>
          <w:w w:val="110"/>
        </w:rPr>
        <w:t xml:space="preserve"> </w:t>
      </w:r>
      <w:r w:rsidRPr="00882D84">
        <w:rPr>
          <w:rFonts w:ascii="Verdana" w:hAnsi="Verdana"/>
          <w:w w:val="110"/>
        </w:rPr>
        <w:t>outcome</w:t>
      </w:r>
      <w:r w:rsidRPr="00882D84">
        <w:rPr>
          <w:rFonts w:ascii="Verdana" w:hAnsi="Verdana"/>
          <w:spacing w:val="-15"/>
          <w:w w:val="110"/>
        </w:rPr>
        <w:t xml:space="preserve"> </w:t>
      </w:r>
      <w:r w:rsidRPr="00882D84">
        <w:rPr>
          <w:rFonts w:ascii="Verdana" w:hAnsi="Verdana"/>
          <w:w w:val="110"/>
        </w:rPr>
        <w:t>for</w:t>
      </w:r>
    </w:p>
    <w:p w:rsidR="00060505" w:rsidRPr="00882D84">
      <w:pPr>
        <w:pStyle w:val="BodyText"/>
        <w:spacing w:line="291" w:lineRule="exact"/>
        <w:rPr>
          <w:rFonts w:ascii="Verdana" w:hAnsi="Verdana"/>
        </w:rPr>
      </w:pPr>
      <w:r w:rsidRPr="00882D84">
        <w:rPr>
          <w:rFonts w:ascii="Verdana" w:hAnsi="Verdana"/>
          <w:spacing w:val="2"/>
        </w:rPr>
        <w:t>themselves</w:t>
      </w:r>
      <w:r w:rsidRPr="00882D84">
        <w:rPr>
          <w:rFonts w:ascii="Verdana" w:hAnsi="Verdana"/>
          <w:spacing w:val="30"/>
        </w:rPr>
        <w:t xml:space="preserve"> </w:t>
      </w:r>
      <w:r w:rsidRPr="00882D84">
        <w:rPr>
          <w:rFonts w:ascii="Verdana" w:hAnsi="Verdana"/>
          <w:spacing w:val="2"/>
        </w:rPr>
        <w:t>across</w:t>
      </w:r>
      <w:r w:rsidRPr="00882D84">
        <w:rPr>
          <w:rFonts w:ascii="Verdana" w:hAnsi="Verdana"/>
          <w:spacing w:val="30"/>
        </w:rPr>
        <w:t xml:space="preserve"> </w:t>
      </w:r>
      <w:r w:rsidRPr="00882D84">
        <w:rPr>
          <w:rFonts w:ascii="Verdana" w:hAnsi="Verdana"/>
          <w:spacing w:val="2"/>
        </w:rPr>
        <w:t>insurance,</w:t>
      </w:r>
      <w:r w:rsidRPr="00882D84">
        <w:rPr>
          <w:rFonts w:ascii="Verdana" w:hAnsi="Verdana"/>
          <w:spacing w:val="31"/>
        </w:rPr>
        <w:t xml:space="preserve"> </w:t>
      </w:r>
      <w:r w:rsidRPr="00882D84">
        <w:rPr>
          <w:rFonts w:ascii="Verdana" w:hAnsi="Verdana"/>
          <w:spacing w:val="2"/>
        </w:rPr>
        <w:t>utilities</w:t>
      </w:r>
      <w:r w:rsidRPr="00882D84">
        <w:rPr>
          <w:rFonts w:ascii="Verdana" w:hAnsi="Verdana"/>
          <w:spacing w:val="30"/>
        </w:rPr>
        <w:t xml:space="preserve"> </w:t>
      </w:r>
      <w:r w:rsidRPr="00882D84">
        <w:rPr>
          <w:rFonts w:ascii="Verdana" w:hAnsi="Verdana"/>
          <w:spacing w:val="2"/>
        </w:rPr>
        <w:t>and</w:t>
      </w:r>
      <w:r w:rsidRPr="00882D84">
        <w:rPr>
          <w:rFonts w:ascii="Verdana" w:hAnsi="Verdana"/>
          <w:spacing w:val="30"/>
        </w:rPr>
        <w:t xml:space="preserve"> </w:t>
      </w:r>
      <w:r w:rsidRPr="00882D84">
        <w:rPr>
          <w:rFonts w:ascii="Verdana" w:hAnsi="Verdana"/>
          <w:spacing w:val="2"/>
        </w:rPr>
        <w:t>money</w:t>
      </w:r>
      <w:r w:rsidRPr="00882D84">
        <w:rPr>
          <w:rFonts w:ascii="Verdana" w:hAnsi="Verdana"/>
          <w:spacing w:val="29"/>
        </w:rPr>
        <w:t xml:space="preserve"> </w:t>
      </w:r>
      <w:r w:rsidRPr="00882D84">
        <w:rPr>
          <w:rFonts w:ascii="Verdana" w:hAnsi="Verdana"/>
          <w:spacing w:val="-2"/>
        </w:rPr>
        <w:t>products.</w:t>
      </w:r>
    </w:p>
    <w:p w:rsidR="00060505" w:rsidRPr="00882D84" w:rsidP="00882D84">
      <w:pPr>
        <w:pStyle w:val="BodyText"/>
        <w:spacing w:before="206" w:line="278" w:lineRule="auto"/>
        <w:ind w:right="189"/>
        <w:rPr>
          <w:rFonts w:ascii="Verdana" w:hAnsi="Verdana"/>
        </w:rPr>
      </w:pPr>
      <w:r w:rsidRPr="00882D84">
        <w:rPr>
          <w:rFonts w:ascii="Verdana" w:hAnsi="Verdana"/>
          <w:w w:val="105"/>
        </w:rPr>
        <w:t>Our</w:t>
      </w:r>
      <w:r w:rsidRPr="00882D84">
        <w:rPr>
          <w:rFonts w:ascii="Verdana" w:hAnsi="Verdana"/>
          <w:spacing w:val="-5"/>
          <w:w w:val="105"/>
        </w:rPr>
        <w:t xml:space="preserve"> </w:t>
      </w:r>
      <w:r w:rsidRPr="00882D84">
        <w:rPr>
          <w:rFonts w:ascii="Verdana" w:hAnsi="Verdana"/>
          <w:w w:val="105"/>
        </w:rPr>
        <w:t>reach</w:t>
      </w:r>
      <w:r w:rsidRPr="00882D84">
        <w:rPr>
          <w:rFonts w:ascii="Verdana" w:hAnsi="Verdana"/>
          <w:spacing w:val="-2"/>
          <w:w w:val="105"/>
        </w:rPr>
        <w:t xml:space="preserve"> </w:t>
      </w:r>
      <w:r w:rsidRPr="00882D84">
        <w:rPr>
          <w:rFonts w:ascii="Verdana" w:hAnsi="Verdana"/>
          <w:w w:val="105"/>
        </w:rPr>
        <w:t>across</w:t>
      </w:r>
      <w:r w:rsidRPr="00882D84">
        <w:rPr>
          <w:rFonts w:ascii="Verdana" w:hAnsi="Verdana"/>
          <w:spacing w:val="-3"/>
          <w:w w:val="105"/>
        </w:rPr>
        <w:t xml:space="preserve"> </w:t>
      </w:r>
      <w:r w:rsidRPr="00882D84">
        <w:rPr>
          <w:rFonts w:ascii="Verdana" w:hAnsi="Verdana"/>
          <w:w w:val="105"/>
        </w:rPr>
        <w:t>the</w:t>
      </w:r>
      <w:r w:rsidRPr="00882D84">
        <w:rPr>
          <w:rFonts w:ascii="Verdana" w:hAnsi="Verdana"/>
          <w:spacing w:val="-4"/>
          <w:w w:val="105"/>
        </w:rPr>
        <w:t xml:space="preserve"> </w:t>
      </w:r>
      <w:r w:rsidRPr="00882D84">
        <w:rPr>
          <w:rFonts w:ascii="Verdana" w:hAnsi="Verdana"/>
          <w:w w:val="105"/>
        </w:rPr>
        <w:t>UK</w:t>
      </w:r>
      <w:r w:rsidRPr="00882D84">
        <w:rPr>
          <w:rFonts w:ascii="Verdana" w:hAnsi="Verdana"/>
          <w:spacing w:val="-4"/>
          <w:w w:val="105"/>
        </w:rPr>
        <w:t xml:space="preserve"> </w:t>
      </w:r>
      <w:r w:rsidRPr="00882D84">
        <w:rPr>
          <w:rFonts w:ascii="Verdana" w:hAnsi="Verdana"/>
          <w:w w:val="105"/>
        </w:rPr>
        <w:t>is</w:t>
      </w:r>
      <w:r w:rsidRPr="00882D84">
        <w:rPr>
          <w:rFonts w:ascii="Verdana" w:hAnsi="Verdana"/>
          <w:spacing w:val="-3"/>
          <w:w w:val="105"/>
        </w:rPr>
        <w:t xml:space="preserve"> </w:t>
      </w:r>
      <w:r w:rsidRPr="00882D84">
        <w:rPr>
          <w:rFonts w:ascii="Verdana" w:hAnsi="Verdana"/>
          <w:w w:val="105"/>
        </w:rPr>
        <w:t>tremendous:</w:t>
      </w:r>
      <w:r w:rsidRPr="00882D84">
        <w:rPr>
          <w:rFonts w:ascii="Verdana" w:hAnsi="Verdana"/>
          <w:spacing w:val="-3"/>
          <w:w w:val="105"/>
        </w:rPr>
        <w:t xml:space="preserve"> </w:t>
      </w:r>
      <w:r w:rsidRPr="00882D84">
        <w:rPr>
          <w:rFonts w:ascii="Verdana" w:hAnsi="Verdana"/>
          <w:w w:val="105"/>
        </w:rPr>
        <w:t>in</w:t>
      </w:r>
      <w:r w:rsidRPr="00882D84">
        <w:rPr>
          <w:rFonts w:ascii="Verdana" w:hAnsi="Verdana"/>
          <w:spacing w:val="-6"/>
          <w:w w:val="105"/>
        </w:rPr>
        <w:t xml:space="preserve"> </w:t>
      </w:r>
      <w:r w:rsidRPr="00882D84">
        <w:rPr>
          <w:rFonts w:ascii="Verdana" w:hAnsi="Verdana"/>
          <w:w w:val="105"/>
        </w:rPr>
        <w:t>the</w:t>
      </w:r>
      <w:r w:rsidRPr="00882D84">
        <w:rPr>
          <w:rFonts w:ascii="Verdana" w:hAnsi="Verdana"/>
          <w:spacing w:val="-4"/>
          <w:w w:val="105"/>
        </w:rPr>
        <w:t xml:space="preserve"> </w:t>
      </w:r>
      <w:r w:rsidRPr="00882D84">
        <w:rPr>
          <w:rFonts w:ascii="Verdana" w:hAnsi="Verdana"/>
          <w:w w:val="105"/>
        </w:rPr>
        <w:t>last</w:t>
      </w:r>
      <w:r w:rsidRPr="00882D84">
        <w:rPr>
          <w:rFonts w:ascii="Verdana" w:hAnsi="Verdana"/>
          <w:spacing w:val="-6"/>
          <w:w w:val="105"/>
        </w:rPr>
        <w:t xml:space="preserve"> </w:t>
      </w:r>
      <w:r w:rsidRPr="00882D84">
        <w:rPr>
          <w:rFonts w:ascii="Verdana" w:hAnsi="Verdana"/>
          <w:w w:val="105"/>
        </w:rPr>
        <w:t>three</w:t>
      </w:r>
      <w:r w:rsidRPr="00882D84">
        <w:rPr>
          <w:rFonts w:ascii="Verdana" w:hAnsi="Verdana"/>
          <w:spacing w:val="-3"/>
          <w:w w:val="105"/>
        </w:rPr>
        <w:t xml:space="preserve"> </w:t>
      </w:r>
      <w:r w:rsidRPr="00882D84">
        <w:rPr>
          <w:rFonts w:ascii="Verdana" w:hAnsi="Verdana"/>
          <w:w w:val="105"/>
        </w:rPr>
        <w:t>years,</w:t>
      </w:r>
      <w:r w:rsidRPr="00882D84">
        <w:rPr>
          <w:rFonts w:ascii="Verdana" w:hAnsi="Verdana"/>
          <w:spacing w:val="-3"/>
          <w:w w:val="105"/>
        </w:rPr>
        <w:t xml:space="preserve"> </w:t>
      </w:r>
      <w:r w:rsidRPr="00882D84">
        <w:rPr>
          <w:rFonts w:ascii="Verdana" w:hAnsi="Verdana"/>
          <w:w w:val="105"/>
        </w:rPr>
        <w:t>70%</w:t>
      </w:r>
      <w:r w:rsidRPr="00882D84">
        <w:rPr>
          <w:rFonts w:ascii="Verdana" w:hAnsi="Verdana"/>
          <w:spacing w:val="-3"/>
          <w:w w:val="105"/>
        </w:rPr>
        <w:t xml:space="preserve"> </w:t>
      </w:r>
      <w:r w:rsidRPr="00882D84">
        <w:rPr>
          <w:rFonts w:ascii="Verdana" w:hAnsi="Verdana"/>
          <w:w w:val="105"/>
        </w:rPr>
        <w:t>of</w:t>
      </w:r>
      <w:r w:rsidRPr="00882D84">
        <w:rPr>
          <w:rFonts w:ascii="Verdana" w:hAnsi="Verdana"/>
          <w:spacing w:val="-3"/>
          <w:w w:val="105"/>
        </w:rPr>
        <w:t xml:space="preserve"> </w:t>
      </w:r>
      <w:r w:rsidRPr="00882D84">
        <w:rPr>
          <w:rFonts w:ascii="Verdana" w:hAnsi="Verdana"/>
          <w:w w:val="105"/>
        </w:rPr>
        <w:t>the</w:t>
      </w:r>
      <w:r w:rsidRPr="00882D84">
        <w:rPr>
          <w:rFonts w:ascii="Verdana" w:hAnsi="Verdana"/>
          <w:spacing w:val="-4"/>
          <w:w w:val="105"/>
        </w:rPr>
        <w:t xml:space="preserve"> </w:t>
      </w:r>
      <w:r w:rsidRPr="00882D84">
        <w:rPr>
          <w:rFonts w:ascii="Verdana" w:hAnsi="Verdana"/>
          <w:w w:val="105"/>
        </w:rPr>
        <w:t>28.4</w:t>
      </w:r>
      <w:r w:rsidRPr="00882D84">
        <w:rPr>
          <w:rFonts w:ascii="Verdana" w:hAnsi="Verdana"/>
          <w:spacing w:val="-3"/>
          <w:w w:val="105"/>
        </w:rPr>
        <w:t xml:space="preserve"> </w:t>
      </w:r>
      <w:r w:rsidRPr="00882D84">
        <w:rPr>
          <w:rFonts w:ascii="Verdana" w:hAnsi="Verdana"/>
          <w:w w:val="105"/>
        </w:rPr>
        <w:t>million households in the UK have accessed our services. We generate approximately 8.8 billion quotes for 34 million consumers, delivering a total cumulative saving of £2.4 billion.</w:t>
      </w:r>
      <w:r w:rsidRPr="00882D84">
        <w:rPr>
          <w:rFonts w:ascii="Verdana" w:hAnsi="Verdana"/>
          <w:spacing w:val="40"/>
          <w:w w:val="105"/>
        </w:rPr>
        <w:t xml:space="preserve"> </w:t>
      </w:r>
      <w:r w:rsidRPr="00882D84">
        <w:rPr>
          <w:rFonts w:ascii="Verdana" w:hAnsi="Verdana"/>
          <w:w w:val="105"/>
        </w:rPr>
        <w:t>As cost of living challenges persist and inflationary pressure feeds into the supply</w:t>
      </w:r>
      <w:r w:rsidRPr="00882D84">
        <w:rPr>
          <w:rFonts w:ascii="Verdana" w:hAnsi="Verdana"/>
          <w:spacing w:val="-2"/>
          <w:w w:val="105"/>
        </w:rPr>
        <w:t xml:space="preserve"> </w:t>
      </w:r>
      <w:r w:rsidRPr="00882D84">
        <w:rPr>
          <w:rFonts w:ascii="Verdana" w:hAnsi="Verdana"/>
          <w:w w:val="105"/>
        </w:rPr>
        <w:t>chain following elevated</w:t>
      </w:r>
      <w:r w:rsidRPr="00882D84">
        <w:rPr>
          <w:rFonts w:ascii="Verdana" w:hAnsi="Verdana"/>
          <w:spacing w:val="-1"/>
          <w:w w:val="105"/>
        </w:rPr>
        <w:t xml:space="preserve"> </w:t>
      </w:r>
      <w:r w:rsidRPr="00882D84">
        <w:rPr>
          <w:rFonts w:ascii="Verdana" w:hAnsi="Verdana"/>
          <w:w w:val="105"/>
        </w:rPr>
        <w:t>energy</w:t>
      </w:r>
      <w:r w:rsidRPr="00882D84">
        <w:rPr>
          <w:rFonts w:ascii="Verdana" w:hAnsi="Verdana"/>
          <w:spacing w:val="-1"/>
          <w:w w:val="105"/>
        </w:rPr>
        <w:t xml:space="preserve"> </w:t>
      </w:r>
      <w:r w:rsidRPr="00882D84">
        <w:rPr>
          <w:rFonts w:ascii="Verdana" w:hAnsi="Verdana"/>
          <w:w w:val="105"/>
        </w:rPr>
        <w:t>prices in</w:t>
      </w:r>
      <w:r w:rsidRPr="00882D84">
        <w:rPr>
          <w:rFonts w:ascii="Verdana" w:hAnsi="Verdana"/>
          <w:spacing w:val="-2"/>
          <w:w w:val="105"/>
        </w:rPr>
        <w:t xml:space="preserve"> </w:t>
      </w:r>
      <w:r w:rsidRPr="00882D84">
        <w:rPr>
          <w:rFonts w:ascii="Verdana" w:hAnsi="Verdana"/>
          <w:w w:val="105"/>
        </w:rPr>
        <w:t>the first</w:t>
      </w:r>
      <w:r w:rsidRPr="00882D84">
        <w:rPr>
          <w:rFonts w:ascii="Verdana" w:hAnsi="Verdana"/>
          <w:spacing w:val="-2"/>
          <w:w w:val="105"/>
        </w:rPr>
        <w:t xml:space="preserve"> </w:t>
      </w:r>
      <w:r w:rsidRPr="00882D84">
        <w:rPr>
          <w:rFonts w:ascii="Verdana" w:hAnsi="Verdana"/>
          <w:w w:val="105"/>
        </w:rPr>
        <w:t>half of this year, it’s more important than ever that once a consumer has established what level of cover meets their needs, that they are able to buy it at the most</w:t>
      </w:r>
      <w:r w:rsidRPr="00882D84">
        <w:rPr>
          <w:rFonts w:ascii="Verdana" w:hAnsi="Verdana"/>
          <w:spacing w:val="-1"/>
          <w:w w:val="105"/>
        </w:rPr>
        <w:t xml:space="preserve"> </w:t>
      </w:r>
      <w:r w:rsidRPr="00882D84">
        <w:rPr>
          <w:rFonts w:ascii="Verdana" w:hAnsi="Verdana"/>
          <w:w w:val="105"/>
        </w:rPr>
        <w:t>competitive price.</w:t>
      </w:r>
      <w:r w:rsidRPr="00882D84">
        <w:rPr>
          <w:rFonts w:ascii="Verdana" w:hAnsi="Verdana"/>
          <w:spacing w:val="40"/>
          <w:w w:val="105"/>
        </w:rPr>
        <w:t xml:space="preserve"> </w:t>
      </w:r>
      <w:r w:rsidRPr="00882D84">
        <w:rPr>
          <w:rFonts w:ascii="Verdana" w:hAnsi="Verdana"/>
          <w:w w:val="105"/>
        </w:rPr>
        <w:t>People use us when</w:t>
      </w:r>
      <w:r w:rsidRPr="00882D84">
        <w:rPr>
          <w:rFonts w:ascii="Verdana" w:hAnsi="Verdana"/>
          <w:spacing w:val="-4"/>
          <w:w w:val="105"/>
        </w:rPr>
        <w:t xml:space="preserve"> </w:t>
      </w:r>
      <w:r w:rsidRPr="00882D84">
        <w:rPr>
          <w:rFonts w:ascii="Verdana" w:hAnsi="Verdana"/>
          <w:w w:val="105"/>
        </w:rPr>
        <w:t>they</w:t>
      </w:r>
      <w:r w:rsidRPr="00882D84">
        <w:rPr>
          <w:rFonts w:ascii="Verdana" w:hAnsi="Verdana"/>
          <w:spacing w:val="-3"/>
          <w:w w:val="105"/>
        </w:rPr>
        <w:t xml:space="preserve"> </w:t>
      </w:r>
      <w:r w:rsidRPr="00882D84">
        <w:rPr>
          <w:rFonts w:ascii="Verdana" w:hAnsi="Verdana"/>
          <w:w w:val="105"/>
        </w:rPr>
        <w:t>take</w:t>
      </w:r>
      <w:r w:rsidRPr="00882D84">
        <w:rPr>
          <w:rFonts w:ascii="Verdana" w:hAnsi="Verdana"/>
          <w:spacing w:val="-3"/>
          <w:w w:val="105"/>
        </w:rPr>
        <w:t xml:space="preserve"> </w:t>
      </w:r>
      <w:r w:rsidRPr="00882D84">
        <w:rPr>
          <w:rFonts w:ascii="Verdana" w:hAnsi="Verdana"/>
          <w:w w:val="105"/>
        </w:rPr>
        <w:t>a product</w:t>
      </w:r>
      <w:r w:rsidRPr="00882D84">
        <w:rPr>
          <w:rFonts w:ascii="Verdana" w:hAnsi="Verdana"/>
          <w:spacing w:val="-5"/>
          <w:w w:val="105"/>
        </w:rPr>
        <w:t xml:space="preserve"> </w:t>
      </w:r>
      <w:r w:rsidRPr="00882D84">
        <w:rPr>
          <w:rFonts w:ascii="Verdana" w:hAnsi="Verdana"/>
          <w:w w:val="105"/>
        </w:rPr>
        <w:t>for</w:t>
      </w:r>
      <w:r w:rsidRPr="00882D84">
        <w:rPr>
          <w:rFonts w:ascii="Verdana" w:hAnsi="Verdana"/>
          <w:spacing w:val="-4"/>
          <w:w w:val="105"/>
        </w:rPr>
        <w:t xml:space="preserve"> </w:t>
      </w:r>
      <w:r w:rsidRPr="00882D84">
        <w:rPr>
          <w:rFonts w:ascii="Verdana" w:hAnsi="Verdana"/>
          <w:w w:val="105"/>
        </w:rPr>
        <w:t>the</w:t>
      </w:r>
      <w:r w:rsidRPr="00882D84">
        <w:rPr>
          <w:rFonts w:ascii="Verdana" w:hAnsi="Verdana"/>
          <w:spacing w:val="-3"/>
          <w:w w:val="105"/>
        </w:rPr>
        <w:t xml:space="preserve"> </w:t>
      </w:r>
      <w:r w:rsidRPr="00882D84">
        <w:rPr>
          <w:rFonts w:ascii="Verdana" w:hAnsi="Verdana"/>
          <w:w w:val="105"/>
        </w:rPr>
        <w:t>first</w:t>
      </w:r>
      <w:r w:rsidRPr="00882D84">
        <w:rPr>
          <w:rFonts w:ascii="Verdana" w:hAnsi="Verdana"/>
          <w:spacing w:val="-1"/>
          <w:w w:val="105"/>
        </w:rPr>
        <w:t xml:space="preserve"> </w:t>
      </w:r>
      <w:r w:rsidRPr="00882D84">
        <w:rPr>
          <w:rFonts w:ascii="Verdana" w:hAnsi="Verdana"/>
          <w:w w:val="105"/>
        </w:rPr>
        <w:t>time</w:t>
      </w:r>
      <w:r w:rsidRPr="00882D84">
        <w:rPr>
          <w:rFonts w:ascii="Verdana" w:hAnsi="Verdana"/>
          <w:spacing w:val="-3"/>
          <w:w w:val="105"/>
        </w:rPr>
        <w:t xml:space="preserve"> </w:t>
      </w:r>
      <w:r w:rsidRPr="00882D84">
        <w:rPr>
          <w:rFonts w:ascii="Verdana" w:hAnsi="Verdana"/>
          <w:w w:val="105"/>
        </w:rPr>
        <w:t>and at</w:t>
      </w:r>
      <w:r w:rsidRPr="00882D84">
        <w:rPr>
          <w:rFonts w:ascii="Verdana" w:hAnsi="Verdana"/>
          <w:spacing w:val="-5"/>
          <w:w w:val="105"/>
        </w:rPr>
        <w:t xml:space="preserve"> </w:t>
      </w:r>
      <w:r w:rsidRPr="00882D84">
        <w:rPr>
          <w:rFonts w:ascii="Verdana" w:hAnsi="Verdana"/>
          <w:w w:val="105"/>
        </w:rPr>
        <w:t>renewal</w:t>
      </w:r>
      <w:r w:rsidRPr="00882D84">
        <w:rPr>
          <w:rFonts w:ascii="Verdana" w:hAnsi="Verdana"/>
          <w:spacing w:val="-4"/>
          <w:w w:val="105"/>
        </w:rPr>
        <w:t xml:space="preserve"> </w:t>
      </w:r>
      <w:r w:rsidRPr="00882D84">
        <w:rPr>
          <w:rFonts w:ascii="Verdana" w:hAnsi="Verdana"/>
          <w:w w:val="105"/>
        </w:rPr>
        <w:t>when</w:t>
      </w:r>
      <w:r w:rsidRPr="00882D84">
        <w:rPr>
          <w:rFonts w:ascii="Verdana" w:hAnsi="Verdana"/>
          <w:spacing w:val="-4"/>
          <w:w w:val="105"/>
        </w:rPr>
        <w:t xml:space="preserve"> </w:t>
      </w:r>
      <w:r w:rsidRPr="00882D84">
        <w:rPr>
          <w:rFonts w:ascii="Verdana" w:hAnsi="Verdana"/>
          <w:w w:val="105"/>
        </w:rPr>
        <w:t>they are</w:t>
      </w:r>
      <w:r w:rsidRPr="00882D84">
        <w:rPr>
          <w:rFonts w:ascii="Verdana" w:hAnsi="Verdana"/>
          <w:spacing w:val="-3"/>
          <w:w w:val="105"/>
        </w:rPr>
        <w:t xml:space="preserve"> </w:t>
      </w:r>
      <w:r w:rsidRPr="00882D84">
        <w:rPr>
          <w:rFonts w:ascii="Verdana" w:hAnsi="Verdana"/>
          <w:w w:val="105"/>
        </w:rPr>
        <w:t>considering whether they switch.</w:t>
      </w:r>
      <w:r w:rsidRPr="00882D84">
        <w:rPr>
          <w:rFonts w:ascii="Verdana" w:hAnsi="Verdana"/>
          <w:spacing w:val="40"/>
          <w:w w:val="105"/>
        </w:rPr>
        <w:t xml:space="preserve"> </w:t>
      </w:r>
      <w:r w:rsidRPr="00882D84">
        <w:rPr>
          <w:rFonts w:ascii="Verdana" w:hAnsi="Verdana"/>
          <w:w w:val="105"/>
        </w:rPr>
        <w:t>CtM are only paid when a customer actually buys a product</w:t>
      </w:r>
      <w:r w:rsidR="00882D84">
        <w:rPr>
          <w:rFonts w:ascii="Verdana" w:hAnsi="Verdana"/>
        </w:rPr>
        <w:t xml:space="preserve"> </w:t>
      </w:r>
      <w:r w:rsidRPr="00882D84">
        <w:rPr>
          <w:rFonts w:ascii="Verdana" w:hAnsi="Verdana"/>
        </w:rPr>
        <w:t>distributed</w:t>
      </w:r>
      <w:r w:rsidRPr="00882D84">
        <w:rPr>
          <w:rFonts w:ascii="Verdana" w:hAnsi="Verdana"/>
          <w:spacing w:val="13"/>
        </w:rPr>
        <w:t xml:space="preserve"> </w:t>
      </w:r>
      <w:r w:rsidRPr="00882D84">
        <w:rPr>
          <w:rFonts w:ascii="Verdana" w:hAnsi="Verdana"/>
        </w:rPr>
        <w:t>through</w:t>
      </w:r>
      <w:r w:rsidRPr="00882D84">
        <w:rPr>
          <w:rFonts w:ascii="Verdana" w:hAnsi="Verdana"/>
          <w:spacing w:val="13"/>
        </w:rPr>
        <w:t xml:space="preserve"> </w:t>
      </w:r>
      <w:r w:rsidRPr="00882D84">
        <w:rPr>
          <w:rFonts w:ascii="Verdana" w:hAnsi="Verdana"/>
        </w:rPr>
        <w:t>our</w:t>
      </w:r>
      <w:r w:rsidRPr="00882D84">
        <w:rPr>
          <w:rFonts w:ascii="Verdana" w:hAnsi="Verdana"/>
          <w:spacing w:val="15"/>
        </w:rPr>
        <w:t xml:space="preserve"> </w:t>
      </w:r>
      <w:r w:rsidRPr="00882D84">
        <w:rPr>
          <w:rFonts w:ascii="Verdana" w:hAnsi="Verdana"/>
          <w:spacing w:val="-2"/>
        </w:rPr>
        <w:t>site.</w:t>
      </w:r>
    </w:p>
    <w:p w:rsidR="00060505" w:rsidRPr="00882D84">
      <w:pPr>
        <w:pStyle w:val="BodyText"/>
        <w:spacing w:before="207" w:line="278" w:lineRule="auto"/>
        <w:ind w:right="41"/>
        <w:rPr>
          <w:rFonts w:ascii="Verdana" w:hAnsi="Verdana"/>
        </w:rPr>
      </w:pPr>
      <w:r w:rsidRPr="00882D84">
        <w:rPr>
          <w:rFonts w:ascii="Verdana" w:hAnsi="Verdana"/>
          <w:w w:val="105"/>
        </w:rPr>
        <w:t>As a distributor operating through digital comparison journeys, we recognise the important</w:t>
      </w:r>
      <w:r w:rsidRPr="00882D84">
        <w:rPr>
          <w:rFonts w:ascii="Verdana" w:hAnsi="Verdana"/>
          <w:spacing w:val="-9"/>
          <w:w w:val="105"/>
        </w:rPr>
        <w:t xml:space="preserve"> </w:t>
      </w:r>
      <w:r w:rsidRPr="00882D84">
        <w:rPr>
          <w:rFonts w:ascii="Verdana" w:hAnsi="Verdana"/>
          <w:w w:val="105"/>
        </w:rPr>
        <w:t>role</w:t>
      </w:r>
      <w:r w:rsidRPr="00882D84">
        <w:rPr>
          <w:rFonts w:ascii="Verdana" w:hAnsi="Verdana"/>
          <w:spacing w:val="-10"/>
          <w:w w:val="105"/>
        </w:rPr>
        <w:t xml:space="preserve"> </w:t>
      </w:r>
      <w:r w:rsidRPr="00882D84">
        <w:rPr>
          <w:rFonts w:ascii="Verdana" w:hAnsi="Verdana"/>
          <w:w w:val="105"/>
        </w:rPr>
        <w:t>that</w:t>
      </w:r>
      <w:r w:rsidRPr="00882D84">
        <w:rPr>
          <w:rFonts w:ascii="Verdana" w:hAnsi="Verdana"/>
          <w:spacing w:val="-12"/>
          <w:w w:val="105"/>
        </w:rPr>
        <w:t xml:space="preserve"> </w:t>
      </w:r>
      <w:r w:rsidRPr="00882D84">
        <w:rPr>
          <w:rFonts w:ascii="Verdana" w:hAnsi="Verdana"/>
          <w:w w:val="105"/>
        </w:rPr>
        <w:t>firms</w:t>
      </w:r>
      <w:r w:rsidRPr="00882D84">
        <w:rPr>
          <w:rFonts w:ascii="Verdana" w:hAnsi="Verdana"/>
          <w:spacing w:val="-9"/>
          <w:w w:val="105"/>
        </w:rPr>
        <w:t xml:space="preserve"> </w:t>
      </w:r>
      <w:r w:rsidRPr="00882D84">
        <w:rPr>
          <w:rFonts w:ascii="Verdana" w:hAnsi="Verdana"/>
          <w:w w:val="105"/>
        </w:rPr>
        <w:t>play</w:t>
      </w:r>
      <w:r w:rsidRPr="00882D84">
        <w:rPr>
          <w:rFonts w:ascii="Verdana" w:hAnsi="Verdana"/>
          <w:spacing w:val="-11"/>
          <w:w w:val="105"/>
        </w:rPr>
        <w:t xml:space="preserve"> </w:t>
      </w:r>
      <w:r w:rsidRPr="00882D84">
        <w:rPr>
          <w:rFonts w:ascii="Verdana" w:hAnsi="Verdana"/>
          <w:w w:val="105"/>
        </w:rPr>
        <w:t>in</w:t>
      </w:r>
      <w:r w:rsidRPr="00882D84">
        <w:rPr>
          <w:rFonts w:ascii="Verdana" w:hAnsi="Verdana"/>
          <w:spacing w:val="-12"/>
          <w:w w:val="105"/>
        </w:rPr>
        <w:t xml:space="preserve"> </w:t>
      </w:r>
      <w:r w:rsidRPr="00882D84">
        <w:rPr>
          <w:rFonts w:ascii="Verdana" w:hAnsi="Verdana"/>
          <w:w w:val="105"/>
        </w:rPr>
        <w:t>presenting</w:t>
      </w:r>
      <w:r w:rsidRPr="00882D84">
        <w:rPr>
          <w:rFonts w:ascii="Verdana" w:hAnsi="Verdana"/>
          <w:spacing w:val="-9"/>
          <w:w w:val="105"/>
        </w:rPr>
        <w:t xml:space="preserve"> </w:t>
      </w:r>
      <w:r w:rsidRPr="00882D84">
        <w:rPr>
          <w:rFonts w:ascii="Verdana" w:hAnsi="Verdana"/>
          <w:w w:val="105"/>
        </w:rPr>
        <w:t>information</w:t>
      </w:r>
      <w:r w:rsidRPr="00882D84">
        <w:rPr>
          <w:rFonts w:ascii="Verdana" w:hAnsi="Verdana"/>
          <w:spacing w:val="-11"/>
          <w:w w:val="105"/>
        </w:rPr>
        <w:t xml:space="preserve"> </w:t>
      </w:r>
      <w:r w:rsidRPr="00882D84">
        <w:rPr>
          <w:rFonts w:ascii="Verdana" w:hAnsi="Verdana"/>
          <w:w w:val="105"/>
        </w:rPr>
        <w:t>in</w:t>
      </w:r>
      <w:r w:rsidRPr="00882D84">
        <w:rPr>
          <w:rFonts w:ascii="Verdana" w:hAnsi="Verdana"/>
          <w:spacing w:val="-10"/>
          <w:w w:val="105"/>
        </w:rPr>
        <w:t xml:space="preserve"> </w:t>
      </w:r>
      <w:r w:rsidRPr="00882D84">
        <w:rPr>
          <w:rFonts w:ascii="Verdana" w:hAnsi="Verdana"/>
          <w:w w:val="105"/>
        </w:rPr>
        <w:t>a</w:t>
      </w:r>
      <w:r w:rsidRPr="00882D84">
        <w:rPr>
          <w:rFonts w:ascii="Verdana" w:hAnsi="Verdana"/>
          <w:spacing w:val="-9"/>
          <w:w w:val="105"/>
        </w:rPr>
        <w:t xml:space="preserve"> </w:t>
      </w:r>
      <w:r w:rsidRPr="00882D84">
        <w:rPr>
          <w:rFonts w:ascii="Verdana" w:hAnsi="Verdana"/>
          <w:w w:val="105"/>
        </w:rPr>
        <w:t>way</w:t>
      </w:r>
      <w:r w:rsidRPr="00882D84">
        <w:rPr>
          <w:rFonts w:ascii="Verdana" w:hAnsi="Verdana"/>
          <w:spacing w:val="-11"/>
          <w:w w:val="105"/>
        </w:rPr>
        <w:t xml:space="preserve"> </w:t>
      </w:r>
      <w:r w:rsidRPr="00882D84">
        <w:rPr>
          <w:rFonts w:ascii="Verdana" w:hAnsi="Verdana"/>
          <w:w w:val="105"/>
        </w:rPr>
        <w:t>that</w:t>
      </w:r>
      <w:r w:rsidRPr="00882D84">
        <w:rPr>
          <w:rFonts w:ascii="Verdana" w:hAnsi="Verdana"/>
          <w:spacing w:val="-12"/>
          <w:w w:val="105"/>
        </w:rPr>
        <w:t xml:space="preserve"> </w:t>
      </w:r>
      <w:r w:rsidRPr="00882D84">
        <w:rPr>
          <w:rFonts w:ascii="Verdana" w:hAnsi="Verdana"/>
          <w:w w:val="105"/>
        </w:rPr>
        <w:t>supports</w:t>
      </w:r>
      <w:r w:rsidRPr="00882D84">
        <w:rPr>
          <w:rFonts w:ascii="Verdana" w:hAnsi="Verdana"/>
          <w:spacing w:val="-10"/>
          <w:w w:val="105"/>
        </w:rPr>
        <w:t xml:space="preserve"> </w:t>
      </w:r>
      <w:r w:rsidRPr="00882D84">
        <w:rPr>
          <w:rFonts w:ascii="Verdana" w:hAnsi="Verdana"/>
          <w:w w:val="105"/>
        </w:rPr>
        <w:t>customer understanding, effective decision-making and good customer outcomes.</w:t>
      </w:r>
    </w:p>
    <w:p w:rsidR="00060505" w:rsidRPr="00882D84">
      <w:pPr>
        <w:pStyle w:val="BodyText"/>
        <w:spacing w:before="159" w:line="278" w:lineRule="auto"/>
        <w:rPr>
          <w:rFonts w:ascii="Verdana" w:hAnsi="Verdana"/>
        </w:rPr>
      </w:pPr>
      <w:r w:rsidRPr="00882D84">
        <w:rPr>
          <w:rFonts w:ascii="Verdana" w:hAnsi="Verdana"/>
          <w:spacing w:val="-2"/>
          <w:w w:val="105"/>
        </w:rPr>
        <w:t>We</w:t>
      </w:r>
      <w:r w:rsidRPr="00882D84">
        <w:rPr>
          <w:rFonts w:ascii="Verdana" w:hAnsi="Verdana"/>
          <w:spacing w:val="-8"/>
          <w:w w:val="105"/>
        </w:rPr>
        <w:t xml:space="preserve"> </w:t>
      </w:r>
      <w:r w:rsidRPr="00882D84">
        <w:rPr>
          <w:rFonts w:ascii="Verdana" w:hAnsi="Verdana"/>
          <w:spacing w:val="-2"/>
          <w:w w:val="105"/>
        </w:rPr>
        <w:t>are</w:t>
      </w:r>
      <w:r w:rsidRPr="00882D84">
        <w:rPr>
          <w:rFonts w:ascii="Verdana" w:hAnsi="Verdana"/>
          <w:spacing w:val="-8"/>
          <w:w w:val="105"/>
        </w:rPr>
        <w:t xml:space="preserve"> </w:t>
      </w:r>
      <w:r w:rsidRPr="00882D84">
        <w:rPr>
          <w:rFonts w:ascii="Verdana" w:hAnsi="Verdana"/>
          <w:spacing w:val="-2"/>
          <w:w w:val="105"/>
        </w:rPr>
        <w:t>grateful</w:t>
      </w:r>
      <w:r w:rsidRPr="00882D84">
        <w:rPr>
          <w:rFonts w:ascii="Verdana" w:hAnsi="Verdana"/>
          <w:spacing w:val="-9"/>
          <w:w w:val="105"/>
        </w:rPr>
        <w:t xml:space="preserve"> </w:t>
      </w:r>
      <w:r w:rsidRPr="00882D84">
        <w:rPr>
          <w:rFonts w:ascii="Verdana" w:hAnsi="Verdana"/>
          <w:spacing w:val="-2"/>
          <w:w w:val="105"/>
        </w:rPr>
        <w:t>for</w:t>
      </w:r>
      <w:r w:rsidRPr="00882D84">
        <w:rPr>
          <w:rFonts w:ascii="Verdana" w:hAnsi="Verdana"/>
          <w:spacing w:val="-8"/>
          <w:w w:val="105"/>
        </w:rPr>
        <w:t xml:space="preserve"> </w:t>
      </w:r>
      <w:r w:rsidRPr="00882D84">
        <w:rPr>
          <w:rFonts w:ascii="Verdana" w:hAnsi="Verdana"/>
          <w:spacing w:val="-2"/>
          <w:w w:val="105"/>
        </w:rPr>
        <w:t>the</w:t>
      </w:r>
      <w:r w:rsidRPr="00882D84">
        <w:rPr>
          <w:rFonts w:ascii="Verdana" w:hAnsi="Verdana"/>
          <w:spacing w:val="-8"/>
          <w:w w:val="105"/>
        </w:rPr>
        <w:t xml:space="preserve"> </w:t>
      </w:r>
      <w:r w:rsidRPr="00882D84">
        <w:rPr>
          <w:rFonts w:ascii="Verdana" w:hAnsi="Verdana"/>
          <w:spacing w:val="-2"/>
          <w:w w:val="105"/>
        </w:rPr>
        <w:t>opportunity</w:t>
      </w:r>
      <w:r w:rsidRPr="00882D84">
        <w:rPr>
          <w:rFonts w:ascii="Verdana" w:hAnsi="Verdana"/>
          <w:spacing w:val="-7"/>
          <w:w w:val="105"/>
        </w:rPr>
        <w:t xml:space="preserve"> </w:t>
      </w:r>
      <w:r w:rsidRPr="00882D84">
        <w:rPr>
          <w:rFonts w:ascii="Verdana" w:hAnsi="Verdana"/>
          <w:spacing w:val="-2"/>
          <w:w w:val="105"/>
        </w:rPr>
        <w:t>for</w:t>
      </w:r>
      <w:r w:rsidRPr="00882D84">
        <w:rPr>
          <w:rFonts w:ascii="Verdana" w:hAnsi="Verdana"/>
          <w:spacing w:val="-10"/>
          <w:w w:val="105"/>
        </w:rPr>
        <w:t xml:space="preserve"> </w:t>
      </w:r>
      <w:r w:rsidRPr="00882D84">
        <w:rPr>
          <w:rFonts w:ascii="Verdana" w:hAnsi="Verdana"/>
          <w:spacing w:val="-2"/>
          <w:w w:val="105"/>
        </w:rPr>
        <w:t>our</w:t>
      </w:r>
      <w:r w:rsidRPr="00882D84">
        <w:rPr>
          <w:rFonts w:ascii="Verdana" w:hAnsi="Verdana"/>
          <w:spacing w:val="-7"/>
          <w:w w:val="105"/>
        </w:rPr>
        <w:t xml:space="preserve"> </w:t>
      </w:r>
      <w:r w:rsidRPr="00882D84">
        <w:rPr>
          <w:rFonts w:ascii="Verdana" w:hAnsi="Verdana"/>
          <w:spacing w:val="-2"/>
          <w:w w:val="105"/>
        </w:rPr>
        <w:t>CEO,</w:t>
      </w:r>
      <w:r w:rsidRPr="00882D84">
        <w:rPr>
          <w:rFonts w:ascii="Verdana" w:hAnsi="Verdana"/>
          <w:spacing w:val="-6"/>
          <w:w w:val="105"/>
        </w:rPr>
        <w:t xml:space="preserve"> </w:t>
      </w:r>
      <w:r w:rsidRPr="00882D84">
        <w:rPr>
          <w:rFonts w:ascii="Verdana" w:hAnsi="Verdana"/>
          <w:spacing w:val="-2"/>
          <w:w w:val="105"/>
        </w:rPr>
        <w:t>Mark</w:t>
      </w:r>
      <w:r w:rsidRPr="00882D84">
        <w:rPr>
          <w:rFonts w:ascii="Verdana" w:hAnsi="Verdana"/>
          <w:spacing w:val="-8"/>
          <w:w w:val="105"/>
        </w:rPr>
        <w:t xml:space="preserve"> </w:t>
      </w:r>
      <w:r w:rsidRPr="00882D84">
        <w:rPr>
          <w:rFonts w:ascii="Verdana" w:hAnsi="Verdana"/>
          <w:spacing w:val="-2"/>
          <w:w w:val="105"/>
        </w:rPr>
        <w:t>Bailie</w:t>
      </w:r>
      <w:r w:rsidRPr="00882D84">
        <w:rPr>
          <w:rFonts w:ascii="Verdana" w:hAnsi="Verdana"/>
          <w:spacing w:val="-7"/>
          <w:w w:val="105"/>
        </w:rPr>
        <w:t xml:space="preserve"> </w:t>
      </w:r>
      <w:r w:rsidRPr="00882D84">
        <w:rPr>
          <w:rFonts w:ascii="Verdana" w:hAnsi="Verdana"/>
          <w:spacing w:val="-2"/>
          <w:w w:val="105"/>
        </w:rPr>
        <w:t>to</w:t>
      </w:r>
      <w:r w:rsidRPr="00882D84">
        <w:rPr>
          <w:rFonts w:ascii="Verdana" w:hAnsi="Verdana"/>
          <w:spacing w:val="-9"/>
          <w:w w:val="105"/>
        </w:rPr>
        <w:t xml:space="preserve"> </w:t>
      </w:r>
      <w:r w:rsidRPr="00882D84">
        <w:rPr>
          <w:rFonts w:ascii="Verdana" w:hAnsi="Verdana"/>
          <w:spacing w:val="-2"/>
          <w:w w:val="105"/>
        </w:rPr>
        <w:t>appear</w:t>
      </w:r>
      <w:r w:rsidRPr="00882D84">
        <w:rPr>
          <w:rFonts w:ascii="Verdana" w:hAnsi="Verdana"/>
          <w:spacing w:val="-9"/>
          <w:w w:val="105"/>
        </w:rPr>
        <w:t xml:space="preserve"> </w:t>
      </w:r>
      <w:r w:rsidRPr="00882D84">
        <w:rPr>
          <w:rFonts w:ascii="Verdana" w:hAnsi="Verdana"/>
          <w:spacing w:val="-2"/>
          <w:w w:val="105"/>
        </w:rPr>
        <w:t>before</w:t>
      </w:r>
      <w:r w:rsidRPr="00882D84">
        <w:rPr>
          <w:rFonts w:ascii="Verdana" w:hAnsi="Verdana"/>
          <w:spacing w:val="-8"/>
          <w:w w:val="105"/>
        </w:rPr>
        <w:t xml:space="preserve"> </w:t>
      </w:r>
      <w:r w:rsidRPr="00882D84">
        <w:rPr>
          <w:rFonts w:ascii="Verdana" w:hAnsi="Verdana"/>
          <w:spacing w:val="-2"/>
          <w:w w:val="105"/>
        </w:rPr>
        <w:t xml:space="preserve">the </w:t>
      </w:r>
      <w:r w:rsidRPr="00882D84">
        <w:rPr>
          <w:rFonts w:ascii="Verdana" w:hAnsi="Verdana"/>
          <w:w w:val="105"/>
        </w:rPr>
        <w:t>Committee to provide oral evidence on 15 July.</w:t>
      </w:r>
    </w:p>
    <w:p w:rsidR="00060505" w:rsidRPr="00882D84">
      <w:pPr>
        <w:pStyle w:val="BodyText"/>
        <w:ind w:left="0"/>
        <w:rPr>
          <w:rFonts w:ascii="Verdana" w:hAnsi="Verdana"/>
        </w:rPr>
      </w:pPr>
    </w:p>
    <w:p w:rsidR="00882D84" w:rsidP="00882D84">
      <w:pPr>
        <w:spacing w:before="78"/>
        <w:rPr>
          <w:rFonts w:ascii="Verdana" w:hAnsi="Verdana"/>
          <w:b/>
          <w:w w:val="105"/>
          <w:sz w:val="24"/>
        </w:rPr>
      </w:pPr>
    </w:p>
    <w:p w:rsidR="00882D84" w:rsidP="00882D84">
      <w:pPr>
        <w:spacing w:before="78"/>
        <w:rPr>
          <w:rFonts w:ascii="Verdana" w:hAnsi="Verdana"/>
          <w:b/>
          <w:w w:val="105"/>
          <w:sz w:val="24"/>
        </w:rPr>
      </w:pPr>
    </w:p>
    <w:p w:rsidR="00882D84" w:rsidP="00882D84">
      <w:pPr>
        <w:spacing w:before="78"/>
        <w:rPr>
          <w:rFonts w:ascii="Verdana" w:hAnsi="Verdana"/>
          <w:b/>
          <w:w w:val="105"/>
          <w:sz w:val="24"/>
        </w:rPr>
      </w:pPr>
    </w:p>
    <w:p w:rsidR="00882D84" w:rsidP="00882D84">
      <w:pPr>
        <w:spacing w:before="78"/>
        <w:rPr>
          <w:rFonts w:ascii="Verdana" w:hAnsi="Verdana"/>
          <w:b/>
          <w:w w:val="105"/>
          <w:sz w:val="24"/>
        </w:rPr>
      </w:pPr>
    </w:p>
    <w:p w:rsidR="00882D84" w:rsidP="00882D84">
      <w:pPr>
        <w:spacing w:before="78"/>
        <w:rPr>
          <w:rFonts w:ascii="Verdana" w:hAnsi="Verdana"/>
          <w:b/>
          <w:w w:val="105"/>
          <w:sz w:val="24"/>
        </w:rPr>
      </w:pPr>
    </w:p>
    <w:p w:rsidR="00060505" w:rsidRPr="00882D84" w:rsidP="00882D84">
      <w:pPr>
        <w:spacing w:before="78"/>
        <w:rPr>
          <w:rFonts w:ascii="Verdana" w:hAnsi="Verdana"/>
          <w:b/>
          <w:sz w:val="24"/>
        </w:rPr>
      </w:pPr>
      <w:r w:rsidRPr="00882D84">
        <w:rPr>
          <w:rFonts w:ascii="Verdana" w:hAnsi="Verdana"/>
          <w:b/>
          <w:w w:val="105"/>
          <w:sz w:val="24"/>
        </w:rPr>
        <w:t>Key</w:t>
      </w:r>
      <w:r w:rsidRPr="00882D84">
        <w:rPr>
          <w:rFonts w:ascii="Verdana" w:hAnsi="Verdana"/>
          <w:b/>
          <w:spacing w:val="-3"/>
          <w:w w:val="105"/>
          <w:sz w:val="24"/>
        </w:rPr>
        <w:t xml:space="preserve"> </w:t>
      </w:r>
      <w:r w:rsidRPr="00882D84">
        <w:rPr>
          <w:rFonts w:ascii="Verdana" w:hAnsi="Verdana"/>
          <w:b/>
          <w:spacing w:val="-2"/>
          <w:w w:val="115"/>
          <w:sz w:val="24"/>
        </w:rPr>
        <w:t>messages</w:t>
      </w:r>
    </w:p>
    <w:p w:rsidR="00060505" w:rsidRPr="00882D84">
      <w:pPr>
        <w:pStyle w:val="BodyText"/>
        <w:spacing w:before="207" w:line="278" w:lineRule="auto"/>
        <w:rPr>
          <w:rFonts w:ascii="Verdana" w:hAnsi="Verdana"/>
        </w:rPr>
      </w:pPr>
      <w:r w:rsidRPr="00882D84">
        <w:rPr>
          <w:rFonts w:ascii="Verdana" w:hAnsi="Verdana"/>
          <w:w w:val="105"/>
        </w:rPr>
        <w:t>Comparison websites are</w:t>
      </w:r>
      <w:r w:rsidRPr="00882D84">
        <w:rPr>
          <w:rFonts w:ascii="Verdana" w:hAnsi="Verdana"/>
          <w:spacing w:val="-1"/>
          <w:w w:val="105"/>
        </w:rPr>
        <w:t xml:space="preserve"> </w:t>
      </w:r>
      <w:r w:rsidRPr="00882D84">
        <w:rPr>
          <w:rFonts w:ascii="Verdana" w:hAnsi="Verdana"/>
          <w:w w:val="105"/>
        </w:rPr>
        <w:t>a</w:t>
      </w:r>
      <w:r w:rsidRPr="00882D84">
        <w:rPr>
          <w:rFonts w:ascii="Verdana" w:hAnsi="Verdana"/>
          <w:spacing w:val="-2"/>
          <w:w w:val="105"/>
        </w:rPr>
        <w:t xml:space="preserve"> </w:t>
      </w:r>
      <w:r w:rsidRPr="00882D84">
        <w:rPr>
          <w:rFonts w:ascii="Verdana" w:hAnsi="Verdana"/>
          <w:w w:val="105"/>
        </w:rPr>
        <w:t>force</w:t>
      </w:r>
      <w:r w:rsidRPr="00882D84">
        <w:rPr>
          <w:rFonts w:ascii="Verdana" w:hAnsi="Verdana"/>
          <w:spacing w:val="-1"/>
          <w:w w:val="105"/>
        </w:rPr>
        <w:t xml:space="preserve"> </w:t>
      </w:r>
      <w:r w:rsidRPr="00882D84">
        <w:rPr>
          <w:rFonts w:ascii="Verdana" w:hAnsi="Verdana"/>
          <w:w w:val="105"/>
        </w:rPr>
        <w:t>for</w:t>
      </w:r>
      <w:r w:rsidRPr="00882D84">
        <w:rPr>
          <w:rFonts w:ascii="Verdana" w:hAnsi="Verdana"/>
          <w:spacing w:val="-2"/>
          <w:w w:val="105"/>
        </w:rPr>
        <w:t xml:space="preserve"> </w:t>
      </w:r>
      <w:r w:rsidRPr="00882D84">
        <w:rPr>
          <w:rFonts w:ascii="Verdana" w:hAnsi="Verdana"/>
          <w:w w:val="105"/>
        </w:rPr>
        <w:t>good</w:t>
      </w:r>
      <w:r w:rsidRPr="00882D84">
        <w:rPr>
          <w:rFonts w:ascii="Verdana" w:hAnsi="Verdana"/>
          <w:spacing w:val="-1"/>
          <w:w w:val="105"/>
        </w:rPr>
        <w:t xml:space="preserve"> </w:t>
      </w:r>
      <w:r w:rsidRPr="00882D84">
        <w:rPr>
          <w:rFonts w:ascii="Verdana" w:hAnsi="Verdana"/>
          <w:w w:val="105"/>
        </w:rPr>
        <w:t>in the</w:t>
      </w:r>
      <w:r w:rsidRPr="00882D84">
        <w:rPr>
          <w:rFonts w:ascii="Verdana" w:hAnsi="Verdana"/>
          <w:spacing w:val="-1"/>
          <w:w w:val="105"/>
        </w:rPr>
        <w:t xml:space="preserve"> </w:t>
      </w:r>
      <w:r w:rsidRPr="00882D84">
        <w:rPr>
          <w:rFonts w:ascii="Verdana" w:hAnsi="Verdana"/>
          <w:w w:val="105"/>
        </w:rPr>
        <w:t>consumer</w:t>
      </w:r>
      <w:r w:rsidRPr="00882D84">
        <w:rPr>
          <w:rFonts w:ascii="Verdana" w:hAnsi="Verdana"/>
          <w:spacing w:val="-3"/>
          <w:w w:val="105"/>
        </w:rPr>
        <w:t xml:space="preserve"> </w:t>
      </w:r>
      <w:r w:rsidRPr="00882D84">
        <w:rPr>
          <w:rFonts w:ascii="Verdana" w:hAnsi="Verdana"/>
          <w:w w:val="105"/>
        </w:rPr>
        <w:t>insurance market. CtM</w:t>
      </w:r>
      <w:r w:rsidRPr="00882D84">
        <w:rPr>
          <w:rFonts w:ascii="Verdana" w:hAnsi="Verdana"/>
          <w:spacing w:val="-2"/>
          <w:w w:val="105"/>
        </w:rPr>
        <w:t xml:space="preserve"> </w:t>
      </w:r>
      <w:r w:rsidRPr="00882D84">
        <w:rPr>
          <w:rFonts w:ascii="Verdana" w:hAnsi="Verdana"/>
          <w:w w:val="105"/>
        </w:rPr>
        <w:t>helps consumers access choice, competition and value at scale.</w:t>
      </w:r>
    </w:p>
    <w:p w:rsidR="00060505" w:rsidRPr="00882D84">
      <w:pPr>
        <w:pStyle w:val="BodyText"/>
        <w:spacing w:before="160" w:line="278" w:lineRule="auto"/>
        <w:rPr>
          <w:rFonts w:ascii="Verdana" w:hAnsi="Verdana"/>
        </w:rPr>
      </w:pPr>
      <w:r w:rsidRPr="00882D84">
        <w:rPr>
          <w:rFonts w:ascii="Verdana" w:hAnsi="Verdana"/>
          <w:w w:val="105"/>
        </w:rPr>
        <w:t>We fully agree that price alone is an insufficient proxy for value. Consumers need to be able</w:t>
      </w:r>
      <w:r w:rsidRPr="00882D84">
        <w:rPr>
          <w:rFonts w:ascii="Verdana" w:hAnsi="Verdana"/>
          <w:spacing w:val="-9"/>
          <w:w w:val="105"/>
        </w:rPr>
        <w:t xml:space="preserve"> </w:t>
      </w:r>
      <w:r w:rsidRPr="00882D84">
        <w:rPr>
          <w:rFonts w:ascii="Verdana" w:hAnsi="Verdana"/>
          <w:w w:val="105"/>
        </w:rPr>
        <w:t>to</w:t>
      </w:r>
      <w:r w:rsidRPr="00882D84">
        <w:rPr>
          <w:rFonts w:ascii="Verdana" w:hAnsi="Verdana"/>
          <w:spacing w:val="-10"/>
          <w:w w:val="105"/>
        </w:rPr>
        <w:t xml:space="preserve"> </w:t>
      </w:r>
      <w:r w:rsidRPr="00882D84">
        <w:rPr>
          <w:rFonts w:ascii="Verdana" w:hAnsi="Verdana"/>
          <w:w w:val="105"/>
        </w:rPr>
        <w:t>understand</w:t>
      </w:r>
      <w:r w:rsidRPr="00882D84">
        <w:rPr>
          <w:rFonts w:ascii="Verdana" w:hAnsi="Verdana"/>
          <w:spacing w:val="-8"/>
          <w:w w:val="105"/>
        </w:rPr>
        <w:t xml:space="preserve"> </w:t>
      </w:r>
      <w:r w:rsidRPr="00882D84">
        <w:rPr>
          <w:rFonts w:ascii="Verdana" w:hAnsi="Verdana"/>
          <w:w w:val="105"/>
        </w:rPr>
        <w:t>the</w:t>
      </w:r>
      <w:r w:rsidRPr="00882D84">
        <w:rPr>
          <w:rFonts w:ascii="Verdana" w:hAnsi="Verdana"/>
          <w:spacing w:val="-7"/>
          <w:w w:val="105"/>
        </w:rPr>
        <w:t xml:space="preserve"> </w:t>
      </w:r>
      <w:r w:rsidRPr="00882D84">
        <w:rPr>
          <w:rFonts w:ascii="Verdana" w:hAnsi="Verdana"/>
          <w:w w:val="105"/>
        </w:rPr>
        <w:t>quality</w:t>
      </w:r>
      <w:r w:rsidRPr="00882D84">
        <w:rPr>
          <w:rFonts w:ascii="Verdana" w:hAnsi="Verdana"/>
          <w:spacing w:val="-10"/>
          <w:w w:val="105"/>
        </w:rPr>
        <w:t xml:space="preserve"> </w:t>
      </w:r>
      <w:r w:rsidRPr="00882D84">
        <w:rPr>
          <w:rFonts w:ascii="Verdana" w:hAnsi="Verdana"/>
          <w:w w:val="105"/>
        </w:rPr>
        <w:t>of</w:t>
      </w:r>
      <w:r w:rsidRPr="00882D84">
        <w:rPr>
          <w:rFonts w:ascii="Verdana" w:hAnsi="Verdana"/>
          <w:spacing w:val="-7"/>
          <w:w w:val="105"/>
        </w:rPr>
        <w:t xml:space="preserve"> </w:t>
      </w:r>
      <w:r w:rsidRPr="00882D84">
        <w:rPr>
          <w:rFonts w:ascii="Verdana" w:hAnsi="Verdana"/>
          <w:w w:val="105"/>
        </w:rPr>
        <w:t>cover,</w:t>
      </w:r>
      <w:r w:rsidRPr="00882D84">
        <w:rPr>
          <w:rFonts w:ascii="Verdana" w:hAnsi="Verdana"/>
          <w:spacing w:val="-8"/>
          <w:w w:val="105"/>
        </w:rPr>
        <w:t xml:space="preserve"> </w:t>
      </w:r>
      <w:r w:rsidRPr="00882D84">
        <w:rPr>
          <w:rFonts w:ascii="Verdana" w:hAnsi="Verdana"/>
          <w:w w:val="105"/>
        </w:rPr>
        <w:t>key</w:t>
      </w:r>
      <w:r w:rsidRPr="00882D84">
        <w:rPr>
          <w:rFonts w:ascii="Verdana" w:hAnsi="Verdana"/>
          <w:spacing w:val="-9"/>
          <w:w w:val="105"/>
        </w:rPr>
        <w:t xml:space="preserve"> </w:t>
      </w:r>
      <w:r w:rsidRPr="00882D84">
        <w:rPr>
          <w:rFonts w:ascii="Verdana" w:hAnsi="Verdana"/>
          <w:w w:val="105"/>
        </w:rPr>
        <w:t>limitations</w:t>
      </w:r>
      <w:r w:rsidRPr="00882D84">
        <w:rPr>
          <w:rFonts w:ascii="Verdana" w:hAnsi="Verdana"/>
          <w:spacing w:val="-9"/>
          <w:w w:val="105"/>
        </w:rPr>
        <w:t xml:space="preserve"> </w:t>
      </w:r>
      <w:r w:rsidRPr="00882D84">
        <w:rPr>
          <w:rFonts w:ascii="Verdana" w:hAnsi="Verdana"/>
          <w:w w:val="105"/>
        </w:rPr>
        <w:t>and,</w:t>
      </w:r>
      <w:r w:rsidRPr="00882D84">
        <w:rPr>
          <w:rFonts w:ascii="Verdana" w:hAnsi="Verdana"/>
          <w:spacing w:val="-9"/>
          <w:w w:val="105"/>
        </w:rPr>
        <w:t xml:space="preserve"> </w:t>
      </w:r>
      <w:r w:rsidRPr="00882D84">
        <w:rPr>
          <w:rFonts w:ascii="Verdana" w:hAnsi="Verdana"/>
          <w:w w:val="105"/>
        </w:rPr>
        <w:t>where</w:t>
      </w:r>
      <w:r w:rsidRPr="00882D84">
        <w:rPr>
          <w:rFonts w:ascii="Verdana" w:hAnsi="Verdana"/>
          <w:spacing w:val="-9"/>
          <w:w w:val="105"/>
        </w:rPr>
        <w:t xml:space="preserve"> </w:t>
      </w:r>
      <w:r w:rsidRPr="00882D84">
        <w:rPr>
          <w:rFonts w:ascii="Verdana" w:hAnsi="Verdana"/>
          <w:w w:val="105"/>
        </w:rPr>
        <w:t>available,</w:t>
      </w:r>
      <w:r w:rsidRPr="00882D84">
        <w:rPr>
          <w:rFonts w:ascii="Verdana" w:hAnsi="Verdana"/>
          <w:spacing w:val="-8"/>
          <w:w w:val="105"/>
        </w:rPr>
        <w:t xml:space="preserve"> </w:t>
      </w:r>
      <w:r w:rsidRPr="00882D84">
        <w:rPr>
          <w:rFonts w:ascii="Verdana" w:hAnsi="Verdana"/>
          <w:w w:val="105"/>
        </w:rPr>
        <w:t>evidence</w:t>
      </w:r>
      <w:r w:rsidRPr="00882D84">
        <w:rPr>
          <w:rFonts w:ascii="Verdana" w:hAnsi="Verdana"/>
          <w:spacing w:val="-9"/>
          <w:w w:val="105"/>
        </w:rPr>
        <w:t xml:space="preserve"> </w:t>
      </w:r>
      <w:r w:rsidRPr="00882D84">
        <w:rPr>
          <w:rFonts w:ascii="Verdana" w:hAnsi="Verdana"/>
          <w:w w:val="105"/>
        </w:rPr>
        <w:t>of claims performance.</w:t>
      </w:r>
    </w:p>
    <w:p w:rsidR="00060505" w:rsidRPr="00882D84" w:rsidP="00882D84">
      <w:pPr>
        <w:pStyle w:val="BodyText"/>
        <w:spacing w:before="157" w:line="278" w:lineRule="auto"/>
        <w:rPr>
          <w:rFonts w:ascii="Verdana" w:hAnsi="Verdana"/>
        </w:rPr>
      </w:pPr>
      <w:r w:rsidRPr="00882D84">
        <w:rPr>
          <w:rFonts w:ascii="Verdana" w:hAnsi="Verdana"/>
          <w:w w:val="105"/>
        </w:rPr>
        <w:t>CtM</w:t>
      </w:r>
      <w:r w:rsidRPr="00882D84">
        <w:rPr>
          <w:rFonts w:ascii="Verdana" w:hAnsi="Verdana"/>
          <w:spacing w:val="-6"/>
          <w:w w:val="105"/>
        </w:rPr>
        <w:t xml:space="preserve"> </w:t>
      </w:r>
      <w:r w:rsidRPr="00882D84">
        <w:rPr>
          <w:rFonts w:ascii="Verdana" w:hAnsi="Verdana"/>
          <w:w w:val="105"/>
        </w:rPr>
        <w:t>is</w:t>
      </w:r>
      <w:r w:rsidRPr="00882D84">
        <w:rPr>
          <w:rFonts w:ascii="Verdana" w:hAnsi="Verdana"/>
          <w:spacing w:val="-4"/>
          <w:w w:val="105"/>
        </w:rPr>
        <w:t xml:space="preserve"> </w:t>
      </w:r>
      <w:r w:rsidRPr="00882D84">
        <w:rPr>
          <w:rFonts w:ascii="Verdana" w:hAnsi="Verdana"/>
          <w:w w:val="105"/>
        </w:rPr>
        <w:t>a</w:t>
      </w:r>
      <w:r w:rsidRPr="00882D84">
        <w:rPr>
          <w:rFonts w:ascii="Verdana" w:hAnsi="Verdana"/>
          <w:spacing w:val="-6"/>
          <w:w w:val="105"/>
        </w:rPr>
        <w:t xml:space="preserve"> </w:t>
      </w:r>
      <w:r w:rsidRPr="00882D84">
        <w:rPr>
          <w:rFonts w:ascii="Verdana" w:hAnsi="Verdana"/>
          <w:w w:val="105"/>
        </w:rPr>
        <w:t>regulated</w:t>
      </w:r>
      <w:r w:rsidRPr="00882D84">
        <w:rPr>
          <w:rFonts w:ascii="Verdana" w:hAnsi="Verdana"/>
          <w:spacing w:val="-6"/>
          <w:w w:val="105"/>
        </w:rPr>
        <w:t xml:space="preserve"> </w:t>
      </w:r>
      <w:r w:rsidRPr="00882D84">
        <w:rPr>
          <w:rFonts w:ascii="Verdana" w:hAnsi="Verdana"/>
          <w:w w:val="105"/>
        </w:rPr>
        <w:t>firm</w:t>
      </w:r>
      <w:r w:rsidRPr="00882D84">
        <w:rPr>
          <w:rFonts w:ascii="Verdana" w:hAnsi="Verdana"/>
          <w:spacing w:val="-4"/>
          <w:w w:val="105"/>
        </w:rPr>
        <w:t xml:space="preserve"> </w:t>
      </w:r>
      <w:r w:rsidRPr="00882D84">
        <w:rPr>
          <w:rFonts w:ascii="Verdana" w:hAnsi="Verdana"/>
          <w:w w:val="105"/>
        </w:rPr>
        <w:t>and</w:t>
      </w:r>
      <w:r w:rsidRPr="00882D84">
        <w:rPr>
          <w:rFonts w:ascii="Verdana" w:hAnsi="Verdana"/>
          <w:spacing w:val="-6"/>
          <w:w w:val="105"/>
        </w:rPr>
        <w:t xml:space="preserve"> </w:t>
      </w:r>
      <w:r w:rsidRPr="00882D84">
        <w:rPr>
          <w:rFonts w:ascii="Verdana" w:hAnsi="Verdana"/>
          <w:w w:val="105"/>
        </w:rPr>
        <w:t>seeks</w:t>
      </w:r>
      <w:r w:rsidRPr="00882D84">
        <w:rPr>
          <w:rFonts w:ascii="Verdana" w:hAnsi="Verdana"/>
          <w:spacing w:val="-4"/>
          <w:w w:val="105"/>
        </w:rPr>
        <w:t xml:space="preserve"> </w:t>
      </w:r>
      <w:r w:rsidRPr="00882D84">
        <w:rPr>
          <w:rFonts w:ascii="Verdana" w:hAnsi="Verdana"/>
          <w:w w:val="105"/>
        </w:rPr>
        <w:t>to</w:t>
      </w:r>
      <w:r w:rsidRPr="00882D84">
        <w:rPr>
          <w:rFonts w:ascii="Verdana" w:hAnsi="Verdana"/>
          <w:spacing w:val="-6"/>
          <w:w w:val="105"/>
        </w:rPr>
        <w:t xml:space="preserve"> </w:t>
      </w:r>
      <w:r w:rsidRPr="00882D84">
        <w:rPr>
          <w:rFonts w:ascii="Verdana" w:hAnsi="Verdana"/>
          <w:w w:val="105"/>
        </w:rPr>
        <w:t>act</w:t>
      </w:r>
      <w:r w:rsidRPr="00882D84">
        <w:rPr>
          <w:rFonts w:ascii="Verdana" w:hAnsi="Verdana"/>
          <w:spacing w:val="-7"/>
          <w:w w:val="105"/>
        </w:rPr>
        <w:t xml:space="preserve"> </w:t>
      </w:r>
      <w:r w:rsidRPr="00882D84">
        <w:rPr>
          <w:rFonts w:ascii="Verdana" w:hAnsi="Verdana"/>
          <w:w w:val="105"/>
        </w:rPr>
        <w:t>as</w:t>
      </w:r>
      <w:r w:rsidRPr="00882D84">
        <w:rPr>
          <w:rFonts w:ascii="Verdana" w:hAnsi="Verdana"/>
          <w:spacing w:val="-5"/>
          <w:w w:val="105"/>
        </w:rPr>
        <w:t xml:space="preserve"> </w:t>
      </w:r>
      <w:r w:rsidRPr="00882D84">
        <w:rPr>
          <w:rFonts w:ascii="Verdana" w:hAnsi="Verdana"/>
          <w:w w:val="105"/>
        </w:rPr>
        <w:t>an</w:t>
      </w:r>
      <w:r w:rsidRPr="00882D84">
        <w:rPr>
          <w:rFonts w:ascii="Verdana" w:hAnsi="Verdana"/>
          <w:spacing w:val="-4"/>
          <w:w w:val="105"/>
        </w:rPr>
        <w:t xml:space="preserve"> </w:t>
      </w:r>
      <w:r w:rsidRPr="00882D84">
        <w:rPr>
          <w:rFonts w:ascii="Verdana" w:hAnsi="Verdana"/>
          <w:w w:val="105"/>
        </w:rPr>
        <w:t>active</w:t>
      </w:r>
      <w:r w:rsidRPr="00882D84">
        <w:rPr>
          <w:rFonts w:ascii="Verdana" w:hAnsi="Verdana"/>
          <w:spacing w:val="-3"/>
          <w:w w:val="105"/>
        </w:rPr>
        <w:t xml:space="preserve"> </w:t>
      </w:r>
      <w:r w:rsidRPr="00882D84">
        <w:rPr>
          <w:rFonts w:ascii="Verdana" w:hAnsi="Verdana"/>
          <w:w w:val="105"/>
        </w:rPr>
        <w:t>control</w:t>
      </w:r>
      <w:r w:rsidRPr="00882D84">
        <w:rPr>
          <w:rFonts w:ascii="Verdana" w:hAnsi="Verdana"/>
          <w:spacing w:val="-3"/>
          <w:w w:val="105"/>
        </w:rPr>
        <w:t xml:space="preserve"> </w:t>
      </w:r>
      <w:r w:rsidRPr="00882D84">
        <w:rPr>
          <w:rFonts w:ascii="Verdana" w:hAnsi="Verdana"/>
          <w:w w:val="105"/>
        </w:rPr>
        <w:t>point</w:t>
      </w:r>
      <w:r w:rsidRPr="00882D84">
        <w:rPr>
          <w:rFonts w:ascii="Verdana" w:hAnsi="Verdana"/>
          <w:spacing w:val="-4"/>
          <w:w w:val="105"/>
        </w:rPr>
        <w:t xml:space="preserve"> </w:t>
      </w:r>
      <w:r w:rsidRPr="00882D84">
        <w:rPr>
          <w:rFonts w:ascii="Verdana" w:hAnsi="Verdana"/>
          <w:w w:val="105"/>
        </w:rPr>
        <w:t>in</w:t>
      </w:r>
      <w:r w:rsidRPr="00882D84">
        <w:rPr>
          <w:rFonts w:ascii="Verdana" w:hAnsi="Verdana"/>
          <w:spacing w:val="-7"/>
          <w:w w:val="105"/>
        </w:rPr>
        <w:t xml:space="preserve"> </w:t>
      </w:r>
      <w:r w:rsidRPr="00882D84">
        <w:rPr>
          <w:rFonts w:ascii="Verdana" w:hAnsi="Verdana"/>
          <w:w w:val="105"/>
        </w:rPr>
        <w:t>the</w:t>
      </w:r>
      <w:r w:rsidRPr="00882D84">
        <w:rPr>
          <w:rFonts w:ascii="Verdana" w:hAnsi="Verdana"/>
          <w:spacing w:val="-5"/>
          <w:w w:val="105"/>
        </w:rPr>
        <w:t xml:space="preserve"> </w:t>
      </w:r>
      <w:r w:rsidRPr="00882D84">
        <w:rPr>
          <w:rFonts w:ascii="Verdana" w:hAnsi="Verdana"/>
          <w:w w:val="105"/>
        </w:rPr>
        <w:t>distribution chain, not simply as a price-driven marketplace. We present products that meet</w:t>
      </w:r>
      <w:r w:rsidR="00882D84">
        <w:rPr>
          <w:rFonts w:ascii="Verdana" w:hAnsi="Verdana"/>
        </w:rPr>
        <w:t xml:space="preserve"> </w:t>
      </w:r>
      <w:r w:rsidRPr="00882D84">
        <w:rPr>
          <w:rFonts w:ascii="Verdana" w:hAnsi="Verdana"/>
          <w:w w:val="105"/>
        </w:rPr>
        <w:t>customers’</w:t>
      </w:r>
      <w:r w:rsidRPr="00882D84">
        <w:rPr>
          <w:rFonts w:ascii="Verdana" w:hAnsi="Verdana"/>
          <w:spacing w:val="-4"/>
          <w:w w:val="105"/>
        </w:rPr>
        <w:t xml:space="preserve"> </w:t>
      </w:r>
      <w:r w:rsidRPr="00882D84">
        <w:rPr>
          <w:rFonts w:ascii="Verdana" w:hAnsi="Verdana"/>
          <w:w w:val="105"/>
        </w:rPr>
        <w:t>stated criteria, surface the best-priced products available to them, and use product governance, fair value assessment and targeted interventions to help prevent foreseeable</w:t>
      </w:r>
      <w:r w:rsidRPr="00882D84">
        <w:rPr>
          <w:rFonts w:ascii="Verdana" w:hAnsi="Verdana"/>
          <w:spacing w:val="-7"/>
          <w:w w:val="105"/>
        </w:rPr>
        <w:t xml:space="preserve"> </w:t>
      </w:r>
      <w:r w:rsidRPr="00882D84">
        <w:rPr>
          <w:rFonts w:ascii="Verdana" w:hAnsi="Verdana"/>
          <w:w w:val="105"/>
        </w:rPr>
        <w:t>harm.</w:t>
      </w:r>
      <w:r w:rsidRPr="00882D84">
        <w:rPr>
          <w:rFonts w:ascii="Verdana" w:hAnsi="Verdana"/>
          <w:spacing w:val="-6"/>
          <w:w w:val="105"/>
        </w:rPr>
        <w:t xml:space="preserve"> </w:t>
      </w:r>
      <w:r w:rsidRPr="00882D84">
        <w:rPr>
          <w:rFonts w:ascii="Verdana" w:hAnsi="Verdana"/>
          <w:w w:val="105"/>
        </w:rPr>
        <w:t>Where</w:t>
      </w:r>
      <w:r w:rsidRPr="00882D84">
        <w:rPr>
          <w:rFonts w:ascii="Verdana" w:hAnsi="Verdana"/>
          <w:spacing w:val="-7"/>
          <w:w w:val="105"/>
        </w:rPr>
        <w:t xml:space="preserve"> </w:t>
      </w:r>
      <w:r w:rsidRPr="00882D84">
        <w:rPr>
          <w:rFonts w:ascii="Verdana" w:hAnsi="Verdana"/>
          <w:w w:val="105"/>
        </w:rPr>
        <w:t>products</w:t>
      </w:r>
      <w:r w:rsidRPr="00882D84">
        <w:rPr>
          <w:rFonts w:ascii="Verdana" w:hAnsi="Verdana"/>
          <w:spacing w:val="-7"/>
          <w:w w:val="105"/>
        </w:rPr>
        <w:t xml:space="preserve"> </w:t>
      </w:r>
      <w:r w:rsidRPr="00882D84">
        <w:rPr>
          <w:rFonts w:ascii="Verdana" w:hAnsi="Verdana"/>
          <w:w w:val="105"/>
        </w:rPr>
        <w:t>or</w:t>
      </w:r>
      <w:r w:rsidRPr="00882D84">
        <w:rPr>
          <w:rFonts w:ascii="Verdana" w:hAnsi="Verdana"/>
          <w:spacing w:val="-6"/>
          <w:w w:val="105"/>
        </w:rPr>
        <w:t xml:space="preserve"> </w:t>
      </w:r>
      <w:r w:rsidRPr="00882D84">
        <w:rPr>
          <w:rFonts w:ascii="Verdana" w:hAnsi="Verdana"/>
          <w:w w:val="105"/>
        </w:rPr>
        <w:t>customer</w:t>
      </w:r>
      <w:r w:rsidRPr="00882D84">
        <w:rPr>
          <w:rFonts w:ascii="Verdana" w:hAnsi="Verdana"/>
          <w:spacing w:val="-8"/>
          <w:w w:val="105"/>
        </w:rPr>
        <w:t xml:space="preserve"> </w:t>
      </w:r>
      <w:r w:rsidRPr="00882D84">
        <w:rPr>
          <w:rFonts w:ascii="Verdana" w:hAnsi="Verdana"/>
          <w:w w:val="105"/>
        </w:rPr>
        <w:t>journeys</w:t>
      </w:r>
      <w:r w:rsidRPr="00882D84">
        <w:rPr>
          <w:rFonts w:ascii="Verdana" w:hAnsi="Verdana"/>
          <w:spacing w:val="-6"/>
          <w:w w:val="105"/>
        </w:rPr>
        <w:t xml:space="preserve"> </w:t>
      </w:r>
      <w:r w:rsidRPr="00882D84">
        <w:rPr>
          <w:rFonts w:ascii="Verdana" w:hAnsi="Verdana"/>
          <w:w w:val="105"/>
        </w:rPr>
        <w:t>do</w:t>
      </w:r>
      <w:r w:rsidRPr="00882D84">
        <w:rPr>
          <w:rFonts w:ascii="Verdana" w:hAnsi="Verdana"/>
          <w:spacing w:val="-8"/>
          <w:w w:val="105"/>
        </w:rPr>
        <w:t xml:space="preserve"> </w:t>
      </w:r>
      <w:r w:rsidRPr="00882D84">
        <w:rPr>
          <w:rFonts w:ascii="Verdana" w:hAnsi="Verdana"/>
          <w:w w:val="105"/>
        </w:rPr>
        <w:t>not</w:t>
      </w:r>
      <w:r w:rsidRPr="00882D84">
        <w:rPr>
          <w:rFonts w:ascii="Verdana" w:hAnsi="Verdana"/>
          <w:spacing w:val="-7"/>
          <w:w w:val="105"/>
        </w:rPr>
        <w:t xml:space="preserve"> </w:t>
      </w:r>
      <w:r w:rsidRPr="00882D84">
        <w:rPr>
          <w:rFonts w:ascii="Verdana" w:hAnsi="Verdana"/>
          <w:w w:val="105"/>
        </w:rPr>
        <w:t>meet</w:t>
      </w:r>
      <w:r w:rsidRPr="00882D84">
        <w:rPr>
          <w:rFonts w:ascii="Verdana" w:hAnsi="Verdana"/>
          <w:spacing w:val="-6"/>
          <w:w w:val="105"/>
        </w:rPr>
        <w:t xml:space="preserve"> </w:t>
      </w:r>
      <w:r w:rsidRPr="00882D84">
        <w:rPr>
          <w:rFonts w:ascii="Verdana" w:hAnsi="Verdana"/>
          <w:w w:val="105"/>
        </w:rPr>
        <w:t>our</w:t>
      </w:r>
      <w:r w:rsidRPr="00882D84">
        <w:rPr>
          <w:rFonts w:ascii="Verdana" w:hAnsi="Verdana"/>
          <w:spacing w:val="-8"/>
          <w:w w:val="105"/>
        </w:rPr>
        <w:t xml:space="preserve"> </w:t>
      </w:r>
      <w:r w:rsidRPr="00882D84">
        <w:rPr>
          <w:rFonts w:ascii="Verdana" w:hAnsi="Verdana"/>
          <w:w w:val="105"/>
        </w:rPr>
        <w:t>expectations, we take action.</w:t>
      </w:r>
    </w:p>
    <w:p w:rsidR="00060505" w:rsidRPr="00882D84">
      <w:pPr>
        <w:pStyle w:val="BodyText"/>
        <w:spacing w:before="157" w:line="278" w:lineRule="auto"/>
        <w:ind w:right="189"/>
        <w:rPr>
          <w:rFonts w:ascii="Verdana" w:hAnsi="Verdana"/>
        </w:rPr>
      </w:pPr>
      <w:r w:rsidRPr="00882D84">
        <w:rPr>
          <w:rFonts w:ascii="Verdana" w:hAnsi="Verdana"/>
          <w:w w:val="105"/>
        </w:rPr>
        <w:t>We</w:t>
      </w:r>
      <w:r w:rsidRPr="00882D84">
        <w:rPr>
          <w:rFonts w:ascii="Verdana" w:hAnsi="Verdana"/>
          <w:spacing w:val="-1"/>
          <w:w w:val="105"/>
        </w:rPr>
        <w:t xml:space="preserve"> </w:t>
      </w:r>
      <w:r w:rsidRPr="00882D84">
        <w:rPr>
          <w:rFonts w:ascii="Verdana" w:hAnsi="Verdana"/>
          <w:w w:val="105"/>
        </w:rPr>
        <w:t>believe</w:t>
      </w:r>
      <w:r w:rsidRPr="00882D84">
        <w:rPr>
          <w:rFonts w:ascii="Verdana" w:hAnsi="Verdana"/>
          <w:spacing w:val="-1"/>
          <w:w w:val="105"/>
        </w:rPr>
        <w:t xml:space="preserve"> </w:t>
      </w:r>
      <w:r w:rsidRPr="00882D84">
        <w:rPr>
          <w:rFonts w:ascii="Verdana" w:hAnsi="Verdana"/>
          <w:w w:val="105"/>
        </w:rPr>
        <w:t>that</w:t>
      </w:r>
      <w:r w:rsidRPr="00882D84">
        <w:rPr>
          <w:rFonts w:ascii="Verdana" w:hAnsi="Verdana"/>
          <w:spacing w:val="-3"/>
          <w:w w:val="105"/>
        </w:rPr>
        <w:t xml:space="preserve"> </w:t>
      </w:r>
      <w:r w:rsidRPr="00882D84">
        <w:rPr>
          <w:rFonts w:ascii="Verdana" w:hAnsi="Verdana"/>
          <w:w w:val="105"/>
        </w:rPr>
        <w:t>the</w:t>
      </w:r>
      <w:r w:rsidRPr="00882D84">
        <w:rPr>
          <w:rFonts w:ascii="Verdana" w:hAnsi="Verdana"/>
          <w:spacing w:val="-1"/>
          <w:w w:val="105"/>
        </w:rPr>
        <w:t xml:space="preserve"> </w:t>
      </w:r>
      <w:r w:rsidRPr="00882D84">
        <w:rPr>
          <w:rFonts w:ascii="Verdana" w:hAnsi="Verdana"/>
          <w:w w:val="105"/>
        </w:rPr>
        <w:t>Consumer</w:t>
      </w:r>
      <w:r w:rsidRPr="00882D84">
        <w:rPr>
          <w:rFonts w:ascii="Verdana" w:hAnsi="Verdana"/>
          <w:spacing w:val="-3"/>
          <w:w w:val="105"/>
        </w:rPr>
        <w:t xml:space="preserve"> </w:t>
      </w:r>
      <w:r w:rsidRPr="00882D84">
        <w:rPr>
          <w:rFonts w:ascii="Verdana" w:hAnsi="Verdana"/>
          <w:w w:val="105"/>
        </w:rPr>
        <w:t>Duty</w:t>
      </w:r>
      <w:r w:rsidRPr="00882D84">
        <w:rPr>
          <w:rFonts w:ascii="Verdana" w:hAnsi="Verdana"/>
          <w:spacing w:val="-2"/>
          <w:w w:val="105"/>
        </w:rPr>
        <w:t xml:space="preserve"> </w:t>
      </w:r>
      <w:r w:rsidRPr="00882D84">
        <w:rPr>
          <w:rFonts w:ascii="Verdana" w:hAnsi="Verdana"/>
          <w:w w:val="105"/>
        </w:rPr>
        <w:t>is</w:t>
      </w:r>
      <w:r w:rsidRPr="00882D84">
        <w:rPr>
          <w:rFonts w:ascii="Verdana" w:hAnsi="Verdana"/>
          <w:spacing w:val="-1"/>
          <w:w w:val="105"/>
        </w:rPr>
        <w:t xml:space="preserve"> </w:t>
      </w:r>
      <w:r w:rsidRPr="00882D84">
        <w:rPr>
          <w:rFonts w:ascii="Verdana" w:hAnsi="Verdana"/>
          <w:w w:val="105"/>
        </w:rPr>
        <w:t>working. Properly</w:t>
      </w:r>
      <w:r w:rsidRPr="00882D84">
        <w:rPr>
          <w:rFonts w:ascii="Verdana" w:hAnsi="Verdana"/>
          <w:spacing w:val="-2"/>
          <w:w w:val="105"/>
        </w:rPr>
        <w:t xml:space="preserve"> </w:t>
      </w:r>
      <w:r w:rsidRPr="00882D84">
        <w:rPr>
          <w:rFonts w:ascii="Verdana" w:hAnsi="Verdana"/>
          <w:w w:val="105"/>
        </w:rPr>
        <w:t>applied, its principles-based and outcomes-focused framework gives firms the flexibility to respond to changing circumstances while maintaining clear accountability for good consumer outcomes. We do not believe that more prescriptive rules necessarily produce better results; in some cases, they can lead to “tick box” compliance and unintended consequences.</w:t>
      </w:r>
    </w:p>
    <w:p w:rsidR="00060505" w:rsidRPr="00882D84">
      <w:pPr>
        <w:pStyle w:val="BodyText"/>
        <w:spacing w:before="159" w:line="278" w:lineRule="auto"/>
        <w:ind w:right="34"/>
        <w:rPr>
          <w:rFonts w:ascii="Verdana" w:hAnsi="Verdana"/>
        </w:rPr>
      </w:pPr>
      <w:r w:rsidRPr="00882D84">
        <w:rPr>
          <w:rFonts w:ascii="Verdana" w:hAnsi="Verdana"/>
          <w:w w:val="105"/>
        </w:rPr>
        <w:t>Consumer understanding is central to our approach. CtM uses plain English, layered information, decision-point prompts and test-and-learn activity to help customers understand what</w:t>
      </w:r>
      <w:r w:rsidRPr="00882D84">
        <w:rPr>
          <w:rFonts w:ascii="Verdana" w:hAnsi="Verdana"/>
          <w:spacing w:val="-1"/>
          <w:w w:val="105"/>
        </w:rPr>
        <w:t xml:space="preserve"> </w:t>
      </w:r>
      <w:r w:rsidRPr="00882D84">
        <w:rPr>
          <w:rFonts w:ascii="Verdana" w:hAnsi="Verdana"/>
          <w:w w:val="105"/>
        </w:rPr>
        <w:t>they are buying. We have also introduced practical interventions such as Product Guardianship, defaulted answer reviews, targeted excess warnings and the removal of poorly understood questions where they risk undermining good outcomes. We are active participants in the FCA’s Consumer Understanding Working Group and are</w:t>
      </w:r>
      <w:r w:rsidRPr="00882D84">
        <w:rPr>
          <w:rFonts w:ascii="Verdana" w:hAnsi="Verdana"/>
          <w:spacing w:val="-1"/>
          <w:w w:val="105"/>
        </w:rPr>
        <w:t xml:space="preserve"> </w:t>
      </w:r>
      <w:r w:rsidRPr="00882D84">
        <w:rPr>
          <w:rFonts w:ascii="Verdana" w:hAnsi="Verdana"/>
          <w:w w:val="105"/>
        </w:rPr>
        <w:t>contributors to</w:t>
      </w:r>
      <w:r w:rsidRPr="00882D84">
        <w:rPr>
          <w:rFonts w:ascii="Verdana" w:hAnsi="Verdana"/>
          <w:spacing w:val="-2"/>
          <w:w w:val="105"/>
        </w:rPr>
        <w:t xml:space="preserve"> </w:t>
      </w:r>
      <w:r w:rsidRPr="00882D84">
        <w:rPr>
          <w:rFonts w:ascii="Verdana" w:hAnsi="Verdana"/>
          <w:w w:val="105"/>
        </w:rPr>
        <w:t>the ABI’s planning</w:t>
      </w:r>
      <w:r w:rsidRPr="00882D84">
        <w:rPr>
          <w:rFonts w:ascii="Verdana" w:hAnsi="Verdana"/>
          <w:spacing w:val="-2"/>
          <w:w w:val="105"/>
        </w:rPr>
        <w:t xml:space="preserve"> </w:t>
      </w:r>
      <w:r w:rsidRPr="00882D84">
        <w:rPr>
          <w:rFonts w:ascii="Verdana" w:hAnsi="Verdana"/>
          <w:w w:val="105"/>
        </w:rPr>
        <w:t>for</w:t>
      </w:r>
      <w:r w:rsidRPr="00882D84">
        <w:rPr>
          <w:rFonts w:ascii="Verdana" w:hAnsi="Verdana"/>
          <w:spacing w:val="-2"/>
          <w:w w:val="105"/>
        </w:rPr>
        <w:t xml:space="preserve"> </w:t>
      </w:r>
      <w:r w:rsidRPr="00882D84">
        <w:rPr>
          <w:rFonts w:ascii="Verdana" w:hAnsi="Verdana"/>
          <w:w w:val="105"/>
        </w:rPr>
        <w:t>a</w:t>
      </w:r>
      <w:r w:rsidRPr="00882D84">
        <w:rPr>
          <w:rFonts w:ascii="Verdana" w:hAnsi="Verdana"/>
          <w:spacing w:val="-2"/>
          <w:w w:val="105"/>
        </w:rPr>
        <w:t xml:space="preserve"> </w:t>
      </w:r>
      <w:r w:rsidRPr="00882D84">
        <w:rPr>
          <w:rFonts w:ascii="Verdana" w:hAnsi="Verdana"/>
          <w:w w:val="105"/>
        </w:rPr>
        <w:t>campaign</w:t>
      </w:r>
      <w:r w:rsidRPr="00882D84">
        <w:rPr>
          <w:rFonts w:ascii="Verdana" w:hAnsi="Verdana"/>
          <w:spacing w:val="-2"/>
          <w:w w:val="105"/>
        </w:rPr>
        <w:t xml:space="preserve"> </w:t>
      </w:r>
      <w:r w:rsidRPr="00882D84">
        <w:rPr>
          <w:rFonts w:ascii="Verdana" w:hAnsi="Verdana"/>
          <w:w w:val="105"/>
        </w:rPr>
        <w:t>to</w:t>
      </w:r>
      <w:r w:rsidRPr="00882D84">
        <w:rPr>
          <w:rFonts w:ascii="Verdana" w:hAnsi="Verdana"/>
          <w:spacing w:val="-2"/>
          <w:w w:val="105"/>
        </w:rPr>
        <w:t xml:space="preserve"> </w:t>
      </w:r>
      <w:r w:rsidRPr="00882D84">
        <w:rPr>
          <w:rFonts w:ascii="Verdana" w:hAnsi="Verdana"/>
          <w:w w:val="105"/>
        </w:rPr>
        <w:t>assist Consumer</w:t>
      </w:r>
      <w:r w:rsidRPr="00882D84">
        <w:rPr>
          <w:rFonts w:ascii="Verdana" w:hAnsi="Verdana"/>
          <w:spacing w:val="-2"/>
          <w:w w:val="105"/>
        </w:rPr>
        <w:t xml:space="preserve"> </w:t>
      </w:r>
      <w:r w:rsidRPr="00882D84">
        <w:rPr>
          <w:rFonts w:ascii="Verdana" w:hAnsi="Verdana"/>
          <w:w w:val="105"/>
        </w:rPr>
        <w:t>Understanding of the fundamentals of general insurance products.</w:t>
      </w:r>
    </w:p>
    <w:p w:rsidR="00060505" w:rsidRPr="00882D84">
      <w:pPr>
        <w:pStyle w:val="BodyText"/>
        <w:spacing w:before="157" w:line="278" w:lineRule="auto"/>
        <w:ind w:right="102"/>
        <w:jc w:val="both"/>
        <w:rPr>
          <w:rFonts w:ascii="Verdana" w:hAnsi="Verdana"/>
        </w:rPr>
      </w:pPr>
      <w:r w:rsidRPr="00882D84">
        <w:rPr>
          <w:rFonts w:ascii="Verdana" w:hAnsi="Verdana"/>
        </w:rPr>
        <w:t>There remains areas where the market can work better. In particular, consumers would benefit from clearer IPIDs (Insurance Product Information Documents), drawing out key exclusions more clearly and being clearer as to what is standard</w:t>
      </w:r>
      <w:r w:rsidRPr="00882D84">
        <w:rPr>
          <w:rFonts w:ascii="Verdana" w:hAnsi="Verdana"/>
          <w:spacing w:val="31"/>
        </w:rPr>
        <w:t xml:space="preserve"> </w:t>
      </w:r>
      <w:r w:rsidRPr="00882D84">
        <w:rPr>
          <w:rFonts w:ascii="Verdana" w:hAnsi="Verdana"/>
        </w:rPr>
        <w:t>and what is an add on,</w:t>
      </w:r>
      <w:r w:rsidRPr="00882D84">
        <w:rPr>
          <w:rFonts w:ascii="Verdana" w:hAnsi="Verdana"/>
          <w:spacing w:val="40"/>
          <w:w w:val="110"/>
        </w:rPr>
        <w:t xml:space="preserve"> </w:t>
      </w:r>
      <w:r w:rsidRPr="00882D84">
        <w:rPr>
          <w:rFonts w:ascii="Verdana" w:hAnsi="Verdana"/>
          <w:spacing w:val="-2"/>
          <w:w w:val="110"/>
        </w:rPr>
        <w:t>and</w:t>
      </w:r>
      <w:r w:rsidRPr="00882D84">
        <w:rPr>
          <w:rFonts w:ascii="Verdana" w:hAnsi="Verdana"/>
          <w:spacing w:val="-9"/>
          <w:w w:val="110"/>
        </w:rPr>
        <w:t xml:space="preserve"> </w:t>
      </w:r>
      <w:r w:rsidRPr="00882D84">
        <w:rPr>
          <w:rFonts w:ascii="Verdana" w:hAnsi="Verdana"/>
          <w:spacing w:val="-2"/>
          <w:w w:val="110"/>
        </w:rPr>
        <w:t>more</w:t>
      </w:r>
      <w:r w:rsidRPr="00882D84">
        <w:rPr>
          <w:rFonts w:ascii="Verdana" w:hAnsi="Verdana"/>
          <w:spacing w:val="-6"/>
          <w:w w:val="110"/>
        </w:rPr>
        <w:t xml:space="preserve"> </w:t>
      </w:r>
      <w:r w:rsidRPr="00882D84">
        <w:rPr>
          <w:rFonts w:ascii="Verdana" w:hAnsi="Verdana"/>
          <w:spacing w:val="-2"/>
          <w:w w:val="110"/>
        </w:rPr>
        <w:t>meaningful,</w:t>
      </w:r>
      <w:r w:rsidRPr="00882D84">
        <w:rPr>
          <w:rFonts w:ascii="Verdana" w:hAnsi="Verdana"/>
          <w:spacing w:val="-7"/>
          <w:w w:val="110"/>
        </w:rPr>
        <w:t xml:space="preserve"> </w:t>
      </w:r>
      <w:r w:rsidRPr="00882D84">
        <w:rPr>
          <w:rFonts w:ascii="Verdana" w:hAnsi="Verdana"/>
          <w:spacing w:val="-2"/>
          <w:w w:val="110"/>
        </w:rPr>
        <w:t>standardised</w:t>
      </w:r>
      <w:r w:rsidRPr="00882D84">
        <w:rPr>
          <w:rFonts w:ascii="Verdana" w:hAnsi="Verdana"/>
          <w:spacing w:val="-8"/>
          <w:w w:val="110"/>
        </w:rPr>
        <w:t xml:space="preserve"> </w:t>
      </w:r>
      <w:r w:rsidRPr="00882D84">
        <w:rPr>
          <w:rFonts w:ascii="Verdana" w:hAnsi="Verdana"/>
          <w:spacing w:val="-2"/>
          <w:w w:val="110"/>
        </w:rPr>
        <w:t>and</w:t>
      </w:r>
      <w:r w:rsidRPr="00882D84">
        <w:rPr>
          <w:rFonts w:ascii="Verdana" w:hAnsi="Verdana"/>
          <w:spacing w:val="-9"/>
          <w:w w:val="110"/>
        </w:rPr>
        <w:t xml:space="preserve"> </w:t>
      </w:r>
      <w:r w:rsidRPr="00882D84">
        <w:rPr>
          <w:rFonts w:ascii="Verdana" w:hAnsi="Verdana"/>
          <w:spacing w:val="-2"/>
          <w:w w:val="110"/>
        </w:rPr>
        <w:t>current</w:t>
      </w:r>
      <w:r w:rsidRPr="00882D84">
        <w:rPr>
          <w:rFonts w:ascii="Verdana" w:hAnsi="Verdana"/>
          <w:spacing w:val="-9"/>
          <w:w w:val="110"/>
        </w:rPr>
        <w:t xml:space="preserve"> </w:t>
      </w:r>
      <w:r w:rsidRPr="00882D84">
        <w:rPr>
          <w:rFonts w:ascii="Verdana" w:hAnsi="Verdana"/>
          <w:spacing w:val="-2"/>
          <w:w w:val="110"/>
        </w:rPr>
        <w:t>claims</w:t>
      </w:r>
      <w:r w:rsidRPr="00882D84">
        <w:rPr>
          <w:rFonts w:ascii="Verdana" w:hAnsi="Verdana"/>
          <w:spacing w:val="-7"/>
          <w:w w:val="110"/>
        </w:rPr>
        <w:t xml:space="preserve"> </w:t>
      </w:r>
      <w:r w:rsidRPr="00882D84">
        <w:rPr>
          <w:rFonts w:ascii="Verdana" w:hAnsi="Verdana"/>
          <w:spacing w:val="-2"/>
          <w:w w:val="110"/>
        </w:rPr>
        <w:t>data</w:t>
      </w:r>
      <w:r w:rsidRPr="00882D84">
        <w:rPr>
          <w:rFonts w:ascii="Verdana" w:hAnsi="Verdana"/>
          <w:spacing w:val="-7"/>
          <w:w w:val="110"/>
        </w:rPr>
        <w:t xml:space="preserve"> </w:t>
      </w:r>
      <w:r w:rsidRPr="00882D84">
        <w:rPr>
          <w:rFonts w:ascii="Verdana" w:hAnsi="Verdana"/>
          <w:spacing w:val="-2"/>
          <w:w w:val="110"/>
        </w:rPr>
        <w:t>from</w:t>
      </w:r>
      <w:r w:rsidRPr="00882D84">
        <w:rPr>
          <w:rFonts w:ascii="Verdana" w:hAnsi="Verdana"/>
          <w:spacing w:val="-7"/>
          <w:w w:val="110"/>
        </w:rPr>
        <w:t xml:space="preserve"> </w:t>
      </w:r>
      <w:r w:rsidRPr="00882D84">
        <w:rPr>
          <w:rFonts w:ascii="Verdana" w:hAnsi="Verdana"/>
          <w:spacing w:val="-2"/>
          <w:w w:val="110"/>
        </w:rPr>
        <w:t>insurers.</w:t>
      </w:r>
    </w:p>
    <w:p w:rsidR="00060505" w:rsidRPr="00882D84" w:rsidP="00882D84">
      <w:pPr>
        <w:pStyle w:val="BodyText"/>
        <w:spacing w:before="158" w:line="278" w:lineRule="auto"/>
        <w:rPr>
          <w:rFonts w:ascii="Verdana" w:hAnsi="Verdana"/>
        </w:rPr>
      </w:pPr>
      <w:r w:rsidRPr="00882D84">
        <w:rPr>
          <w:rFonts w:ascii="Verdana" w:hAnsi="Verdana"/>
          <w:w w:val="105"/>
        </w:rPr>
        <w:t>We also</w:t>
      </w:r>
      <w:r w:rsidRPr="00882D84">
        <w:rPr>
          <w:rFonts w:ascii="Verdana" w:hAnsi="Verdana"/>
          <w:spacing w:val="-2"/>
          <w:w w:val="105"/>
        </w:rPr>
        <w:t xml:space="preserve"> </w:t>
      </w:r>
      <w:r w:rsidRPr="00882D84">
        <w:rPr>
          <w:rFonts w:ascii="Verdana" w:hAnsi="Verdana"/>
          <w:w w:val="105"/>
        </w:rPr>
        <w:t>believe the regulatory</w:t>
      </w:r>
      <w:r w:rsidRPr="00882D84">
        <w:rPr>
          <w:rFonts w:ascii="Verdana" w:hAnsi="Verdana"/>
          <w:spacing w:val="-2"/>
          <w:w w:val="105"/>
        </w:rPr>
        <w:t xml:space="preserve"> </w:t>
      </w:r>
      <w:r w:rsidRPr="00882D84">
        <w:rPr>
          <w:rFonts w:ascii="Verdana" w:hAnsi="Verdana"/>
          <w:w w:val="105"/>
        </w:rPr>
        <w:t>framework must</w:t>
      </w:r>
      <w:r w:rsidRPr="00882D84">
        <w:rPr>
          <w:rFonts w:ascii="Verdana" w:hAnsi="Verdana"/>
          <w:spacing w:val="-3"/>
          <w:w w:val="105"/>
        </w:rPr>
        <w:t xml:space="preserve"> </w:t>
      </w:r>
      <w:r w:rsidRPr="00882D84">
        <w:rPr>
          <w:rFonts w:ascii="Verdana" w:hAnsi="Verdana"/>
          <w:w w:val="105"/>
        </w:rPr>
        <w:t>respond</w:t>
      </w:r>
      <w:r w:rsidRPr="00882D84">
        <w:rPr>
          <w:rFonts w:ascii="Verdana" w:hAnsi="Verdana"/>
          <w:spacing w:val="-2"/>
          <w:w w:val="105"/>
        </w:rPr>
        <w:t xml:space="preserve"> </w:t>
      </w:r>
      <w:r w:rsidRPr="00882D84">
        <w:rPr>
          <w:rFonts w:ascii="Verdana" w:hAnsi="Verdana"/>
          <w:w w:val="105"/>
        </w:rPr>
        <w:t>urgently</w:t>
      </w:r>
      <w:r w:rsidRPr="00882D84">
        <w:rPr>
          <w:rFonts w:ascii="Verdana" w:hAnsi="Verdana"/>
          <w:spacing w:val="-2"/>
          <w:w w:val="105"/>
        </w:rPr>
        <w:t xml:space="preserve"> </w:t>
      </w:r>
      <w:r w:rsidRPr="00882D84">
        <w:rPr>
          <w:rFonts w:ascii="Verdana" w:hAnsi="Verdana"/>
          <w:w w:val="105"/>
        </w:rPr>
        <w:t xml:space="preserve">to the use of unregulated large language models in financial decision-making. LLMs are already capable of giving consumers what appears to be financial advice, but without the safeguards, accountability or redress routes that apply to regulated firms. There is a current and </w:t>
      </w:r>
      <w:r w:rsidRPr="00882D84">
        <w:rPr>
          <w:rFonts w:ascii="Verdana" w:hAnsi="Verdana"/>
          <w:w w:val="105"/>
        </w:rPr>
        <w:t>growing risk of harm, particularly for</w:t>
      </w:r>
      <w:r w:rsidRPr="00882D84">
        <w:rPr>
          <w:rFonts w:ascii="Verdana" w:hAnsi="Verdana"/>
          <w:spacing w:val="-1"/>
          <w:w w:val="105"/>
        </w:rPr>
        <w:t xml:space="preserve"> </w:t>
      </w:r>
      <w:r w:rsidRPr="00882D84">
        <w:rPr>
          <w:rFonts w:ascii="Verdana" w:hAnsi="Verdana"/>
          <w:w w:val="105"/>
        </w:rPr>
        <w:t>vulnerable customers including those with</w:t>
      </w:r>
      <w:r w:rsidRPr="00882D84">
        <w:rPr>
          <w:rFonts w:ascii="Verdana" w:hAnsi="Verdana"/>
          <w:spacing w:val="-6"/>
          <w:w w:val="105"/>
        </w:rPr>
        <w:t xml:space="preserve"> </w:t>
      </w:r>
      <w:r w:rsidRPr="00882D84">
        <w:rPr>
          <w:rFonts w:ascii="Verdana" w:hAnsi="Verdana"/>
          <w:w w:val="105"/>
        </w:rPr>
        <w:t>more</w:t>
      </w:r>
      <w:r w:rsidRPr="00882D84">
        <w:rPr>
          <w:rFonts w:ascii="Verdana" w:hAnsi="Verdana"/>
          <w:spacing w:val="-5"/>
          <w:w w:val="105"/>
        </w:rPr>
        <w:t xml:space="preserve"> </w:t>
      </w:r>
      <w:r w:rsidRPr="00882D84">
        <w:rPr>
          <w:rFonts w:ascii="Verdana" w:hAnsi="Verdana"/>
          <w:w w:val="105"/>
        </w:rPr>
        <w:t>limited</w:t>
      </w:r>
      <w:r w:rsidRPr="00882D84">
        <w:rPr>
          <w:rFonts w:ascii="Verdana" w:hAnsi="Verdana"/>
          <w:spacing w:val="-5"/>
          <w:w w:val="105"/>
        </w:rPr>
        <w:t xml:space="preserve"> </w:t>
      </w:r>
      <w:r w:rsidRPr="00882D84">
        <w:rPr>
          <w:rFonts w:ascii="Verdana" w:hAnsi="Verdana"/>
          <w:w w:val="105"/>
        </w:rPr>
        <w:t>financial</w:t>
      </w:r>
      <w:r w:rsidRPr="00882D84">
        <w:rPr>
          <w:rFonts w:ascii="Verdana" w:hAnsi="Verdana"/>
          <w:spacing w:val="-6"/>
          <w:w w:val="105"/>
        </w:rPr>
        <w:t xml:space="preserve"> </w:t>
      </w:r>
      <w:r w:rsidRPr="00882D84">
        <w:rPr>
          <w:rFonts w:ascii="Verdana" w:hAnsi="Verdana"/>
          <w:w w:val="105"/>
        </w:rPr>
        <w:t>literacy.</w:t>
      </w:r>
      <w:r w:rsidRPr="00882D84">
        <w:rPr>
          <w:rFonts w:ascii="Verdana" w:hAnsi="Verdana"/>
          <w:spacing w:val="-3"/>
          <w:w w:val="105"/>
        </w:rPr>
        <w:t xml:space="preserve"> </w:t>
      </w:r>
      <w:r w:rsidRPr="00882D84">
        <w:rPr>
          <w:rFonts w:ascii="Verdana" w:hAnsi="Verdana"/>
          <w:w w:val="105"/>
        </w:rPr>
        <w:t>This</w:t>
      </w:r>
      <w:r w:rsidRPr="00882D84">
        <w:rPr>
          <w:rFonts w:ascii="Verdana" w:hAnsi="Verdana"/>
          <w:spacing w:val="-4"/>
          <w:w w:val="105"/>
        </w:rPr>
        <w:t xml:space="preserve"> </w:t>
      </w:r>
      <w:r w:rsidRPr="00882D84">
        <w:rPr>
          <w:rFonts w:ascii="Verdana" w:hAnsi="Verdana"/>
          <w:w w:val="105"/>
        </w:rPr>
        <w:t>concern</w:t>
      </w:r>
      <w:r w:rsidRPr="00882D84">
        <w:rPr>
          <w:rFonts w:ascii="Verdana" w:hAnsi="Verdana"/>
          <w:spacing w:val="-6"/>
          <w:w w:val="105"/>
        </w:rPr>
        <w:t xml:space="preserve"> </w:t>
      </w:r>
      <w:r w:rsidRPr="00882D84">
        <w:rPr>
          <w:rFonts w:ascii="Verdana" w:hAnsi="Verdana"/>
          <w:w w:val="105"/>
        </w:rPr>
        <w:t>is</w:t>
      </w:r>
      <w:r w:rsidRPr="00882D84">
        <w:rPr>
          <w:rFonts w:ascii="Verdana" w:hAnsi="Verdana"/>
          <w:spacing w:val="-4"/>
          <w:w w:val="105"/>
        </w:rPr>
        <w:t xml:space="preserve"> </w:t>
      </w:r>
      <w:r w:rsidRPr="00882D84">
        <w:rPr>
          <w:rFonts w:ascii="Verdana" w:hAnsi="Verdana"/>
          <w:w w:val="105"/>
        </w:rPr>
        <w:t>now</w:t>
      </w:r>
      <w:r w:rsidRPr="00882D84">
        <w:rPr>
          <w:rFonts w:ascii="Verdana" w:hAnsi="Verdana"/>
          <w:spacing w:val="-6"/>
          <w:w w:val="105"/>
        </w:rPr>
        <w:t xml:space="preserve"> </w:t>
      </w:r>
      <w:r w:rsidRPr="00882D84">
        <w:rPr>
          <w:rFonts w:ascii="Verdana" w:hAnsi="Verdana"/>
          <w:w w:val="105"/>
        </w:rPr>
        <w:t>substantiated</w:t>
      </w:r>
      <w:r w:rsidRPr="00882D84">
        <w:rPr>
          <w:rFonts w:ascii="Verdana" w:hAnsi="Verdana"/>
          <w:spacing w:val="-4"/>
          <w:w w:val="105"/>
        </w:rPr>
        <w:t xml:space="preserve"> </w:t>
      </w:r>
      <w:r w:rsidRPr="00882D84">
        <w:rPr>
          <w:rFonts w:ascii="Verdana" w:hAnsi="Verdana"/>
          <w:w w:val="105"/>
        </w:rPr>
        <w:t>by</w:t>
      </w:r>
      <w:r w:rsidRPr="00882D84">
        <w:rPr>
          <w:rFonts w:ascii="Verdana" w:hAnsi="Verdana"/>
          <w:spacing w:val="-6"/>
          <w:w w:val="105"/>
        </w:rPr>
        <w:t xml:space="preserve"> </w:t>
      </w:r>
      <w:r w:rsidRPr="00882D84">
        <w:rPr>
          <w:rFonts w:ascii="Verdana" w:hAnsi="Verdana"/>
          <w:w w:val="105"/>
        </w:rPr>
        <w:t>the</w:t>
      </w:r>
      <w:r w:rsidRPr="00882D84">
        <w:rPr>
          <w:rFonts w:ascii="Verdana" w:hAnsi="Verdana"/>
          <w:spacing w:val="-5"/>
          <w:w w:val="105"/>
        </w:rPr>
        <w:t xml:space="preserve"> </w:t>
      </w:r>
      <w:r w:rsidRPr="00882D84">
        <w:rPr>
          <w:rFonts w:ascii="Verdana" w:hAnsi="Verdana"/>
          <w:w w:val="105"/>
        </w:rPr>
        <w:t>FCA's</w:t>
      </w:r>
      <w:r w:rsidRPr="00882D84">
        <w:rPr>
          <w:rFonts w:ascii="Verdana" w:hAnsi="Verdana"/>
          <w:spacing w:val="-4"/>
          <w:w w:val="105"/>
        </w:rPr>
        <w:t xml:space="preserve"> </w:t>
      </w:r>
      <w:r w:rsidRPr="00882D84">
        <w:rPr>
          <w:rFonts w:ascii="Verdana" w:hAnsi="Verdana"/>
          <w:w w:val="105"/>
        </w:rPr>
        <w:t>own commissioned review. The Mills Review, published in July 2026, recommends that the</w:t>
      </w:r>
      <w:r w:rsidRPr="00882D84" w:rsidR="00882D84">
        <w:rPr>
          <w:rFonts w:ascii="Verdana" w:hAnsi="Verdana"/>
        </w:rPr>
        <w:t xml:space="preserve"> </w:t>
      </w:r>
      <w:r w:rsidRPr="00882D84">
        <w:rPr>
          <w:rFonts w:ascii="Verdana" w:hAnsi="Verdana"/>
          <w:w w:val="105"/>
        </w:rPr>
        <w:t>FCA launch an urgent review of general-purpose AI tools operating outside the regulatory</w:t>
      </w:r>
      <w:r w:rsidRPr="00882D84">
        <w:rPr>
          <w:rFonts w:ascii="Verdana" w:hAnsi="Verdana"/>
          <w:spacing w:val="-15"/>
          <w:w w:val="105"/>
        </w:rPr>
        <w:t xml:space="preserve"> </w:t>
      </w:r>
      <w:r w:rsidRPr="00882D84">
        <w:rPr>
          <w:rFonts w:ascii="Verdana" w:hAnsi="Verdana"/>
          <w:w w:val="105"/>
        </w:rPr>
        <w:t>perimeter.</w:t>
      </w:r>
    </w:p>
    <w:p w:rsidR="00882D84" w:rsidRPr="00882D84">
      <w:pPr>
        <w:pStyle w:val="BodyText"/>
        <w:ind w:left="0"/>
        <w:rPr>
          <w:rFonts w:ascii="Verdana" w:hAnsi="Verdana"/>
        </w:rPr>
      </w:pPr>
    </w:p>
    <w:p w:rsidR="00060505" w:rsidRPr="00882D84">
      <w:pPr>
        <w:pStyle w:val="BodyText"/>
        <w:ind w:left="0"/>
        <w:rPr>
          <w:rFonts w:ascii="Verdana" w:hAnsi="Verdana"/>
        </w:rPr>
      </w:pPr>
    </w:p>
    <w:p w:rsidR="00060505" w:rsidP="00882D84">
      <w:pPr>
        <w:pStyle w:val="BodyText"/>
        <w:spacing w:before="1"/>
        <w:ind w:left="0" w:right="9"/>
        <w:rPr>
          <w:rFonts w:ascii="Verdana" w:hAnsi="Verdana"/>
          <w:i/>
          <w:iCs/>
          <w:sz w:val="28"/>
          <w:szCs w:val="28"/>
        </w:rPr>
      </w:pPr>
      <w:r w:rsidRPr="00882D84">
        <w:rPr>
          <w:rFonts w:ascii="Verdana" w:hAnsi="Verdana"/>
          <w:i/>
          <w:iCs/>
          <w:sz w:val="28"/>
          <w:szCs w:val="28"/>
        </w:rPr>
        <w:t>6 July 2026</w:t>
      </w:r>
    </w:p>
    <w:p w:rsidR="00882D84" w:rsidP="00882D84">
      <w:pPr>
        <w:pStyle w:val="BodyText"/>
        <w:spacing w:before="1"/>
        <w:ind w:left="0" w:right="9"/>
        <w:rPr>
          <w:rFonts w:ascii="Verdana" w:hAnsi="Verdana"/>
          <w:i/>
          <w:iCs/>
          <w:sz w:val="28"/>
          <w:szCs w:val="28"/>
        </w:rPr>
      </w:pPr>
    </w:p>
    <w:p w:rsidR="00882D84" w:rsidP="00882D84">
      <w:pPr>
        <w:pStyle w:val="BodyText"/>
        <w:spacing w:before="1"/>
        <w:ind w:left="0" w:right="9"/>
        <w:rPr>
          <w:rFonts w:ascii="Verdana" w:hAnsi="Verdana"/>
          <w:i/>
          <w:iCs/>
          <w:sz w:val="28"/>
          <w:szCs w:val="28"/>
        </w:rPr>
      </w:pPr>
    </w:p>
    <w:p w:rsidR="00882D84" w:rsidRPr="00882D84" w:rsidP="00882D84">
      <w:pPr>
        <w:pStyle w:val="BodyText"/>
        <w:spacing w:before="1"/>
        <w:ind w:left="0" w:right="9"/>
        <w:rPr>
          <w:rFonts w:ascii="Verdana" w:hAnsi="Verdana"/>
          <w:sz w:val="28"/>
          <w:szCs w:val="28"/>
        </w:rPr>
      </w:pPr>
    </w:p>
    <w:sectPr w:rsidSect="009649CE">
      <w:footerReference w:type="default" r:id="rId4"/>
      <w:pgSz w:w="11910" w:h="16840" w:code="9"/>
      <w:pgMar w:top="1340" w:right="1417" w:bottom="520" w:left="1417" w:header="0" w:footer="32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0505">
    <w:pPr>
      <w:pStyle w:val="BodyText"/>
      <w:spacing w:line="14" w:lineRule="auto"/>
      <w:ind w:left="0"/>
      <w:rPr>
        <w:sz w:val="20"/>
      </w:rPr>
    </w:pPr>
    <w:r>
      <w:rPr>
        <w:noProof/>
        <w:sz w:val="20"/>
      </w:rPr>
      <w:pict>
        <v:shapetype id="_x0000_t202" coordsize="21600,21600" o:spt="202" path="m,l,21600r21600,l21600,xe">
          <v:stroke joinstyle="miter"/>
          <v:path gradientshapeok="t" o:connecttype="rect"/>
        </v:shapetype>
        <v:shape id="Textbox 1" o:spid="_x0000_s2049" type="#_x0000_t202" style="height:11.85pt;margin-left:278.65pt;margin-top:814.75pt;mso-position-horizontal-relative:page;mso-position-vertical-relative:page;mso-wrap-distance-bottom:0;mso-wrap-distance-left:0;mso-wrap-distance-right:0;mso-wrap-distance-top:0;mso-wrap-style:square;position:absolute;v-text-anchor:top;visibility:visible;width:37.6pt;z-index:-251658240" filled="f" stroked="f">
          <v:textbox inset="0,0,0,0">
            <w:txbxContent>
              <w:p w:rsidR="00060505">
                <w:pPr>
                  <w:spacing w:before="18"/>
                  <w:ind w:left="20"/>
                  <w:rPr>
                    <w:sz w:val="16"/>
                  </w:rPr>
                </w:pPr>
              </w:p>
            </w:txbxContent>
          </v:textbox>
          <w10:wrap anchorx="page" anchory="page"/>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FC2052"/>
    <w:multiLevelType w:val="hybridMultilevel"/>
    <w:tmpl w:val="D76C03F6"/>
    <w:lvl w:ilvl="0">
      <w:start w:val="0"/>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39"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405" w:hanging="360"/>
      </w:pPr>
      <w:rPr>
        <w:rFonts w:hint="default"/>
        <w:lang w:val="en-US" w:eastAsia="en-US" w:bidi="ar-SA"/>
      </w:rPr>
    </w:lvl>
  </w:abstractNum>
  <w:abstractNum w:abstractNumId="1">
    <w:nsid w:val="703328EB"/>
    <w:multiLevelType w:val="hybridMultilevel"/>
    <w:tmpl w:val="DE2E2E00"/>
    <w:lvl w:ilvl="0">
      <w:start w:val="2"/>
      <w:numFmt w:val="decimal"/>
      <w:lvlText w:val="%1."/>
      <w:lvlJc w:val="left"/>
      <w:pPr>
        <w:ind w:left="23" w:hanging="248"/>
        <w:jc w:val="left"/>
      </w:pPr>
      <w:rPr>
        <w:rFonts w:ascii="Calibri" w:eastAsia="Calibri" w:hAnsi="Calibri" w:cs="Calibri" w:hint="default"/>
        <w:b/>
        <w:bCs/>
        <w:i/>
        <w:iCs/>
        <w:spacing w:val="-1"/>
        <w:w w:val="105"/>
        <w:sz w:val="24"/>
        <w:szCs w:val="24"/>
        <w:lang w:val="en-US" w:eastAsia="en-US" w:bidi="ar-SA"/>
      </w:rPr>
    </w:lvl>
    <w:lvl w:ilvl="1">
      <w:start w:val="0"/>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665" w:hanging="360"/>
      </w:pPr>
      <w:rPr>
        <w:rFonts w:hint="default"/>
        <w:lang w:val="en-US" w:eastAsia="en-US" w:bidi="ar-SA"/>
      </w:rPr>
    </w:lvl>
    <w:lvl w:ilvl="3">
      <w:start w:val="0"/>
      <w:numFmt w:val="bullet"/>
      <w:lvlText w:val="•"/>
      <w:lvlJc w:val="left"/>
      <w:pPr>
        <w:ind w:left="2591" w:hanging="360"/>
      </w:pPr>
      <w:rPr>
        <w:rFonts w:hint="default"/>
        <w:lang w:val="en-US" w:eastAsia="en-US" w:bidi="ar-SA"/>
      </w:rPr>
    </w:lvl>
    <w:lvl w:ilvl="4">
      <w:start w:val="0"/>
      <w:numFmt w:val="bullet"/>
      <w:lvlText w:val="•"/>
      <w:lvlJc w:val="left"/>
      <w:pPr>
        <w:ind w:left="3517" w:hanging="360"/>
      </w:pPr>
      <w:rPr>
        <w:rFonts w:hint="default"/>
        <w:lang w:val="en-US" w:eastAsia="en-US" w:bidi="ar-SA"/>
      </w:rPr>
    </w:lvl>
    <w:lvl w:ilvl="5">
      <w:start w:val="0"/>
      <w:numFmt w:val="bullet"/>
      <w:lvlText w:val="•"/>
      <w:lvlJc w:val="left"/>
      <w:pPr>
        <w:ind w:left="4443" w:hanging="360"/>
      </w:pPr>
      <w:rPr>
        <w:rFonts w:hint="default"/>
        <w:lang w:val="en-US" w:eastAsia="en-US" w:bidi="ar-SA"/>
      </w:rPr>
    </w:lvl>
    <w:lvl w:ilvl="6">
      <w:start w:val="0"/>
      <w:numFmt w:val="bullet"/>
      <w:lvlText w:val="•"/>
      <w:lvlJc w:val="left"/>
      <w:pPr>
        <w:ind w:left="5369" w:hanging="360"/>
      </w:pPr>
      <w:rPr>
        <w:rFonts w:hint="default"/>
        <w:lang w:val="en-US" w:eastAsia="en-US" w:bidi="ar-SA"/>
      </w:rPr>
    </w:lvl>
    <w:lvl w:ilvl="7">
      <w:start w:val="0"/>
      <w:numFmt w:val="bullet"/>
      <w:lvlText w:val="•"/>
      <w:lvlJc w:val="left"/>
      <w:pPr>
        <w:ind w:left="6294" w:hanging="360"/>
      </w:pPr>
      <w:rPr>
        <w:rFonts w:hint="default"/>
        <w:lang w:val="en-US" w:eastAsia="en-US" w:bidi="ar-SA"/>
      </w:rPr>
    </w:lvl>
    <w:lvl w:ilvl="8">
      <w:start w:val="0"/>
      <w:numFmt w:val="bullet"/>
      <w:lvlText w:val="•"/>
      <w:lvlJc w:val="left"/>
      <w:pPr>
        <w:ind w:left="7220"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7"/>
      <w:ind w:left="23"/>
      <w:outlineLvl w:val="0"/>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4"/>
      <w:szCs w:val="24"/>
    </w:rPr>
  </w:style>
  <w:style w:type="paragraph" w:styleId="ListParagraph">
    <w:name w:val="List Paragraph"/>
    <w:basedOn w:val="Normal"/>
    <w:uiPriority w:val="1"/>
    <w:qFormat/>
    <w:pPr>
      <w:spacing w:before="1"/>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2D84"/>
    <w:pPr>
      <w:tabs>
        <w:tab w:val="center" w:pos="4513"/>
        <w:tab w:val="right" w:pos="9026"/>
      </w:tabs>
    </w:pPr>
  </w:style>
  <w:style w:type="character" w:customStyle="1" w:styleId="HeaderChar">
    <w:name w:val="Header Char"/>
    <w:basedOn w:val="DefaultParagraphFont"/>
    <w:link w:val="Header"/>
    <w:uiPriority w:val="99"/>
    <w:rsid w:val="00882D84"/>
    <w:rPr>
      <w:rFonts w:ascii="Calibri" w:eastAsia="Calibri" w:hAnsi="Calibri" w:cs="Calibri"/>
    </w:rPr>
  </w:style>
  <w:style w:type="paragraph" w:styleId="Footer">
    <w:name w:val="footer"/>
    <w:basedOn w:val="Normal"/>
    <w:link w:val="FooterChar"/>
    <w:uiPriority w:val="99"/>
    <w:unhideWhenUsed/>
    <w:rsid w:val="00882D84"/>
    <w:pPr>
      <w:tabs>
        <w:tab w:val="center" w:pos="4513"/>
        <w:tab w:val="right" w:pos="9026"/>
      </w:tabs>
    </w:pPr>
  </w:style>
  <w:style w:type="character" w:customStyle="1" w:styleId="FooterChar">
    <w:name w:val="Footer Char"/>
    <w:basedOn w:val="DefaultParagraphFont"/>
    <w:link w:val="Footer"/>
    <w:uiPriority w:val="99"/>
    <w:rsid w:val="00882D8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CIM0041</dc:title>
  <cp:revision>0</cp:revision>
</cp:coreProperties>
</file>