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D3B3D" w:rsidRPr="00BD3B3D" w:rsidP="00C178B5">
      <w:pPr>
        <w:rPr>
          <w:rFonts w:ascii="Verdana" w:hAnsi="Verdana"/>
          <w:b/>
          <w:bCs/>
          <w:sz w:val="28"/>
          <w:szCs w:val="28"/>
        </w:rPr>
      </w:pPr>
      <w:r w:rsidRPr="00BD3B3D">
        <w:rPr>
          <w:rFonts w:ascii="Verdana" w:hAnsi="Verdana"/>
          <w:b/>
          <w:bCs/>
          <w:sz w:val="28"/>
          <w:szCs w:val="28"/>
        </w:rPr>
        <w:t>Irish Congress of Trade Unions</w:t>
      </w:r>
      <w:r w:rsidR="003633C6">
        <w:rPr>
          <w:rFonts w:ascii="Verdana" w:hAnsi="Verdana"/>
          <w:b/>
          <w:bCs/>
          <w:sz w:val="28"/>
          <w:szCs w:val="28"/>
        </w:rPr>
        <w:t xml:space="preserve"> (ICTU)</w:t>
      </w:r>
      <w:r w:rsidRPr="00BD3B3D">
        <w:rPr>
          <w:rFonts w:ascii="Verdana" w:hAnsi="Verdana"/>
          <w:b/>
          <w:bCs/>
          <w:sz w:val="28"/>
          <w:szCs w:val="28"/>
        </w:rPr>
        <w:t xml:space="preserve"> – Written </w:t>
      </w:r>
      <w:r w:rsidR="003633C6">
        <w:rPr>
          <w:rFonts w:ascii="Verdana" w:hAnsi="Verdana"/>
          <w:b/>
          <w:bCs/>
          <w:sz w:val="28"/>
          <w:szCs w:val="28"/>
        </w:rPr>
        <w:t>evidence</w:t>
      </w:r>
      <w:r w:rsidRPr="00BD3B3D">
        <w:rPr>
          <w:rFonts w:ascii="Verdana" w:hAnsi="Verdana"/>
          <w:b/>
          <w:bCs/>
          <w:sz w:val="28"/>
          <w:szCs w:val="28"/>
        </w:rPr>
        <w:t xml:space="preserve"> (ART0018)</w:t>
      </w:r>
    </w:p>
    <w:p w:rsidR="00BD3B3D" w:rsidP="00C178B5">
      <w:pPr>
        <w:rPr>
          <w:rFonts w:ascii="Verdana" w:hAnsi="Verdana"/>
          <w:b/>
          <w:bCs/>
        </w:rPr>
      </w:pPr>
    </w:p>
    <w:p w:rsidR="00C178B5" w:rsidRPr="00BD3B3D" w:rsidP="00C178B5">
      <w:pPr>
        <w:rPr>
          <w:rFonts w:ascii="Verdana" w:hAnsi="Verdana"/>
          <w:b/>
          <w:bCs/>
        </w:rPr>
      </w:pPr>
      <w:r w:rsidRPr="00BD3B3D">
        <w:rPr>
          <w:rFonts w:ascii="Verdana" w:hAnsi="Verdana"/>
          <w:b/>
          <w:bCs/>
        </w:rPr>
        <w:t>Northern Ireland Scrutiny Committee Inquiry on Article 2 of the Protocol / Windsor Framework: Public Call for Written Evidence</w:t>
      </w:r>
    </w:p>
    <w:p w:rsidR="00C178B5" w:rsidRPr="00BD3B3D" w:rsidP="00C178B5">
      <w:pPr>
        <w:rPr>
          <w:rFonts w:ascii="Verdana" w:hAnsi="Verdana"/>
          <w:b/>
          <w:bCs/>
        </w:rPr>
      </w:pPr>
      <w:r w:rsidRPr="00BD3B3D">
        <w:rPr>
          <w:rFonts w:ascii="Verdana" w:hAnsi="Verdana"/>
          <w:b/>
          <w:bCs/>
        </w:rPr>
        <w:t>Response from the Irish Congress of Trade Unions</w:t>
      </w:r>
    </w:p>
    <w:p w:rsidR="00C178B5" w:rsidRPr="00BD3B3D" w:rsidP="00C178B5">
      <w:pPr>
        <w:rPr>
          <w:rFonts w:ascii="Verdana" w:hAnsi="Verdana"/>
          <w:b/>
          <w:bCs/>
        </w:rPr>
      </w:pPr>
      <w:r w:rsidRPr="00BD3B3D">
        <w:rPr>
          <w:rFonts w:ascii="Verdana" w:hAnsi="Verdana"/>
          <w:b/>
          <w:bCs/>
        </w:rPr>
        <w:t>About the Irish Congress of Trade Unions</w:t>
      </w:r>
    </w:p>
    <w:p w:rsidR="00C178B5" w:rsidRPr="00BD3B3D" w:rsidP="00C178B5">
      <w:pPr>
        <w:rPr>
          <w:rFonts w:ascii="Verdana" w:hAnsi="Verdana"/>
        </w:rPr>
      </w:pPr>
      <w:r w:rsidRPr="00BD3B3D">
        <w:rPr>
          <w:rFonts w:ascii="Verdana" w:hAnsi="Verdana"/>
        </w:rPr>
        <w:t>The Irish Congress of Trade Unions (ICTU) is the trade union federation for the island of Ireland, representing approximately 800,000 working people, 200,000 of whom live and work in Northern Ireland. Congress seeks to achieve a just society—one which recognises the rights of all workers and citizens to enjoy the prosperity and fulfilment that underpin a good quality of life.</w:t>
      </w:r>
    </w:p>
    <w:p w:rsidR="00C178B5" w:rsidRPr="00BD3B3D" w:rsidP="00C178B5">
      <w:pPr>
        <w:rPr>
          <w:rFonts w:ascii="Verdana" w:hAnsi="Verdana"/>
        </w:rPr>
      </w:pPr>
      <w:r w:rsidRPr="00BD3B3D">
        <w:rPr>
          <w:rFonts w:ascii="Verdana" w:hAnsi="Verdana"/>
        </w:rPr>
        <w:t>Quality of life encompasses not only material well-being but also the freedom to participate in the arts, culture, and all aspects of civic life. This vision applies across Ireland, Europe, and the wider world, and challenges the existing economic order.</w:t>
      </w:r>
    </w:p>
    <w:p w:rsidR="00C178B5" w:rsidRPr="00BD3B3D" w:rsidP="00C178B5">
      <w:pPr>
        <w:rPr>
          <w:rFonts w:ascii="Verdana" w:hAnsi="Verdana"/>
        </w:rPr>
      </w:pPr>
      <w:r w:rsidRPr="00BD3B3D">
        <w:rPr>
          <w:rFonts w:ascii="Verdana" w:hAnsi="Verdana"/>
        </w:rPr>
        <w:t>The Northern Ireland Committee (NIC) of ICTU is the representative body for 34 trade unions. In membership terms, it is the largest and most diverse civil society organisation in Northern Ireland and the largest organisation of Black and migrant workers in both jurisdictions. For more than a decade, women have constituted over 50% of our membership. Congress forms the Trade Union Council of the Isles with the TUC, STUC, and Wales TUC, and is affiliated with the European TUC and the International Trade Union Confederation.</w:t>
      </w:r>
    </w:p>
    <w:p w:rsidR="00C178B5" w:rsidRPr="00BD3B3D" w:rsidP="00C178B5">
      <w:pPr>
        <w:rPr>
          <w:rFonts w:ascii="Verdana" w:hAnsi="Verdana"/>
          <w:b/>
          <w:bCs/>
        </w:rPr>
      </w:pPr>
      <w:r w:rsidRPr="00BD3B3D">
        <w:rPr>
          <w:rFonts w:ascii="Verdana" w:hAnsi="Verdana"/>
          <w:b/>
          <w:bCs/>
        </w:rPr>
        <w:t>Weighting of Consultation Responses</w:t>
      </w:r>
    </w:p>
    <w:p w:rsidR="00C178B5" w:rsidRPr="00BD3B3D" w:rsidP="00C178B5">
      <w:pPr>
        <w:rPr>
          <w:rFonts w:ascii="Verdana" w:hAnsi="Verdana"/>
        </w:rPr>
      </w:pPr>
      <w:r w:rsidRPr="00BD3B3D">
        <w:rPr>
          <w:rFonts w:ascii="Verdana" w:hAnsi="Verdana"/>
        </w:rPr>
        <w:t>ICTU is the largest representative and democratic organisation on the island of Ireland. This consultation response should therefore not be regarded as equivalent to a single individual response and must be weighted appropriately.</w:t>
      </w:r>
    </w:p>
    <w:p w:rsidR="00C178B5" w:rsidRPr="00BD3B3D" w:rsidP="00C178B5">
      <w:pPr>
        <w:rPr>
          <w:rFonts w:ascii="Verdana" w:hAnsi="Verdana"/>
          <w:b/>
          <w:bCs/>
        </w:rPr>
      </w:pPr>
      <w:r w:rsidRPr="00BD3B3D">
        <w:rPr>
          <w:rFonts w:ascii="Verdana" w:hAnsi="Verdana"/>
          <w:b/>
          <w:bCs/>
        </w:rPr>
        <w:t>Endorsement of Other Responses</w:t>
      </w:r>
    </w:p>
    <w:p w:rsidR="00C178B5" w:rsidRPr="00BD3B3D" w:rsidP="00C178B5">
      <w:pPr>
        <w:rPr>
          <w:rFonts w:ascii="Verdana" w:hAnsi="Verdana"/>
        </w:rPr>
      </w:pPr>
      <w:r w:rsidRPr="00BD3B3D">
        <w:rPr>
          <w:rFonts w:ascii="Verdana" w:hAnsi="Verdana"/>
        </w:rPr>
        <w:t>ICTU is a member of the Women’s Policy Group (WPG) and has contributed to its response. The WPG brings together a wide range of organisations and individuals with expertise in gender equality; ICTU endorses the WPG response. ICTU is also a member of the Human Rights Consortium as well as the Equality Coalition and endorses their responses.</w:t>
      </w:r>
    </w:p>
    <w:p w:rsidR="00C178B5" w:rsidRPr="00BD3B3D" w:rsidP="00C178B5">
      <w:pPr>
        <w:rPr>
          <w:rFonts w:ascii="Verdana" w:hAnsi="Verdana"/>
          <w:b/>
          <w:bCs/>
        </w:rPr>
      </w:pPr>
      <w:r w:rsidRPr="00BD3B3D">
        <w:rPr>
          <w:rFonts w:ascii="Verdana" w:hAnsi="Verdana"/>
          <w:b/>
          <w:bCs/>
        </w:rPr>
        <w:t>Background</w:t>
      </w:r>
    </w:p>
    <w:p w:rsidR="00C178B5" w:rsidRPr="00BD3B3D" w:rsidP="00C178B5">
      <w:pPr>
        <w:rPr>
          <w:rFonts w:ascii="Verdana" w:hAnsi="Verdana"/>
        </w:rPr>
      </w:pPr>
      <w:r w:rsidRPr="00BD3B3D">
        <w:rPr>
          <w:rFonts w:ascii="Verdana" w:hAnsi="Verdana"/>
        </w:rPr>
        <w:t xml:space="preserve">We will turn to the specific questions which the Scrutiny Committee poses. However, it is important to also provide background context, including outlining the role that the trade union movement, led by Congress, played in the development of the peace settlement for Northern Ireland. We do this not to rehash history but rather to improve our understanding of why the Article 2 </w:t>
      </w:r>
      <w:r w:rsidRPr="00BD3B3D">
        <w:rPr>
          <w:rFonts w:ascii="Verdana" w:hAnsi="Verdana"/>
        </w:rPr>
        <w:t>protections are so important for stability, coherence, and the peace process in Northern Ireland.</w:t>
      </w:r>
    </w:p>
    <w:p w:rsidR="00C178B5" w:rsidRPr="00BD3B3D" w:rsidP="00C178B5">
      <w:pPr>
        <w:rPr>
          <w:rFonts w:ascii="Verdana" w:hAnsi="Verdana"/>
        </w:rPr>
      </w:pPr>
      <w:r w:rsidRPr="00BD3B3D">
        <w:rPr>
          <w:rFonts w:ascii="Verdana" w:hAnsi="Verdana"/>
        </w:rPr>
        <w:t>Over the past 23 years, the trade union movement’s support for the full implementation of the Belfast / Good Friday Agreement, including the Bill of Rights and the Charter of Rights for the island of Ireland, has been unwavering.</w:t>
      </w:r>
    </w:p>
    <w:p w:rsidR="00C178B5" w:rsidRPr="00BD3B3D" w:rsidP="00C178B5">
      <w:pPr>
        <w:rPr>
          <w:rFonts w:ascii="Verdana" w:hAnsi="Verdana"/>
        </w:rPr>
      </w:pPr>
      <w:r w:rsidRPr="00BD3B3D">
        <w:rPr>
          <w:rFonts w:ascii="Verdana" w:hAnsi="Verdana"/>
        </w:rPr>
        <w:t>Our support for the peace process, the peace agreement, strong inclusive devolved government within a rights-based framework, and our opposition to the opponents of peace has included:</w:t>
      </w:r>
    </w:p>
    <w:p w:rsidR="00C178B5" w:rsidRPr="00BD3B3D" w:rsidP="00C178B5">
      <w:pPr>
        <w:numPr>
          <w:ilvl w:val="0"/>
          <w:numId w:val="1"/>
        </w:numPr>
        <w:rPr>
          <w:rFonts w:ascii="Verdana" w:hAnsi="Verdana"/>
        </w:rPr>
      </w:pPr>
      <w:r w:rsidRPr="00BD3B3D">
        <w:rPr>
          <w:rFonts w:ascii="Verdana" w:hAnsi="Verdana"/>
        </w:rPr>
        <w:t>Many mass mobilisations of trade union members in public demonstrations and political lobbies</w:t>
      </w:r>
    </w:p>
    <w:p w:rsidR="00C178B5" w:rsidRPr="00BD3B3D" w:rsidP="00C178B5">
      <w:pPr>
        <w:numPr>
          <w:ilvl w:val="0"/>
          <w:numId w:val="1"/>
        </w:numPr>
        <w:rPr>
          <w:rFonts w:ascii="Verdana" w:hAnsi="Verdana"/>
        </w:rPr>
      </w:pPr>
      <w:r w:rsidRPr="00BD3B3D">
        <w:rPr>
          <w:rFonts w:ascii="Verdana" w:hAnsi="Verdana"/>
        </w:rPr>
        <w:t>Engagement in public consultations</w:t>
      </w:r>
    </w:p>
    <w:p w:rsidR="00C178B5" w:rsidRPr="00BD3B3D" w:rsidP="00C178B5">
      <w:pPr>
        <w:numPr>
          <w:ilvl w:val="0"/>
          <w:numId w:val="1"/>
        </w:numPr>
        <w:rPr>
          <w:rFonts w:ascii="Verdana" w:hAnsi="Verdana"/>
        </w:rPr>
      </w:pPr>
      <w:r w:rsidRPr="00BD3B3D">
        <w:rPr>
          <w:rFonts w:ascii="Verdana" w:hAnsi="Verdana"/>
        </w:rPr>
        <w:t>Continuous engagement with both the UK and Irish Governments to deliver all aspects of the Belfast / Good Friday Agreement</w:t>
      </w:r>
    </w:p>
    <w:p w:rsidR="00C178B5" w:rsidRPr="00BD3B3D" w:rsidP="00C178B5">
      <w:pPr>
        <w:numPr>
          <w:ilvl w:val="0"/>
          <w:numId w:val="1"/>
        </w:numPr>
        <w:rPr>
          <w:rFonts w:ascii="Verdana" w:hAnsi="Verdana"/>
        </w:rPr>
      </w:pPr>
      <w:r w:rsidRPr="00BD3B3D">
        <w:rPr>
          <w:rFonts w:ascii="Verdana" w:hAnsi="Verdana"/>
        </w:rPr>
        <w:t>International engagement to protect and deliver on the Agreement</w:t>
      </w:r>
    </w:p>
    <w:p w:rsidR="00C178B5" w:rsidRPr="00BD3B3D" w:rsidP="00C178B5">
      <w:pPr>
        <w:numPr>
          <w:ilvl w:val="0"/>
          <w:numId w:val="1"/>
        </w:numPr>
        <w:rPr>
          <w:rFonts w:ascii="Verdana" w:hAnsi="Verdana"/>
        </w:rPr>
      </w:pPr>
      <w:r w:rsidRPr="00BD3B3D">
        <w:rPr>
          <w:rFonts w:ascii="Verdana" w:hAnsi="Verdana"/>
        </w:rPr>
        <w:t>Working ceaselessly with our allies in the human rights and NGO sectors to promote the importance of equality and human rights through the delivery of the Bill of Rights</w:t>
      </w:r>
    </w:p>
    <w:p w:rsidR="00C178B5" w:rsidRPr="00BD3B3D" w:rsidP="00C178B5">
      <w:pPr>
        <w:rPr>
          <w:rFonts w:ascii="Verdana" w:hAnsi="Verdana"/>
        </w:rPr>
      </w:pPr>
      <w:r w:rsidRPr="00BD3B3D">
        <w:rPr>
          <w:rFonts w:ascii="Verdana" w:hAnsi="Verdana"/>
        </w:rPr>
        <w:t xml:space="preserve">In 1998, we recommended to our entire membership that they vote in support of the Belfast / Good Friday Agreement. The key commitments in the Agreement recognised by Congress as having the potential to create a fair and just future included the provisions on equality of opportunity, human rights, a Bill of Rights for Northern Ireland (with a particular emphasis on social and economic rights), and a firm commitment to deal with legacy issues and the past. </w:t>
      </w:r>
      <w:r w:rsidRPr="00BD3B3D">
        <w:rPr>
          <w:rFonts w:ascii="Verdana" w:hAnsi="Verdana"/>
        </w:rPr>
        <w:t>The vast majority of</w:t>
      </w:r>
      <w:r w:rsidRPr="00BD3B3D">
        <w:rPr>
          <w:rFonts w:ascii="Verdana" w:hAnsi="Verdana"/>
        </w:rPr>
        <w:t xml:space="preserve"> our members voted in favour of the Agreement.</w:t>
      </w:r>
    </w:p>
    <w:p w:rsidR="00C178B5" w:rsidRPr="00BD3B3D" w:rsidP="00C178B5">
      <w:pPr>
        <w:rPr>
          <w:rFonts w:ascii="Verdana" w:hAnsi="Verdana"/>
          <w:b/>
          <w:bCs/>
        </w:rPr>
      </w:pPr>
      <w:r w:rsidRPr="00BD3B3D">
        <w:rPr>
          <w:rFonts w:ascii="Verdana" w:hAnsi="Verdana"/>
          <w:b/>
          <w:bCs/>
        </w:rPr>
        <w:t>Bill of Rights Forum</w:t>
      </w:r>
    </w:p>
    <w:p w:rsidR="00C178B5" w:rsidRPr="00BD3B3D" w:rsidP="00C178B5">
      <w:pPr>
        <w:rPr>
          <w:rFonts w:ascii="Verdana" w:hAnsi="Verdana"/>
        </w:rPr>
      </w:pPr>
      <w:r w:rsidRPr="00BD3B3D">
        <w:rPr>
          <w:rFonts w:ascii="Verdana" w:hAnsi="Verdana"/>
        </w:rPr>
        <w:t>From 2007 to 2008, the ICTU fully engaged in the Bill of Rights Forum via our nominees alongside our civil society allies, the churches, the business community, and the political parties. We chaired the largest working group on social and economic rights, and the trade union movement was represented on three of the seven working groups in total. Through the Forum, we made robust arguments regarding trade union rights and social and economic rights being vital components of the Bill of Rights for Northern Ireland.</w:t>
      </w:r>
    </w:p>
    <w:p w:rsidR="00C178B5" w:rsidRPr="00BD3B3D" w:rsidP="00C178B5">
      <w:pPr>
        <w:rPr>
          <w:rFonts w:ascii="Verdana" w:hAnsi="Verdana"/>
        </w:rPr>
      </w:pPr>
      <w:r w:rsidRPr="00BD3B3D">
        <w:rPr>
          <w:rFonts w:ascii="Verdana" w:hAnsi="Verdana"/>
        </w:rPr>
        <w:t>The eventual advice delivered by the NI Human Rights Commission to the Secretary of State in 2008 included recommendations that a Bill of Rights contain provisions on the right to work, and the right to just and favourable conditions of work, irrespective of the status of a worker.</w:t>
      </w:r>
    </w:p>
    <w:p w:rsidR="00C178B5" w:rsidRPr="00BD3B3D" w:rsidP="00C178B5">
      <w:pPr>
        <w:rPr>
          <w:rFonts w:ascii="Verdana" w:hAnsi="Verdana"/>
          <w:b/>
          <w:bCs/>
        </w:rPr>
      </w:pPr>
      <w:r w:rsidRPr="00BD3B3D">
        <w:rPr>
          <w:rFonts w:ascii="Verdana" w:hAnsi="Verdana"/>
          <w:b/>
          <w:bCs/>
        </w:rPr>
        <w:t>Democratic Debate and Defence</w:t>
      </w:r>
    </w:p>
    <w:p w:rsidR="00C178B5" w:rsidRPr="00BD3B3D" w:rsidP="00C178B5">
      <w:pPr>
        <w:rPr>
          <w:rFonts w:ascii="Verdana" w:hAnsi="Verdana"/>
        </w:rPr>
      </w:pPr>
      <w:r w:rsidRPr="00BD3B3D">
        <w:rPr>
          <w:rFonts w:ascii="Verdana" w:hAnsi="Verdana"/>
        </w:rPr>
        <w:t xml:space="preserve">The ICTU holds both an all-Ireland Biennial Conference and, on the alternate year, a Northern Ireland Biennial Conference. Since the signing of the Belfast / Good Friday Agreement, there have been over twenty conferences, with delegates reaffirming support for the full implementation of the Belfast / Good </w:t>
      </w:r>
      <w:r w:rsidRPr="00BD3B3D">
        <w:rPr>
          <w:rFonts w:ascii="Verdana" w:hAnsi="Verdana"/>
        </w:rPr>
        <w:t>Friday Agreement, including the delivery of the promised Bill of Rights and Charter of Rights at every conference.</w:t>
      </w:r>
    </w:p>
    <w:p w:rsidR="00C178B5" w:rsidRPr="00BD3B3D" w:rsidP="00C178B5">
      <w:pPr>
        <w:rPr>
          <w:rFonts w:ascii="Verdana" w:hAnsi="Verdana"/>
          <w:b/>
          <w:bCs/>
        </w:rPr>
      </w:pPr>
      <w:r w:rsidRPr="00BD3B3D">
        <w:rPr>
          <w:rFonts w:ascii="Verdana" w:hAnsi="Verdana"/>
          <w:b/>
          <w:bCs/>
        </w:rPr>
        <w:t>Brexit and Workers’ Rights</w:t>
      </w:r>
    </w:p>
    <w:p w:rsidR="00C178B5" w:rsidRPr="00BD3B3D" w:rsidP="00C178B5">
      <w:pPr>
        <w:rPr>
          <w:rFonts w:ascii="Verdana" w:hAnsi="Verdana"/>
        </w:rPr>
      </w:pPr>
      <w:r w:rsidRPr="00BD3B3D">
        <w:rPr>
          <w:rFonts w:ascii="Verdana" w:hAnsi="Verdana"/>
        </w:rPr>
        <w:t>From the point at which the EU referendum was called in 2016, Congress has been concerned by the potential impact that a UK exit from the EU could have on protecting the rights of workers in Northern Ireland—one of the key reasons why Congress called for a vote to remain. EU law has long underpinned a range of key employment and anti-discrimination laws. As the Brexit process unfolded, our concern was that outside of the EU, future governments could seek to weaken or erode these rights over time, and that there will be divergence between standards as EU law further develops.</w:t>
      </w:r>
    </w:p>
    <w:p w:rsidR="00C178B5" w:rsidRPr="00BD3B3D" w:rsidP="00C178B5">
      <w:pPr>
        <w:rPr>
          <w:rFonts w:ascii="Verdana" w:hAnsi="Verdana"/>
        </w:rPr>
      </w:pPr>
      <w:r w:rsidRPr="00BD3B3D">
        <w:rPr>
          <w:rFonts w:ascii="Verdana" w:hAnsi="Verdana"/>
        </w:rPr>
        <w:t>Article 2 of the Windsor Framework commits the UK Government to no diminution of rights, safeguards, and equality of opportunity in Northern Ireland, as well as to 'keep pace' with specific Equality Directives.</w:t>
      </w:r>
    </w:p>
    <w:p w:rsidR="00C178B5" w:rsidRPr="00BD3B3D" w:rsidP="00C178B5">
      <w:pPr>
        <w:rPr>
          <w:rFonts w:ascii="Verdana" w:hAnsi="Verdana"/>
          <w:b/>
          <w:bCs/>
        </w:rPr>
      </w:pPr>
      <w:r w:rsidRPr="00BD3B3D">
        <w:rPr>
          <w:rFonts w:ascii="Verdana" w:hAnsi="Verdana"/>
          <w:b/>
          <w:bCs/>
        </w:rPr>
        <w:t>The Human Rights Consortium States:</w:t>
      </w:r>
    </w:p>
    <w:p w:rsidR="00C178B5" w:rsidRPr="00BD3B3D" w:rsidP="00C178B5">
      <w:pPr>
        <w:rPr>
          <w:rFonts w:ascii="Verdana" w:hAnsi="Verdana"/>
        </w:rPr>
      </w:pPr>
      <w:r w:rsidRPr="00BD3B3D">
        <w:rPr>
          <w:rFonts w:ascii="Verdana" w:hAnsi="Verdana"/>
        </w:rPr>
        <w:t>The Windsor Framework contains a small but important set of protections for human rights standards in Northern Ireland that derive from our previous membership of the European Union. These could be very simply categorised as the ‘non-diminution’ commitment and the 'keeping pace' commitment.</w:t>
      </w:r>
    </w:p>
    <w:p w:rsidR="00C178B5" w:rsidRPr="00BD3B3D" w:rsidP="00C178B5">
      <w:pPr>
        <w:rPr>
          <w:rFonts w:ascii="Verdana" w:hAnsi="Verdana"/>
        </w:rPr>
      </w:pPr>
      <w:r w:rsidRPr="00BD3B3D">
        <w:rPr>
          <w:rFonts w:ascii="Verdana" w:hAnsi="Verdana"/>
        </w:rPr>
        <w:t>The non-diminution commitment arises from Article 2 of the Windsor Framework, which commits the UK Government to ensuring that the rights contained within the ‘Rights, Safeguards and Equality of Opportunity’ section of the Belfast / Good Friday Agreement (‘1998 Agreement’) are not diminished.</w:t>
      </w:r>
    </w:p>
    <w:p w:rsidR="00C178B5" w:rsidRPr="00BD3B3D" w:rsidP="00C178B5">
      <w:pPr>
        <w:rPr>
          <w:rFonts w:ascii="Verdana" w:hAnsi="Verdana"/>
        </w:rPr>
      </w:pPr>
      <w:r w:rsidRPr="00BD3B3D">
        <w:rPr>
          <w:rFonts w:ascii="Verdana" w:hAnsi="Verdana"/>
        </w:rPr>
        <w:t>By contrast, the 'keeping pace' commitment has received far less attention to date, with no litigation testing its scope. This obligation also stems from Article 2 of the Windsor Framework, which requires the UK Government to maintain in Northern Ireland law the application of six EU equality directives listed in Annex 1 of the Framework.</w:t>
      </w:r>
    </w:p>
    <w:p w:rsidR="00C178B5" w:rsidRPr="00BD3B3D" w:rsidP="00C178B5">
      <w:pPr>
        <w:rPr>
          <w:rFonts w:ascii="Verdana" w:hAnsi="Verdana"/>
        </w:rPr>
      </w:pPr>
      <w:r w:rsidRPr="00BD3B3D">
        <w:rPr>
          <w:rFonts w:ascii="Verdana" w:hAnsi="Verdana"/>
        </w:rPr>
        <w:t>Not only do the six equality Directives continue to apply in Northern Ireland, but significantly, Article 13(3) of the Framework also stipulates a dynamic alignment obligation. This means that if the Directives are changed or updated at an EU level, Northern Ireland protections must also 'keep pace' with those amendments or replacements locally.</w:t>
      </w:r>
    </w:p>
    <w:p w:rsidR="00C178B5" w:rsidRPr="00BD3B3D" w:rsidP="00C178B5">
      <w:pPr>
        <w:rPr>
          <w:rFonts w:ascii="Verdana" w:hAnsi="Verdana"/>
        </w:rPr>
      </w:pPr>
      <w:r w:rsidRPr="00BD3B3D">
        <w:rPr>
          <w:rFonts w:ascii="Verdana" w:hAnsi="Verdana"/>
        </w:rPr>
        <w:t>The Equality Commission for Northern Ireland (ECNI) and the Northern Ireland Human Rights Commission (NIHRC) (the ‘Dedicated Mechanism’) have analysed the Pay Transparency Directive (PTD) and concluded that, apart from a few provisions irrelevant due to the UK’s departure from the EU, the PTD significantly amends and replaces aspects of the Recast Equal Treatment Directive, one of the six equality Directives listed in Annex 1 of the Windsor Framework.</w:t>
      </w:r>
    </w:p>
    <w:p w:rsidR="00C178B5" w:rsidRPr="00BD3B3D" w:rsidP="00C178B5">
      <w:pPr>
        <w:rPr>
          <w:rFonts w:ascii="Verdana" w:hAnsi="Verdana"/>
        </w:rPr>
      </w:pPr>
      <w:r w:rsidRPr="00BD3B3D">
        <w:rPr>
          <w:rFonts w:ascii="Verdana" w:hAnsi="Verdana"/>
        </w:rPr>
        <w:t xml:space="preserve">This recommendation was delivered in March 2024, but to date, there has been no indication from the UK Government or the Northern Ireland Executive as to when the Directive will be applied. Given the failure of the Northern Ireland </w:t>
      </w:r>
      <w:r w:rsidRPr="00BD3B3D">
        <w:rPr>
          <w:rFonts w:ascii="Verdana" w:hAnsi="Verdana"/>
        </w:rPr>
        <w:t xml:space="preserve">Executive to introduce legislation to tackle pay inequality, including basic measures such as gender pay reporting regulations, this effectively means that female workers in Northern Ireland will continue to face </w:t>
      </w:r>
      <w:r w:rsidRPr="00BD3B3D">
        <w:rPr>
          <w:rFonts w:ascii="Verdana" w:hAnsi="Verdana"/>
        </w:rPr>
        <w:t>an</w:t>
      </w:r>
      <w:r w:rsidRPr="00BD3B3D">
        <w:rPr>
          <w:rFonts w:ascii="Verdana" w:hAnsi="Verdana"/>
        </w:rPr>
        <w:t xml:space="preserve"> widening protection gap compared to their counterparts in the EU.</w:t>
      </w:r>
    </w:p>
    <w:p w:rsidR="008474B5" w:rsidRPr="00BD3B3D" w:rsidP="008474B5">
      <w:pPr>
        <w:rPr>
          <w:rFonts w:ascii="Verdana" w:hAnsi="Verdana"/>
        </w:rPr>
      </w:pPr>
      <w:r w:rsidRPr="00BD3B3D">
        <w:rPr>
          <w:rFonts w:ascii="Verdana" w:hAnsi="Verdana"/>
        </w:rPr>
        <w:t>During the process of negotiating the EU–UK Trade and Cooperation Agreement (TCA), it became increasingly clear that the UK Government was unwilling to commit to ‘level playing field’ provisions guaranteeing workers’ rights. The final TCA contains only weak commitments in these areas, primarily not to lower current levels of labour and social protections to the extent that any reductions may affect trade or investment.</w:t>
      </w:r>
    </w:p>
    <w:p w:rsidR="008474B5" w:rsidRPr="00BD3B3D" w:rsidP="008474B5">
      <w:pPr>
        <w:rPr>
          <w:rFonts w:ascii="Verdana" w:hAnsi="Verdana"/>
        </w:rPr>
      </w:pPr>
      <w:r w:rsidRPr="00BD3B3D">
        <w:rPr>
          <w:rFonts w:ascii="Verdana" w:hAnsi="Verdana"/>
        </w:rPr>
        <w:t>There is no commitment to ‘dynamic alignment’ between the EU and the UK over time. The potential that rights in these areas will be eroded has only increased, since proving that reductions in rights for workers have negatively impacted trade or investment may be extremely challenging.</w:t>
      </w:r>
    </w:p>
    <w:p w:rsidR="008474B5" w:rsidRPr="00BD3B3D" w:rsidP="008474B5">
      <w:pPr>
        <w:rPr>
          <w:rFonts w:ascii="Verdana" w:hAnsi="Verdana"/>
        </w:rPr>
      </w:pPr>
      <w:r w:rsidRPr="00BD3B3D">
        <w:rPr>
          <w:rFonts w:ascii="Verdana" w:hAnsi="Verdana"/>
        </w:rPr>
        <w:t>Employment and equality laws are devolved to the Northern Ireland Assembly. Since the referendum, Congress has lobbied for the introduction of an Employment Rights Bill to ensure that workers in Northern Ireland do not fall further behind their UK and Irish counterparts. Most recently, we expected the Northern Ireland Assembly to introduce the Employment Rights (Good Jobs) Bill. Of the 19 measures contained in this Bill, 16 were to ‘catch up’ with Great Britain, with the remaining proposals relating to regulating exploitative hours contracts and strengthening trade union access. The failure of the Assembly to introduce the Bill to the floor underlines the importance of the limited protections offered by Article 2.</w:t>
      </w:r>
    </w:p>
    <w:p w:rsidR="008474B5" w:rsidRPr="00BD3B3D" w:rsidP="008474B5">
      <w:pPr>
        <w:rPr>
          <w:rFonts w:ascii="Verdana" w:hAnsi="Verdana"/>
        </w:rPr>
      </w:pPr>
    </w:p>
    <w:p w:rsidR="008474B5" w:rsidRPr="00BD3B3D" w:rsidP="008474B5">
      <w:pPr>
        <w:rPr>
          <w:rFonts w:ascii="Verdana" w:hAnsi="Verdana"/>
          <w:b/>
          <w:bCs/>
        </w:rPr>
      </w:pPr>
      <w:r w:rsidRPr="00BD3B3D">
        <w:rPr>
          <w:rFonts w:ascii="Verdana" w:hAnsi="Verdana"/>
          <w:b/>
          <w:bCs/>
        </w:rPr>
        <w:t>Origins and Obligations of Article 2 of the Windsor Framework (WF)</w:t>
      </w:r>
    </w:p>
    <w:p w:rsidR="008474B5" w:rsidRPr="00BD3B3D" w:rsidP="008474B5">
      <w:pPr>
        <w:rPr>
          <w:rFonts w:ascii="Verdana" w:hAnsi="Verdana"/>
          <w:b/>
          <w:bCs/>
        </w:rPr>
      </w:pPr>
      <w:r w:rsidRPr="00BD3B3D">
        <w:rPr>
          <w:rFonts w:ascii="Verdana" w:hAnsi="Verdana"/>
          <w:b/>
          <w:bCs/>
        </w:rPr>
        <w:t>1. Why did the UK and EU negotiate and include Article 2 WF in the Protocol / Windsor Framework? How does Article 2 WF relate to the Belfast / Good Friday Agreement?</w:t>
      </w:r>
    </w:p>
    <w:p w:rsidR="008474B5" w:rsidRPr="00BD3B3D" w:rsidP="008474B5">
      <w:pPr>
        <w:rPr>
          <w:rFonts w:ascii="Verdana" w:hAnsi="Verdana"/>
        </w:rPr>
      </w:pPr>
      <w:r w:rsidRPr="00BD3B3D">
        <w:rPr>
          <w:rFonts w:ascii="Verdana" w:hAnsi="Verdana"/>
        </w:rPr>
        <w:t>Brexit did not occur against a backdrop of fully realised rights protections. It occurred while key elements of the Belfast / Good Friday Agreement's rights framework remained unfinished. Many people feared that rights protections were not simply being altered, but that one of the few functioning pillars of the existing system was being removed before the wider structure promised by the Agreement had ever been built.</w:t>
      </w:r>
    </w:p>
    <w:p w:rsidR="008474B5" w:rsidRPr="00BD3B3D" w:rsidP="008474B5">
      <w:pPr>
        <w:rPr>
          <w:rFonts w:ascii="Verdana" w:hAnsi="Verdana"/>
        </w:rPr>
      </w:pPr>
      <w:r w:rsidRPr="00BD3B3D">
        <w:rPr>
          <w:rFonts w:ascii="Verdana" w:hAnsi="Verdana"/>
        </w:rPr>
        <w:t>In its own explainer document, the UK Government stated:</w:t>
      </w:r>
    </w:p>
    <w:p w:rsidR="008474B5" w:rsidRPr="00BD3B3D" w:rsidP="008474B5">
      <w:pPr>
        <w:rPr>
          <w:rFonts w:ascii="Verdana" w:hAnsi="Verdana"/>
        </w:rPr>
      </w:pPr>
      <w:r w:rsidRPr="00BD3B3D">
        <w:rPr>
          <w:rFonts w:ascii="Verdana" w:hAnsi="Verdana"/>
        </w:rPr>
        <w:t xml:space="preserve">"The UK Government’s approach to withdrawal from the European Union (EU) has been underpinned by our steadfast commitment to upholding the Belfast (‘Good Friday’) Agreement (“the Agreement”) in all its parts. This includes its provisions on citizenship and identity. We acknowledge the importance of the rights and equality protections set out in the Agreement, which recognise the unique circumstances of Northern Ireland’s history and the need to put rights </w:t>
      </w:r>
      <w:r w:rsidRPr="00BD3B3D">
        <w:rPr>
          <w:rFonts w:ascii="Verdana" w:hAnsi="Verdana"/>
        </w:rPr>
        <w:t>and equality central to creating a peaceful and shared future in Northern Ireland..."</w:t>
      </w:r>
    </w:p>
    <w:p w:rsidR="008474B5" w:rsidRPr="00BD3B3D" w:rsidP="008474B5">
      <w:pPr>
        <w:rPr>
          <w:rFonts w:ascii="Verdana" w:hAnsi="Verdana"/>
          <w:b/>
          <w:bCs/>
        </w:rPr>
      </w:pPr>
      <w:r w:rsidRPr="00BD3B3D">
        <w:rPr>
          <w:rFonts w:ascii="Verdana" w:hAnsi="Verdana"/>
          <w:b/>
          <w:bCs/>
        </w:rPr>
        <w:t>2. Prior to Brexit, how were the rights, safeguards, and equality of opportunity (RSEO) provisions of the Belfast / Good Friday Agreement protected?</w:t>
      </w:r>
    </w:p>
    <w:p w:rsidR="008474B5" w:rsidRPr="00BD3B3D" w:rsidP="008474B5">
      <w:pPr>
        <w:rPr>
          <w:rFonts w:ascii="Verdana" w:hAnsi="Verdana"/>
        </w:rPr>
      </w:pPr>
      <w:r w:rsidRPr="00BD3B3D">
        <w:rPr>
          <w:rFonts w:ascii="Verdana" w:hAnsi="Verdana"/>
        </w:rPr>
        <w:t>Prior to Brexit, all remedies and procedures which were available under the EU treaties were available to residents in the UK without the need for further legislation, and individuals had direct recourse to EU courts to protect those rights.</w:t>
      </w:r>
    </w:p>
    <w:p w:rsidR="008474B5" w:rsidRPr="00BD3B3D" w:rsidP="008474B5">
      <w:pPr>
        <w:rPr>
          <w:rFonts w:ascii="Verdana" w:hAnsi="Verdana"/>
        </w:rPr>
      </w:pPr>
      <w:r w:rsidRPr="00BD3B3D">
        <w:rPr>
          <w:rFonts w:ascii="Verdana" w:hAnsi="Verdana"/>
        </w:rPr>
        <w:t>In practice, this meant that in many cases where domestic law was updated to protect rights, safeguards, and equality of opportunity, it was carried out via incorporating EU directives directly into domestic legislation or incorporating them with amendments. In others, the protections provided by the EU itself, and the case law generated by its courts, were sufficient grounds, and individuals could rely on those to pursue justice or to protect their rights.</w:t>
      </w:r>
    </w:p>
    <w:p w:rsidR="008474B5" w:rsidRPr="00BD3B3D" w:rsidP="008474B5">
      <w:pPr>
        <w:rPr>
          <w:rFonts w:ascii="Verdana" w:hAnsi="Verdana"/>
          <w:b/>
          <w:bCs/>
        </w:rPr>
      </w:pPr>
      <w:r w:rsidRPr="00BD3B3D">
        <w:rPr>
          <w:rFonts w:ascii="Verdana" w:hAnsi="Verdana"/>
          <w:b/>
          <w:bCs/>
        </w:rPr>
        <w:t>3. What is your view as to the inclusion of Article 2 WF in the Protocol / Windsor Framework?</w:t>
      </w:r>
    </w:p>
    <w:p w:rsidR="008474B5" w:rsidRPr="00BD3B3D" w:rsidP="008474B5">
      <w:pPr>
        <w:rPr>
          <w:rFonts w:ascii="Verdana" w:hAnsi="Verdana"/>
        </w:rPr>
      </w:pPr>
      <w:r w:rsidRPr="00BD3B3D">
        <w:rPr>
          <w:rFonts w:ascii="Verdana" w:hAnsi="Verdana"/>
        </w:rPr>
        <w:t>Congress strongly supports the inclusion of Article 2 of the WF. The inclusion of Article 2 was clearly deemed to be necessary by the UK, EU, and Irish Governments and should not be in dispute; the UK Government must honour its commitments.</w:t>
      </w:r>
    </w:p>
    <w:p w:rsidR="008474B5" w:rsidRPr="00BD3B3D" w:rsidP="008474B5">
      <w:pPr>
        <w:rPr>
          <w:rFonts w:ascii="Verdana" w:hAnsi="Verdana"/>
          <w:b/>
          <w:bCs/>
        </w:rPr>
      </w:pPr>
      <w:r w:rsidRPr="00BD3B3D">
        <w:rPr>
          <w:rFonts w:ascii="Verdana" w:hAnsi="Verdana"/>
          <w:b/>
          <w:bCs/>
        </w:rPr>
        <w:t>4. What obligation is imposed on the UK Government by Article 2 WF? What is the significance of this obligation for Northern Ireland, and for the UK Government?</w:t>
      </w:r>
    </w:p>
    <w:p w:rsidR="008474B5" w:rsidRPr="00BD3B3D" w:rsidP="008474B5">
      <w:pPr>
        <w:rPr>
          <w:rFonts w:ascii="Verdana" w:hAnsi="Verdana"/>
        </w:rPr>
      </w:pPr>
      <w:r w:rsidRPr="00BD3B3D">
        <w:rPr>
          <w:rFonts w:ascii="Verdana" w:hAnsi="Verdana"/>
        </w:rPr>
        <w:t>The obligation is stated clearly. Article 2 says that:</w:t>
      </w:r>
    </w:p>
    <w:p w:rsidR="008474B5" w:rsidRPr="00BD3B3D" w:rsidP="008474B5">
      <w:pPr>
        <w:rPr>
          <w:rFonts w:ascii="Verdana" w:hAnsi="Verdana"/>
        </w:rPr>
      </w:pPr>
      <w:r w:rsidRPr="00BD3B3D">
        <w:rPr>
          <w:rFonts w:ascii="Verdana" w:hAnsi="Verdana"/>
        </w:rPr>
        <w:t>"The United Kingdom shall ensure that no diminution of rights, safeguards or equality of opportunity, as set out in that part of the 1998 Agreement entitled Rights, Safeguards and Equality of Opportunity results from its withdrawal from the Union, including in the area of protection against discrimination, as enshrined in the provisions of Union law listed in Annex 1 to this Protocol, and shall implement this paragraph through dedicated mechanisms."</w:t>
      </w:r>
    </w:p>
    <w:p w:rsidR="008474B5" w:rsidRPr="00BD3B3D" w:rsidP="008474B5">
      <w:pPr>
        <w:rPr>
          <w:rFonts w:ascii="Verdana" w:hAnsi="Verdana"/>
        </w:rPr>
      </w:pPr>
    </w:p>
    <w:p w:rsidR="008474B5" w:rsidRPr="00BD3B3D" w:rsidP="008474B5">
      <w:pPr>
        <w:rPr>
          <w:rFonts w:ascii="Verdana" w:hAnsi="Verdana"/>
          <w:b/>
          <w:bCs/>
        </w:rPr>
      </w:pPr>
      <w:r w:rsidRPr="00BD3B3D">
        <w:rPr>
          <w:rFonts w:ascii="Verdana" w:hAnsi="Verdana"/>
          <w:b/>
          <w:bCs/>
        </w:rPr>
        <w:t>Protection of Rights</w:t>
      </w:r>
    </w:p>
    <w:p w:rsidR="008474B5" w:rsidRPr="00BD3B3D" w:rsidP="008474B5">
      <w:pPr>
        <w:rPr>
          <w:rFonts w:ascii="Verdana" w:hAnsi="Verdana"/>
          <w:b/>
          <w:bCs/>
        </w:rPr>
      </w:pPr>
      <w:r w:rsidRPr="00BD3B3D">
        <w:rPr>
          <w:rFonts w:ascii="Verdana" w:hAnsi="Verdana"/>
          <w:b/>
          <w:bCs/>
        </w:rPr>
        <w:t xml:space="preserve">5. The UK Supreme Court said in </w:t>
      </w:r>
      <w:r w:rsidRPr="00BD3B3D">
        <w:rPr>
          <w:rFonts w:ascii="Verdana" w:hAnsi="Verdana"/>
          <w:b/>
          <w:bCs/>
          <w:i/>
          <w:iCs/>
        </w:rPr>
        <w:t>Dillon</w:t>
      </w:r>
      <w:r w:rsidRPr="00BD3B3D">
        <w:rPr>
          <w:rFonts w:ascii="Verdana" w:hAnsi="Verdana"/>
          <w:b/>
          <w:bCs/>
        </w:rPr>
        <w:t xml:space="preserve"> that Article 2(1) WF was directly effective in certain circumstances. What are those circumstances? And what rights are covered in these circumstances?</w:t>
      </w:r>
    </w:p>
    <w:p w:rsidR="008474B5" w:rsidRPr="00BD3B3D" w:rsidP="008474B5">
      <w:pPr>
        <w:rPr>
          <w:rFonts w:ascii="Verdana" w:hAnsi="Verdana"/>
        </w:rPr>
      </w:pPr>
      <w:r w:rsidRPr="00BD3B3D">
        <w:rPr>
          <w:rFonts w:ascii="Verdana" w:hAnsi="Verdana"/>
        </w:rPr>
        <w:t xml:space="preserve">While the long-term impacts of the judgment from the </w:t>
      </w:r>
      <w:r w:rsidRPr="00BD3B3D">
        <w:rPr>
          <w:rFonts w:ascii="Verdana" w:hAnsi="Verdana"/>
          <w:i/>
          <w:iCs/>
        </w:rPr>
        <w:t>Dillon</w:t>
      </w:r>
      <w:r w:rsidRPr="00BD3B3D">
        <w:rPr>
          <w:rFonts w:ascii="Verdana" w:hAnsi="Verdana"/>
        </w:rPr>
        <w:t xml:space="preserve"> case remain to be seen, we are very concerned by the direction of travel. We fully endorse the more detailed analysis provided by our partner organisation, the Human Rights Consortium (HRC). We agree with the HRC that:</w:t>
      </w:r>
    </w:p>
    <w:p w:rsidR="008474B5" w:rsidRPr="00BD3B3D" w:rsidP="008474B5">
      <w:pPr>
        <w:numPr>
          <w:ilvl w:val="0"/>
          <w:numId w:val="3"/>
        </w:numPr>
        <w:rPr>
          <w:rFonts w:ascii="Verdana" w:hAnsi="Verdana"/>
        </w:rPr>
      </w:pPr>
      <w:r w:rsidRPr="00BD3B3D">
        <w:rPr>
          <w:rFonts w:ascii="Verdana" w:hAnsi="Verdana"/>
        </w:rPr>
        <w:t xml:space="preserve">The decision of the UK Government to pursue the </w:t>
      </w:r>
      <w:r w:rsidRPr="00BD3B3D">
        <w:rPr>
          <w:rFonts w:ascii="Verdana" w:hAnsi="Verdana"/>
          <w:i/>
          <w:iCs/>
        </w:rPr>
        <w:t>Dillon</w:t>
      </w:r>
      <w:r w:rsidRPr="00BD3B3D">
        <w:rPr>
          <w:rFonts w:ascii="Verdana" w:hAnsi="Verdana"/>
        </w:rPr>
        <w:t xml:space="preserve"> case to the Supreme Court was unnecessary and undermined the determinations reached by the courts in Northern Ireland.</w:t>
      </w:r>
    </w:p>
    <w:p w:rsidR="008474B5" w:rsidRPr="00BD3B3D" w:rsidP="008474B5">
      <w:pPr>
        <w:numPr>
          <w:ilvl w:val="0"/>
          <w:numId w:val="3"/>
        </w:numPr>
        <w:rPr>
          <w:rFonts w:ascii="Verdana" w:hAnsi="Verdana"/>
        </w:rPr>
      </w:pPr>
      <w:r w:rsidRPr="00BD3B3D">
        <w:rPr>
          <w:rFonts w:ascii="Verdana" w:hAnsi="Verdana"/>
        </w:rPr>
        <w:t>The arguments advanced by the UK Government indicate the pursuit of a more restrictive interpretation of Article 2, once there was an indication that the commitments would (as was intended) constrain rights-regressive measures.</w:t>
      </w:r>
    </w:p>
    <w:p w:rsidR="008474B5" w:rsidRPr="00BD3B3D" w:rsidP="008474B5">
      <w:pPr>
        <w:numPr>
          <w:ilvl w:val="0"/>
          <w:numId w:val="3"/>
        </w:numPr>
        <w:rPr>
          <w:rFonts w:ascii="Verdana" w:hAnsi="Verdana"/>
        </w:rPr>
      </w:pPr>
      <w:r w:rsidRPr="00BD3B3D">
        <w:rPr>
          <w:rFonts w:ascii="Verdana" w:hAnsi="Verdana"/>
        </w:rPr>
        <w:t>We have concerns about the new and more restrictive way in which the Court approached the direct effect question.</w:t>
      </w:r>
    </w:p>
    <w:p w:rsidR="008474B5" w:rsidRPr="00BD3B3D" w:rsidP="008474B5">
      <w:pPr>
        <w:numPr>
          <w:ilvl w:val="0"/>
          <w:numId w:val="3"/>
        </w:numPr>
        <w:rPr>
          <w:rFonts w:ascii="Verdana" w:hAnsi="Verdana"/>
        </w:rPr>
      </w:pPr>
      <w:r w:rsidRPr="00BD3B3D">
        <w:rPr>
          <w:rFonts w:ascii="Verdana" w:hAnsi="Verdana"/>
        </w:rPr>
        <w:t>The judgment places considerable emphasis on the Agreement as a response to sectarian conflict. While sectarian division was undoubtedly a central issue, the Agreement was about much more than managing relations between unionists and nationalists. It addressed questions of governance, equality, rights, democratic participation, state accountability, policing, identity, and the future constitutional and social development of Northern Ireland.</w:t>
      </w:r>
    </w:p>
    <w:p w:rsidR="008474B5" w:rsidRPr="00BD3B3D" w:rsidP="008474B5">
      <w:pPr>
        <w:rPr>
          <w:rFonts w:ascii="Verdana" w:hAnsi="Verdana"/>
        </w:rPr>
      </w:pPr>
      <w:r w:rsidRPr="00BD3B3D">
        <w:rPr>
          <w:rFonts w:ascii="Verdana" w:hAnsi="Verdana"/>
        </w:rPr>
        <w:t xml:space="preserve">There are </w:t>
      </w:r>
      <w:r w:rsidRPr="00BD3B3D">
        <w:rPr>
          <w:rFonts w:ascii="Verdana" w:hAnsi="Verdana"/>
        </w:rPr>
        <w:t>particular concerns</w:t>
      </w:r>
      <w:r w:rsidRPr="00BD3B3D">
        <w:rPr>
          <w:rFonts w:ascii="Verdana" w:hAnsi="Verdana"/>
        </w:rPr>
        <w:t xml:space="preserve"> for women in this interpretation. One of the hard-fought commitments in the Belfast / Good Friday Agreement related to the full and equal participation of women in public and political life. A narrow view that the Agreement </w:t>
      </w:r>
      <w:r w:rsidRPr="00BD3B3D" w:rsidR="00E130EF">
        <w:rPr>
          <w:rFonts w:ascii="Verdana" w:hAnsi="Verdana"/>
        </w:rPr>
        <w:t xml:space="preserve">protections applied only to issues of ‘sectarianism’ is to be robustly rejected and </w:t>
      </w:r>
      <w:r w:rsidRPr="00BD3B3D">
        <w:rPr>
          <w:rFonts w:ascii="Verdana" w:hAnsi="Verdana"/>
        </w:rPr>
        <w:t>completely misses the commitment to full equality and the advancement of women.</w:t>
      </w:r>
    </w:p>
    <w:p w:rsidR="008474B5" w:rsidRPr="00BD3B3D" w:rsidP="008474B5">
      <w:pPr>
        <w:rPr>
          <w:rFonts w:ascii="Verdana" w:hAnsi="Verdana"/>
          <w:b/>
          <w:bCs/>
        </w:rPr>
      </w:pPr>
      <w:r w:rsidRPr="00BD3B3D">
        <w:rPr>
          <w:rFonts w:ascii="Verdana" w:hAnsi="Verdana"/>
          <w:b/>
          <w:bCs/>
        </w:rPr>
        <w:t>6. Who can rely on Article 2 WF and when?</w:t>
      </w:r>
    </w:p>
    <w:p w:rsidR="008474B5" w:rsidRPr="00BD3B3D" w:rsidP="008474B5">
      <w:pPr>
        <w:rPr>
          <w:rFonts w:ascii="Verdana" w:hAnsi="Verdana"/>
        </w:rPr>
      </w:pPr>
      <w:r w:rsidRPr="00BD3B3D">
        <w:rPr>
          <w:rFonts w:ascii="Verdana" w:hAnsi="Verdana"/>
        </w:rPr>
        <w:t xml:space="preserve">The explainer published by the UK Government following the Withdrawal Agreement and the Windsor Framework—which was available on its website until the day after the </w:t>
      </w:r>
      <w:r w:rsidRPr="00BD3B3D">
        <w:rPr>
          <w:rFonts w:ascii="Verdana" w:hAnsi="Verdana"/>
          <w:i/>
          <w:iCs/>
        </w:rPr>
        <w:t>Dillon</w:t>
      </w:r>
      <w:r w:rsidRPr="00BD3B3D">
        <w:rPr>
          <w:rFonts w:ascii="Verdana" w:hAnsi="Verdana"/>
        </w:rPr>
        <w:t xml:space="preserve"> judgment and has yet to be replaced by alternative guidance—states that:</w:t>
      </w:r>
    </w:p>
    <w:p w:rsidR="008474B5" w:rsidRPr="00BD3B3D" w:rsidP="008474B5">
      <w:pPr>
        <w:rPr>
          <w:rFonts w:ascii="Verdana" w:hAnsi="Verdana"/>
        </w:rPr>
      </w:pPr>
      <w:r w:rsidRPr="00BD3B3D">
        <w:rPr>
          <w:rFonts w:ascii="Verdana" w:hAnsi="Verdana"/>
        </w:rPr>
        <w:t>"The commitment to no diminution of rights, safeguards and equality of opportunity applies to Northern Ireland. This means that everyone who is subject to Northern Ireland law—irrespective of whether such law has been passed by the Northern Ireland legislature or Westminster—will be covered."</w:t>
      </w:r>
    </w:p>
    <w:p w:rsidR="008474B5" w:rsidRPr="00BD3B3D" w:rsidP="008474B5">
      <w:pPr>
        <w:rPr>
          <w:rFonts w:ascii="Verdana" w:hAnsi="Verdana"/>
        </w:rPr>
      </w:pPr>
      <w:r w:rsidRPr="00BD3B3D">
        <w:rPr>
          <w:rFonts w:ascii="Verdana" w:hAnsi="Verdana"/>
        </w:rPr>
        <w:t>This means that the UK Government’s own view was that anyone subject to Northern Ireland law can rely on Article 2 at any time when their rights or equality of opportunity are curtailed in this manner.</w:t>
      </w:r>
    </w:p>
    <w:p w:rsidR="008474B5" w:rsidRPr="00BD3B3D" w:rsidP="008474B5">
      <w:pPr>
        <w:rPr>
          <w:rFonts w:ascii="Verdana" w:hAnsi="Verdana"/>
          <w:b/>
          <w:bCs/>
        </w:rPr>
      </w:pPr>
      <w:r w:rsidRPr="00BD3B3D">
        <w:rPr>
          <w:rFonts w:ascii="Verdana" w:hAnsi="Verdana"/>
          <w:b/>
          <w:bCs/>
        </w:rPr>
        <w:t>7. What is classified as a ‘diminution’ of rights under Article 2 WF and how is a breach determined?</w:t>
      </w:r>
    </w:p>
    <w:p w:rsidR="008474B5" w:rsidRPr="00BD3B3D" w:rsidP="008474B5">
      <w:pPr>
        <w:rPr>
          <w:rFonts w:ascii="Verdana" w:hAnsi="Verdana"/>
        </w:rPr>
      </w:pPr>
      <w:r w:rsidRPr="00BD3B3D">
        <w:rPr>
          <w:rFonts w:ascii="Verdana" w:hAnsi="Verdana"/>
        </w:rPr>
        <w:t>From the UK Government’s explainer document:</w:t>
      </w:r>
    </w:p>
    <w:p w:rsidR="008474B5" w:rsidRPr="00BD3B3D" w:rsidP="008474B5">
      <w:pPr>
        <w:rPr>
          <w:rFonts w:ascii="Verdana" w:hAnsi="Verdana"/>
        </w:rPr>
      </w:pPr>
      <w:r w:rsidRPr="00BD3B3D">
        <w:rPr>
          <w:rFonts w:ascii="Verdana" w:hAnsi="Verdana"/>
        </w:rPr>
        <w:t>"The Protocol commitment means that the UK Government must ensure that the protections currently in place in Northern Ireland for the rights, safeguards and equality of opportunity provisions set out in the relevant chapter of the Agreement are not diminished as a result of the UK leaving the EU.</w:t>
      </w:r>
    </w:p>
    <w:p w:rsidR="008474B5" w:rsidRPr="00BD3B3D" w:rsidP="008474B5">
      <w:pPr>
        <w:rPr>
          <w:rFonts w:ascii="Verdana" w:hAnsi="Verdana"/>
        </w:rPr>
      </w:pPr>
      <w:r w:rsidRPr="00BD3B3D">
        <w:rPr>
          <w:rFonts w:ascii="Verdana" w:hAnsi="Verdana"/>
        </w:rPr>
        <w:t>We do not envisage any circumstances whatsoever in which any UK Government or Parliament would contemplate any regression in the rights set out in that chapter, but the commitment nonetheless provides a legally binding safeguard. It means that, in the extremely unlikely event that such a diminution occurs, the UK Government will be legally obliged to ensure that holders of the relevant rights are able to bring challenges before the domestic courts and, should their challenges be upheld, that appropriate remedies are available. As well as preventing any reduction of the relevant rights, safeguards, and equality of opportunity protections, this dynamic framework guarantees that any breach will be subject to robust judicial oversight and enforcement."</w:t>
      </w:r>
    </w:p>
    <w:p w:rsidR="00DF17F1" w:rsidRPr="00BD3B3D" w:rsidP="00DF17F1">
      <w:pPr>
        <w:rPr>
          <w:rFonts w:ascii="Verdana" w:hAnsi="Verdana"/>
          <w:b/>
          <w:bCs/>
        </w:rPr>
      </w:pPr>
      <w:r w:rsidRPr="00BD3B3D">
        <w:rPr>
          <w:rFonts w:ascii="Verdana" w:hAnsi="Verdana"/>
          <w:b/>
          <w:bCs/>
        </w:rPr>
        <w:t>8. How should a breach of Article 2 WF be remedied? What, if any, are the constitutional implications of disapplying primary legislation for a breach of Article 2 WF?</w:t>
      </w:r>
    </w:p>
    <w:p w:rsidR="00DF17F1" w:rsidRPr="00BD3B3D" w:rsidP="00DF17F1">
      <w:pPr>
        <w:rPr>
          <w:rFonts w:ascii="Verdana" w:hAnsi="Verdana"/>
        </w:rPr>
      </w:pPr>
      <w:r w:rsidRPr="00BD3B3D">
        <w:rPr>
          <w:rFonts w:ascii="Verdana" w:hAnsi="Verdana"/>
        </w:rPr>
        <w:t>A breach of Article 2 must be met with robust, effective, and accessible domestic remedies. Given that the UK Government incorporated the Withdrawal Agreement and the Windsor Framework into domestic law via the European Union (Withdrawal Agreement) Act 2020, Article 2 holds a distinct constitutional status.</w:t>
      </w:r>
    </w:p>
    <w:p w:rsidR="00DF17F1" w:rsidRPr="00BD3B3D" w:rsidP="00DF17F1">
      <w:pPr>
        <w:rPr>
          <w:rFonts w:ascii="Verdana" w:hAnsi="Verdana"/>
        </w:rPr>
      </w:pPr>
      <w:r w:rsidRPr="00BD3B3D">
        <w:rPr>
          <w:rFonts w:ascii="Verdana" w:hAnsi="Verdana"/>
        </w:rPr>
        <w:t>Consequently, domestic courts must retain the power to disapply both primary and subordinate legislation where it is found to cause a diminution of rights. While the disapplication of primary legislation represents a significant constitutional mechanism, it is a necessary and intended consequence of the legally binding international commitments made by the UK Government to protect the delicate rights architecture of the Belfast / Good Friday Agreement.</w:t>
      </w:r>
    </w:p>
    <w:p w:rsidR="00DF17F1" w:rsidRPr="00BD3B3D" w:rsidP="00DF17F1">
      <w:pPr>
        <w:rPr>
          <w:rFonts w:ascii="Verdana" w:hAnsi="Verdana"/>
          <w:b/>
          <w:bCs/>
        </w:rPr>
      </w:pPr>
      <w:r w:rsidRPr="00BD3B3D">
        <w:rPr>
          <w:rFonts w:ascii="Verdana" w:hAnsi="Verdana"/>
          <w:b/>
          <w:bCs/>
        </w:rPr>
        <w:t>9. What is your overall assessment as to the success of Article 2 WF in ensuring the protection of rights following the UK’s exit from the European Union?</w:t>
      </w:r>
    </w:p>
    <w:p w:rsidR="00DF17F1" w:rsidRPr="00BD3B3D" w:rsidP="00DF17F1">
      <w:pPr>
        <w:rPr>
          <w:rFonts w:ascii="Verdana" w:hAnsi="Verdana"/>
        </w:rPr>
      </w:pPr>
      <w:r w:rsidRPr="00BD3B3D">
        <w:rPr>
          <w:rFonts w:ascii="Verdana" w:hAnsi="Verdana"/>
        </w:rPr>
        <w:t xml:space="preserve">This is difficult to answer. The judgment in </w:t>
      </w:r>
      <w:r w:rsidRPr="00BD3B3D">
        <w:rPr>
          <w:rFonts w:ascii="Verdana" w:hAnsi="Verdana"/>
          <w:i/>
          <w:iCs/>
        </w:rPr>
        <w:t>Dillon</w:t>
      </w:r>
      <w:r w:rsidRPr="00BD3B3D">
        <w:rPr>
          <w:rFonts w:ascii="Verdana" w:hAnsi="Verdana"/>
        </w:rPr>
        <w:t xml:space="preserve"> has seriously undermined civil society's confidence regarding the protection of rights following Brexit. It must be remembered that the UK Government holds this primary responsibility, yet through its pursuit of the </w:t>
      </w:r>
      <w:r w:rsidRPr="00BD3B3D">
        <w:rPr>
          <w:rFonts w:ascii="Verdana" w:hAnsi="Verdana"/>
          <w:i/>
          <w:iCs/>
        </w:rPr>
        <w:t>Dillon</w:t>
      </w:r>
      <w:r w:rsidRPr="00BD3B3D">
        <w:rPr>
          <w:rFonts w:ascii="Verdana" w:hAnsi="Verdana"/>
        </w:rPr>
        <w:t xml:space="preserve"> case to the Supreme Court, it appears determined to undermine it.</w:t>
      </w:r>
    </w:p>
    <w:p w:rsidR="00DF17F1" w:rsidRPr="00BD3B3D" w:rsidP="00DF17F1">
      <w:pPr>
        <w:rPr>
          <w:rFonts w:ascii="Verdana" w:hAnsi="Verdana"/>
        </w:rPr>
      </w:pPr>
      <w:r w:rsidRPr="00BD3B3D">
        <w:rPr>
          <w:rFonts w:ascii="Verdana" w:hAnsi="Verdana"/>
        </w:rPr>
        <w:t>The Northern Ireland Executive’s record in protecting and promoting equality and human rights is unfortunately patchy at best. The commitment to Article 2 remained a vital safeguard, but this safeguard now appears to be highly uncertain.</w:t>
      </w:r>
    </w:p>
    <w:p w:rsidR="00DF17F1" w:rsidRPr="00BD3B3D" w:rsidP="00DF17F1">
      <w:pPr>
        <w:rPr>
          <w:rFonts w:ascii="Verdana" w:hAnsi="Verdana"/>
        </w:rPr>
      </w:pPr>
    </w:p>
    <w:p w:rsidR="00DF17F1" w:rsidRPr="00BD3B3D" w:rsidP="00DF17F1">
      <w:pPr>
        <w:rPr>
          <w:rFonts w:ascii="Verdana" w:hAnsi="Verdana"/>
          <w:b/>
          <w:bCs/>
        </w:rPr>
      </w:pPr>
      <w:r w:rsidRPr="00BD3B3D">
        <w:rPr>
          <w:rFonts w:ascii="Verdana" w:hAnsi="Verdana"/>
          <w:b/>
          <w:bCs/>
        </w:rPr>
        <w:t>The Commissions</w:t>
      </w:r>
    </w:p>
    <w:p w:rsidR="00DF17F1" w:rsidRPr="00BD3B3D" w:rsidP="00DF17F1">
      <w:pPr>
        <w:rPr>
          <w:rFonts w:ascii="Verdana" w:hAnsi="Verdana"/>
          <w:b/>
          <w:bCs/>
        </w:rPr>
      </w:pPr>
      <w:r w:rsidRPr="00BD3B3D">
        <w:rPr>
          <w:rFonts w:ascii="Verdana" w:hAnsi="Verdana"/>
          <w:b/>
          <w:bCs/>
        </w:rPr>
        <w:t>10. What is the role of the Dedicated Mechanism framework in Article 2 WF?</w:t>
      </w:r>
    </w:p>
    <w:p w:rsidR="00DF17F1" w:rsidRPr="00BD3B3D" w:rsidP="00DF17F1">
      <w:pPr>
        <w:rPr>
          <w:rFonts w:ascii="Verdana" w:hAnsi="Verdana"/>
        </w:rPr>
      </w:pPr>
      <w:r w:rsidRPr="00BD3B3D">
        <w:rPr>
          <w:rFonts w:ascii="Verdana" w:hAnsi="Verdana"/>
        </w:rPr>
        <w:t xml:space="preserve">The purpose of the Dedicated Mechanism is to monitor, supervise, advise, enforce, and report on the commitment by the UK Government to protect </w:t>
      </w:r>
      <w:r w:rsidRPr="00BD3B3D">
        <w:rPr>
          <w:rFonts w:ascii="Verdana" w:hAnsi="Verdana"/>
        </w:rPr>
        <w:t>equality and human rights in Northern Ireland after Brexit. In practice, this means that the two commissions involved—the Northern Ireland Human Rights Commission (NIHRC) and the Equality Commission for Northern Ireland (ECNI)—have the power to:</w:t>
      </w:r>
    </w:p>
    <w:p w:rsidR="00DF17F1" w:rsidRPr="00BD3B3D" w:rsidP="00DF17F1">
      <w:pPr>
        <w:numPr>
          <w:ilvl w:val="0"/>
          <w:numId w:val="4"/>
        </w:numPr>
        <w:rPr>
          <w:rFonts w:ascii="Verdana" w:hAnsi="Verdana"/>
        </w:rPr>
      </w:pPr>
      <w:r w:rsidRPr="00BD3B3D">
        <w:rPr>
          <w:rFonts w:ascii="Verdana" w:hAnsi="Verdana"/>
        </w:rPr>
        <w:t>Monitor how the commitment in the Windsor Framework is implemented</w:t>
      </w:r>
    </w:p>
    <w:p w:rsidR="00DF17F1" w:rsidRPr="00BD3B3D" w:rsidP="00DF17F1">
      <w:pPr>
        <w:numPr>
          <w:ilvl w:val="0"/>
          <w:numId w:val="4"/>
        </w:numPr>
        <w:rPr>
          <w:rFonts w:ascii="Verdana" w:hAnsi="Verdana"/>
        </w:rPr>
      </w:pPr>
      <w:r w:rsidRPr="00BD3B3D">
        <w:rPr>
          <w:rFonts w:ascii="Verdana" w:hAnsi="Verdana"/>
        </w:rPr>
        <w:t xml:space="preserve">Report to the Secretary of State for Northern Ireland, The Executive Office, and the </w:t>
      </w:r>
      <w:r w:rsidRPr="00BD3B3D">
        <w:rPr>
          <w:rFonts w:ascii="Verdana" w:hAnsi="Verdana"/>
        </w:rPr>
        <w:t>general public</w:t>
      </w:r>
    </w:p>
    <w:p w:rsidR="00DF17F1" w:rsidRPr="00BD3B3D" w:rsidP="00DF17F1">
      <w:pPr>
        <w:numPr>
          <w:ilvl w:val="0"/>
          <w:numId w:val="4"/>
        </w:numPr>
        <w:rPr>
          <w:rFonts w:ascii="Verdana" w:hAnsi="Verdana"/>
        </w:rPr>
      </w:pPr>
      <w:r w:rsidRPr="00BD3B3D">
        <w:rPr>
          <w:rFonts w:ascii="Verdana" w:hAnsi="Verdana"/>
        </w:rPr>
        <w:t>Advise the Secretary of State and the Executive Committee of the Northern Ireland Assembly on legislative and other measures that must be taken to implement the commitment</w:t>
      </w:r>
    </w:p>
    <w:p w:rsidR="00DF17F1" w:rsidRPr="00BD3B3D" w:rsidP="00DF17F1">
      <w:pPr>
        <w:numPr>
          <w:ilvl w:val="0"/>
          <w:numId w:val="4"/>
        </w:numPr>
        <w:rPr>
          <w:rFonts w:ascii="Verdana" w:hAnsi="Verdana"/>
        </w:rPr>
      </w:pPr>
      <w:r w:rsidRPr="00BD3B3D">
        <w:rPr>
          <w:rFonts w:ascii="Verdana" w:hAnsi="Verdana"/>
        </w:rPr>
        <w:t>Advise the Northern Ireland Assembly and its committees on whether a Bill is compatible with the commitment</w:t>
      </w:r>
    </w:p>
    <w:p w:rsidR="00DF17F1" w:rsidRPr="00BD3B3D" w:rsidP="00DF17F1">
      <w:pPr>
        <w:numPr>
          <w:ilvl w:val="0"/>
          <w:numId w:val="4"/>
        </w:numPr>
        <w:rPr>
          <w:rFonts w:ascii="Verdana" w:hAnsi="Verdana"/>
        </w:rPr>
      </w:pPr>
      <w:r w:rsidRPr="00BD3B3D">
        <w:rPr>
          <w:rFonts w:ascii="Verdana" w:hAnsi="Verdana"/>
        </w:rPr>
        <w:t>Promote understanding and awareness of the importance of the commitment</w:t>
      </w:r>
    </w:p>
    <w:p w:rsidR="00DF17F1" w:rsidRPr="00BD3B3D" w:rsidP="00DF17F1">
      <w:pPr>
        <w:numPr>
          <w:ilvl w:val="0"/>
          <w:numId w:val="4"/>
        </w:numPr>
        <w:rPr>
          <w:rFonts w:ascii="Verdana" w:hAnsi="Verdana"/>
        </w:rPr>
      </w:pPr>
      <w:r w:rsidRPr="00BD3B3D">
        <w:rPr>
          <w:rFonts w:ascii="Verdana" w:hAnsi="Verdana"/>
        </w:rPr>
        <w:t>Bring, or intervene in, legal proceedings in respect of an alleged breach or a potential future breach of the commitment</w:t>
      </w:r>
    </w:p>
    <w:p w:rsidR="00DF17F1" w:rsidRPr="00BD3B3D" w:rsidP="00DF17F1">
      <w:pPr>
        <w:numPr>
          <w:ilvl w:val="0"/>
          <w:numId w:val="4"/>
        </w:numPr>
        <w:rPr>
          <w:rFonts w:ascii="Verdana" w:hAnsi="Verdana"/>
        </w:rPr>
      </w:pPr>
      <w:r w:rsidRPr="00BD3B3D">
        <w:rPr>
          <w:rFonts w:ascii="Verdana" w:hAnsi="Verdana"/>
        </w:rPr>
        <w:t>Assist individuals in relevant legal proceedings</w:t>
      </w:r>
    </w:p>
    <w:p w:rsidR="00DF17F1" w:rsidRPr="00BD3B3D" w:rsidP="00DF17F1">
      <w:pPr>
        <w:rPr>
          <w:rFonts w:ascii="Verdana" w:hAnsi="Verdana"/>
          <w:b/>
          <w:bCs/>
        </w:rPr>
      </w:pPr>
      <w:r w:rsidRPr="00BD3B3D">
        <w:rPr>
          <w:rFonts w:ascii="Verdana" w:hAnsi="Verdana"/>
          <w:b/>
          <w:bCs/>
        </w:rPr>
        <w:t>11. How are the Commissions resourced? Could this be improved?</w:t>
      </w:r>
    </w:p>
    <w:p w:rsidR="00DF17F1" w:rsidRPr="00BD3B3D" w:rsidP="00DF17F1">
      <w:pPr>
        <w:rPr>
          <w:rFonts w:ascii="Verdana" w:hAnsi="Verdana"/>
        </w:rPr>
      </w:pPr>
      <w:r w:rsidRPr="00BD3B3D">
        <w:rPr>
          <w:rFonts w:ascii="Verdana" w:hAnsi="Verdana"/>
        </w:rPr>
        <w:t>The Commissions face an extremely challenging budget situation. Given the historic and ongoing difficulties of the Northern Ireland Executive in securing stable, long-term budgets, the Equality Commission is particularly affected because it is sponsored by the Department for Communities.</w:t>
      </w:r>
    </w:p>
    <w:p w:rsidR="00DF17F1" w:rsidRPr="00BD3B3D" w:rsidP="00DF17F1">
      <w:pPr>
        <w:rPr>
          <w:rFonts w:ascii="Verdana" w:hAnsi="Verdana"/>
        </w:rPr>
      </w:pPr>
      <w:r w:rsidRPr="00BD3B3D">
        <w:rPr>
          <w:rFonts w:ascii="Verdana" w:hAnsi="Verdana"/>
        </w:rPr>
        <w:t>Resourcing must be ring-fenced, and expert staff must have employment security to continue this highly specialized work. Furthermore, there should be greater scrutiny regarding the level of engagement that the UK Government and the Northern Ireland Executive—together with the Irish Government and the EU—have with the Dedicated Mechanism Unit (DMU).</w:t>
      </w:r>
    </w:p>
    <w:p w:rsidR="00DF17F1" w:rsidRPr="00BD3B3D" w:rsidP="00DF17F1">
      <w:pPr>
        <w:rPr>
          <w:rFonts w:ascii="Verdana" w:hAnsi="Verdana"/>
          <w:b/>
          <w:bCs/>
        </w:rPr>
      </w:pPr>
      <w:r w:rsidRPr="00BD3B3D">
        <w:rPr>
          <w:rFonts w:ascii="Verdana" w:hAnsi="Verdana"/>
          <w:b/>
          <w:bCs/>
        </w:rPr>
        <w:t>12. How would you assess the effectiveness of the existing Windsor Framework structures for formalised engagement between the Northern Ireland Executive and the Commissions? Could they be improved in future? If so, how?</w:t>
      </w:r>
    </w:p>
    <w:p w:rsidR="00DF17F1" w:rsidRPr="00BD3B3D" w:rsidP="00DF17F1">
      <w:pPr>
        <w:rPr>
          <w:rFonts w:ascii="Verdana" w:hAnsi="Verdana"/>
        </w:rPr>
      </w:pPr>
      <w:r w:rsidRPr="00BD3B3D">
        <w:rPr>
          <w:rFonts w:ascii="Verdana" w:hAnsi="Verdana"/>
        </w:rPr>
        <w:t>The current effectiveness of formalised engagement between the Northern Ireland Executive and the Commissions is limited and requires significant improvement. Engagement is often reactive rather than proactive, with advice from the Dedicated Mechanism frequently sidelined or ignored during early-stage policy development.</w:t>
      </w:r>
    </w:p>
    <w:p w:rsidR="00DF17F1" w:rsidRPr="00BD3B3D" w:rsidP="00DF17F1">
      <w:pPr>
        <w:rPr>
          <w:rFonts w:ascii="Verdana" w:hAnsi="Verdana"/>
        </w:rPr>
      </w:pPr>
      <w:r w:rsidRPr="00BD3B3D">
        <w:rPr>
          <w:rFonts w:ascii="Verdana" w:hAnsi="Verdana"/>
        </w:rPr>
        <w:t>To improve these structures in the future, we recommend:</w:t>
      </w:r>
    </w:p>
    <w:p w:rsidR="00DF17F1" w:rsidRPr="00BD3B3D" w:rsidP="00DF17F1">
      <w:pPr>
        <w:numPr>
          <w:ilvl w:val="0"/>
          <w:numId w:val="5"/>
        </w:numPr>
        <w:rPr>
          <w:rFonts w:ascii="Verdana" w:hAnsi="Verdana"/>
        </w:rPr>
      </w:pPr>
      <w:r w:rsidRPr="00BD3B3D">
        <w:rPr>
          <w:rFonts w:ascii="Verdana" w:hAnsi="Verdana"/>
          <w:b/>
          <w:bCs/>
        </w:rPr>
        <w:t>Statutory Duty to Respond:</w:t>
      </w:r>
      <w:r w:rsidRPr="00BD3B3D">
        <w:rPr>
          <w:rFonts w:ascii="Verdana" w:hAnsi="Verdana"/>
        </w:rPr>
        <w:t xml:space="preserve"> Introducing a legal requirement for the Northern Ireland Executive to formally and publicly respond to all </w:t>
      </w:r>
      <w:r w:rsidRPr="00BD3B3D">
        <w:rPr>
          <w:rFonts w:ascii="Verdana" w:hAnsi="Verdana"/>
        </w:rPr>
        <w:t>structured advice issued by the Dedicated Mechanism within a set timeframe.</w:t>
      </w:r>
    </w:p>
    <w:p w:rsidR="00DF17F1" w:rsidRPr="00BD3B3D" w:rsidP="00DF17F1">
      <w:pPr>
        <w:numPr>
          <w:ilvl w:val="0"/>
          <w:numId w:val="5"/>
        </w:numPr>
        <w:rPr>
          <w:rFonts w:ascii="Verdana" w:hAnsi="Verdana"/>
        </w:rPr>
      </w:pPr>
      <w:r w:rsidRPr="00BD3B3D">
        <w:rPr>
          <w:rFonts w:ascii="Verdana" w:hAnsi="Verdana"/>
          <w:b/>
          <w:bCs/>
        </w:rPr>
        <w:t>Proactive Legislative Scrutiny:</w:t>
      </w:r>
      <w:r w:rsidRPr="00BD3B3D">
        <w:rPr>
          <w:rFonts w:ascii="Verdana" w:hAnsi="Verdana"/>
        </w:rPr>
        <w:t xml:space="preserve"> Establishing mandatory consultation protocols at the earliest drafting stages of any Assembly Bill to ensure compliance with Article 2 before legislation reaches the floor.</w:t>
      </w:r>
    </w:p>
    <w:p w:rsidR="00DF17F1" w:rsidRPr="00BD3B3D" w:rsidP="00DF17F1">
      <w:pPr>
        <w:numPr>
          <w:ilvl w:val="0"/>
          <w:numId w:val="5"/>
        </w:numPr>
        <w:rPr>
          <w:rFonts w:ascii="Verdana" w:hAnsi="Verdana"/>
        </w:rPr>
      </w:pPr>
      <w:r w:rsidRPr="00BD3B3D">
        <w:rPr>
          <w:rFonts w:ascii="Verdana" w:hAnsi="Verdana"/>
          <w:b/>
          <w:bCs/>
        </w:rPr>
        <w:t>Structured Social Partner Inclusion:</w:t>
      </w:r>
      <w:r w:rsidRPr="00BD3B3D">
        <w:rPr>
          <w:rFonts w:ascii="Verdana" w:hAnsi="Verdana"/>
        </w:rPr>
        <w:t xml:space="preserve"> Enhancing the Joint Consultative Working Group and civic advisory frameworks to allow trade unions and wider civil society to formally escalate concerns alongside the Commissions</w:t>
      </w:r>
      <w:r w:rsidRPr="00BD3B3D" w:rsidR="001D6C79">
        <w:rPr>
          <w:rFonts w:ascii="Verdana" w:hAnsi="Verdana"/>
        </w:rPr>
        <w:t>.</w:t>
      </w:r>
    </w:p>
    <w:p w:rsidR="001D6C79" w:rsidRPr="00BD3B3D" w:rsidP="001D6C79">
      <w:pPr>
        <w:rPr>
          <w:rFonts w:ascii="Verdana" w:hAnsi="Verdana"/>
          <w:b/>
          <w:bCs/>
        </w:rPr>
      </w:pPr>
      <w:r w:rsidRPr="00BD3B3D">
        <w:rPr>
          <w:rFonts w:ascii="Verdana" w:hAnsi="Verdana"/>
          <w:b/>
          <w:bCs/>
        </w:rPr>
        <w:t>Conclusion</w:t>
      </w:r>
    </w:p>
    <w:p w:rsidR="001D6C79" w:rsidRPr="00BD3B3D" w:rsidP="001D6C79">
      <w:pPr>
        <w:rPr>
          <w:rFonts w:ascii="Verdana" w:hAnsi="Verdana"/>
        </w:rPr>
      </w:pPr>
      <w:r w:rsidRPr="00BD3B3D">
        <w:rPr>
          <w:rFonts w:ascii="Verdana" w:hAnsi="Verdana"/>
        </w:rPr>
        <w:t>The Irish Congress of Trade Unions reemphasises that Article 2 of the Windsor Framework is a foundational pillar safeguarding the fragile rights and equality architecture of the Belfast / Good Friday Agreement in a post-Brexit landscape.</w:t>
      </w:r>
    </w:p>
    <w:p w:rsidR="001D6C79" w:rsidRPr="00BD3B3D" w:rsidP="001D6C79">
      <w:pPr>
        <w:rPr>
          <w:rFonts w:ascii="Verdana" w:hAnsi="Verdana"/>
        </w:rPr>
      </w:pPr>
      <w:r w:rsidRPr="00BD3B3D">
        <w:rPr>
          <w:rFonts w:ascii="Verdana" w:hAnsi="Verdana"/>
        </w:rPr>
        <w:t>The protections it offers are more vital than ever, given:</w:t>
      </w:r>
    </w:p>
    <w:p w:rsidR="001D6C79" w:rsidRPr="00BD3B3D" w:rsidP="001D6C79">
      <w:pPr>
        <w:numPr>
          <w:ilvl w:val="0"/>
          <w:numId w:val="6"/>
        </w:numPr>
        <w:rPr>
          <w:rFonts w:ascii="Verdana" w:hAnsi="Verdana"/>
        </w:rPr>
      </w:pPr>
      <w:r w:rsidRPr="00BD3B3D">
        <w:rPr>
          <w:rFonts w:ascii="Verdana" w:hAnsi="Verdana"/>
        </w:rPr>
        <w:t>The weak and highly conditional employment protections contained within the EU–UK Trade and Cooperation Agreement</w:t>
      </w:r>
    </w:p>
    <w:p w:rsidR="001D6C79" w:rsidRPr="00BD3B3D" w:rsidP="001D6C79">
      <w:pPr>
        <w:numPr>
          <w:ilvl w:val="0"/>
          <w:numId w:val="6"/>
        </w:numPr>
        <w:rPr>
          <w:rFonts w:ascii="Verdana" w:hAnsi="Verdana"/>
        </w:rPr>
      </w:pPr>
      <w:r w:rsidRPr="00BD3B3D">
        <w:rPr>
          <w:rFonts w:ascii="Verdana" w:hAnsi="Verdana"/>
        </w:rPr>
        <w:t>The ongoing failure to introduce comprehensive domestic employment legislation like the Employment Rights (Good Jobs) Bill</w:t>
      </w:r>
    </w:p>
    <w:p w:rsidR="001D6C79" w:rsidRPr="00BD3B3D" w:rsidP="001D6C79">
      <w:pPr>
        <w:numPr>
          <w:ilvl w:val="0"/>
          <w:numId w:val="6"/>
        </w:numPr>
        <w:rPr>
          <w:rFonts w:ascii="Verdana" w:hAnsi="Verdana"/>
        </w:rPr>
      </w:pPr>
      <w:r w:rsidRPr="00BD3B3D">
        <w:rPr>
          <w:rFonts w:ascii="Verdana" w:hAnsi="Verdana"/>
        </w:rPr>
        <w:t>The growing risk of regulatory divergence between Northern Ireland, Great Britain, and the European Union</w:t>
      </w:r>
    </w:p>
    <w:p w:rsidR="001D6C79" w:rsidRPr="00BD3B3D" w:rsidP="001D6C79">
      <w:pPr>
        <w:rPr>
          <w:rFonts w:ascii="Verdana" w:hAnsi="Verdana"/>
        </w:rPr>
      </w:pPr>
      <w:r w:rsidRPr="00BD3B3D">
        <w:rPr>
          <w:rFonts w:ascii="Verdana" w:hAnsi="Verdana"/>
        </w:rPr>
        <w:t xml:space="preserve">For Article 2 to remain an effective shield for working people and vulnerable groups, it must be robustly defended, adequately financed, and legally respected. The recent trend towards a restrictive judicial interpretation—exemplified by the </w:t>
      </w:r>
      <w:r w:rsidRPr="00BD3B3D">
        <w:rPr>
          <w:rFonts w:ascii="Verdana" w:hAnsi="Verdana"/>
          <w:i/>
          <w:iCs/>
        </w:rPr>
        <w:t>Dillon</w:t>
      </w:r>
      <w:r w:rsidRPr="00BD3B3D">
        <w:rPr>
          <w:rFonts w:ascii="Verdana" w:hAnsi="Verdana"/>
        </w:rPr>
        <w:t xml:space="preserve"> litigation—is deeply concerning and threatens to hollow out the "no diminution" guarantee.</w:t>
      </w:r>
    </w:p>
    <w:p w:rsidR="001D6C79" w:rsidRPr="00BD3B3D" w:rsidP="001D6C79">
      <w:pPr>
        <w:rPr>
          <w:rFonts w:ascii="Verdana" w:hAnsi="Verdana"/>
        </w:rPr>
      </w:pPr>
      <w:r w:rsidRPr="00BD3B3D">
        <w:rPr>
          <w:rFonts w:ascii="Verdana" w:hAnsi="Verdana"/>
        </w:rPr>
        <w:t>Congress urges the Scrutiny Committee to assert the following priorities:</w:t>
      </w:r>
    </w:p>
    <w:p w:rsidR="001D6C79" w:rsidRPr="00BD3B3D" w:rsidP="001D6C79">
      <w:pPr>
        <w:numPr>
          <w:ilvl w:val="0"/>
          <w:numId w:val="7"/>
        </w:numPr>
        <w:rPr>
          <w:rFonts w:ascii="Verdana" w:hAnsi="Verdana"/>
        </w:rPr>
      </w:pPr>
      <w:r w:rsidRPr="00BD3B3D">
        <w:rPr>
          <w:rFonts w:ascii="Verdana" w:hAnsi="Verdana"/>
          <w:b/>
          <w:bCs/>
        </w:rPr>
        <w:t>Protect Judicial Remedies:</w:t>
      </w:r>
      <w:r w:rsidRPr="00BD3B3D">
        <w:rPr>
          <w:rFonts w:ascii="Verdana" w:hAnsi="Verdana"/>
        </w:rPr>
        <w:t xml:space="preserve"> Ensure that domestic courts retain full, unambiguous powers to provide effective remedies, including the disapplication of conflicting primary legislation.</w:t>
      </w:r>
    </w:p>
    <w:p w:rsidR="001D6C79" w:rsidRPr="00BD3B3D" w:rsidP="001D6C79">
      <w:pPr>
        <w:numPr>
          <w:ilvl w:val="0"/>
          <w:numId w:val="7"/>
        </w:numPr>
        <w:rPr>
          <w:rFonts w:ascii="Verdana" w:hAnsi="Verdana"/>
        </w:rPr>
      </w:pPr>
      <w:r w:rsidRPr="00BD3B3D">
        <w:rPr>
          <w:rFonts w:ascii="Verdana" w:hAnsi="Verdana"/>
          <w:b/>
          <w:bCs/>
        </w:rPr>
        <w:t>Ring-Fence Dedicated Mechanism Funding:</w:t>
      </w:r>
      <w:r w:rsidRPr="00BD3B3D">
        <w:rPr>
          <w:rFonts w:ascii="Verdana" w:hAnsi="Verdana"/>
        </w:rPr>
        <w:t xml:space="preserve"> Deliver secure, long-term, and independent resourcing to the NIHRC and ECNI so they can execute their statutory oversight duties free from political or budgetary instability.</w:t>
      </w:r>
    </w:p>
    <w:p w:rsidR="001D6C79" w:rsidRPr="00BD3B3D" w:rsidP="001D6C79">
      <w:pPr>
        <w:numPr>
          <w:ilvl w:val="0"/>
          <w:numId w:val="7"/>
        </w:numPr>
        <w:rPr>
          <w:rFonts w:ascii="Verdana" w:hAnsi="Verdana"/>
        </w:rPr>
      </w:pPr>
      <w:r w:rsidRPr="00BD3B3D">
        <w:rPr>
          <w:rFonts w:ascii="Verdana" w:hAnsi="Verdana"/>
          <w:b/>
          <w:bCs/>
        </w:rPr>
        <w:t>Enforce Dynamic Alignment:</w:t>
      </w:r>
      <w:r w:rsidRPr="00BD3B3D">
        <w:rPr>
          <w:rFonts w:ascii="Verdana" w:hAnsi="Verdana"/>
        </w:rPr>
        <w:t xml:space="preserve"> Hold both the UK Government and the Northern Ireland Executive to account on their obligations to "keep pace" with evolving EU equality standards, specifically the urgent implementation of the Pay Transparency Directive.</w:t>
      </w:r>
    </w:p>
    <w:p w:rsidR="001D6C79" w:rsidRPr="00BD3B3D" w:rsidP="001D6C79">
      <w:pPr>
        <w:numPr>
          <w:ilvl w:val="0"/>
          <w:numId w:val="7"/>
        </w:numPr>
        <w:rPr>
          <w:rFonts w:ascii="Verdana" w:hAnsi="Verdana"/>
        </w:rPr>
      </w:pPr>
      <w:r w:rsidRPr="00BD3B3D">
        <w:rPr>
          <w:rFonts w:ascii="Verdana" w:hAnsi="Verdana"/>
          <w:b/>
          <w:bCs/>
        </w:rPr>
        <w:t>Formalise Executive Accountability:</w:t>
      </w:r>
      <w:r w:rsidRPr="00BD3B3D">
        <w:rPr>
          <w:rFonts w:ascii="Verdana" w:hAnsi="Verdana"/>
        </w:rPr>
        <w:t xml:space="preserve"> Establish mandatory, early-stage consultation structures between the Northern Ireland Executive, the Commissions, and social partners to prevent rights-regressive legislation from being drafted.</w:t>
      </w:r>
    </w:p>
    <w:p w:rsidR="001D6C79" w:rsidRPr="00BD3B3D" w:rsidP="001D6C79">
      <w:pPr>
        <w:rPr>
          <w:rFonts w:ascii="Verdana" w:hAnsi="Verdana"/>
        </w:rPr>
      </w:pPr>
      <w:r w:rsidRPr="00BD3B3D">
        <w:rPr>
          <w:rFonts w:ascii="Verdana" w:hAnsi="Verdana"/>
        </w:rPr>
        <w:t>A rights-based framework was essential to securing peace in 1998, and it remains essential to sustaining stability and social progress today. ICTU stands ready to work alongside the Committee, our civil society partners, and government bodies to ensure that the commitments made under Article 2 are fully realised and robustly enforced.</w:t>
      </w:r>
    </w:p>
    <w:p w:rsidR="008474B5" w:rsidP="00C178B5">
      <w:pPr>
        <w:rPr>
          <w:rFonts w:ascii="Verdana" w:hAnsi="Verdana"/>
        </w:rPr>
      </w:pPr>
    </w:p>
    <w:p w:rsidR="00BD3B3D" w:rsidRPr="00A10200" w:rsidP="00C178B5">
      <w:pPr>
        <w:rPr>
          <w:rFonts w:ascii="Verdana" w:hAnsi="Verdana"/>
          <w:b/>
          <w:bCs/>
        </w:rPr>
      </w:pPr>
      <w:r w:rsidRPr="00A10200">
        <w:rPr>
          <w:rFonts w:ascii="Verdana" w:hAnsi="Verdana"/>
          <w:b/>
          <w:bCs/>
        </w:rPr>
        <w:t>9 July 2026</w:t>
      </w:r>
    </w:p>
    <w:sectPr>
      <w:footerReference w:type="defaul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47923192"/>
      <w:docPartObj>
        <w:docPartGallery w:val="Page Numbers (Bottom of Page)"/>
        <w:docPartUnique/>
      </w:docPartObj>
    </w:sdtPr>
    <w:sdtEndPr>
      <w:rPr>
        <w:noProof/>
      </w:rPr>
    </w:sdtEndPr>
    <w:sdtContent>
      <w:p w:rsidR="00DF17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F17F1">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8D039B"/>
    <w:multiLevelType w:val="multilevel"/>
    <w:tmpl w:val="0708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3B48E9"/>
    <w:multiLevelType w:val="multilevel"/>
    <w:tmpl w:val="C2D6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E16E34"/>
    <w:multiLevelType w:val="multilevel"/>
    <w:tmpl w:val="160E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DF3DB7"/>
    <w:multiLevelType w:val="multilevel"/>
    <w:tmpl w:val="8982D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3D1E5E"/>
    <w:multiLevelType w:val="multilevel"/>
    <w:tmpl w:val="45B0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0B4EEB"/>
    <w:multiLevelType w:val="multilevel"/>
    <w:tmpl w:val="AD44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B9437B"/>
    <w:multiLevelType w:val="multilevel"/>
    <w:tmpl w:val="EA0E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000E90"/>
    <w:multiLevelType w:val="multilevel"/>
    <w:tmpl w:val="9F4C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5"/>
  </w:num>
  <w:num w:numId="4">
    <w:abstractNumId w:val="7"/>
  </w:num>
  <w:num w:numId="5">
    <w:abstractNumId w:val="3"/>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C178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78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78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78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78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78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8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8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8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8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78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78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78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78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78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8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8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8B5"/>
    <w:rPr>
      <w:rFonts w:eastAsiaTheme="majorEastAsia" w:cstheme="majorBidi"/>
      <w:color w:val="272727" w:themeColor="text1" w:themeTint="D8"/>
    </w:rPr>
  </w:style>
  <w:style w:type="paragraph" w:styleId="Title">
    <w:name w:val="Title"/>
    <w:basedOn w:val="Normal"/>
    <w:next w:val="Normal"/>
    <w:link w:val="TitleChar"/>
    <w:uiPriority w:val="10"/>
    <w:qFormat/>
    <w:rsid w:val="00C178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8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8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8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8B5"/>
    <w:pPr>
      <w:spacing w:before="160"/>
      <w:jc w:val="center"/>
    </w:pPr>
    <w:rPr>
      <w:i/>
      <w:iCs/>
      <w:color w:val="404040" w:themeColor="text1" w:themeTint="BF"/>
    </w:rPr>
  </w:style>
  <w:style w:type="character" w:customStyle="1" w:styleId="QuoteChar">
    <w:name w:val="Quote Char"/>
    <w:basedOn w:val="DefaultParagraphFont"/>
    <w:link w:val="Quote"/>
    <w:uiPriority w:val="29"/>
    <w:rsid w:val="00C178B5"/>
    <w:rPr>
      <w:i/>
      <w:iCs/>
      <w:color w:val="404040" w:themeColor="text1" w:themeTint="BF"/>
    </w:rPr>
  </w:style>
  <w:style w:type="paragraph" w:styleId="ListParagraph">
    <w:name w:val="List Paragraph"/>
    <w:basedOn w:val="Normal"/>
    <w:uiPriority w:val="34"/>
    <w:qFormat/>
    <w:rsid w:val="00C178B5"/>
    <w:pPr>
      <w:ind w:left="720"/>
      <w:contextualSpacing/>
    </w:pPr>
  </w:style>
  <w:style w:type="character" w:styleId="IntenseEmphasis">
    <w:name w:val="Intense Emphasis"/>
    <w:basedOn w:val="DefaultParagraphFont"/>
    <w:uiPriority w:val="21"/>
    <w:qFormat/>
    <w:rsid w:val="00C178B5"/>
    <w:rPr>
      <w:i/>
      <w:iCs/>
      <w:color w:val="2F5496" w:themeColor="accent1" w:themeShade="BF"/>
    </w:rPr>
  </w:style>
  <w:style w:type="paragraph" w:styleId="IntenseQuote">
    <w:name w:val="Intense Quote"/>
    <w:basedOn w:val="Normal"/>
    <w:next w:val="Normal"/>
    <w:link w:val="IntenseQuoteChar"/>
    <w:uiPriority w:val="30"/>
    <w:qFormat/>
    <w:rsid w:val="00C178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78B5"/>
    <w:rPr>
      <w:i/>
      <w:iCs/>
      <w:color w:val="2F5496" w:themeColor="accent1" w:themeShade="BF"/>
    </w:rPr>
  </w:style>
  <w:style w:type="character" w:styleId="IntenseReference">
    <w:name w:val="Intense Reference"/>
    <w:basedOn w:val="DefaultParagraphFont"/>
    <w:uiPriority w:val="32"/>
    <w:qFormat/>
    <w:rsid w:val="00C178B5"/>
    <w:rPr>
      <w:b/>
      <w:bCs/>
      <w:smallCaps/>
      <w:color w:val="2F5496" w:themeColor="accent1" w:themeShade="BF"/>
      <w:spacing w:val="5"/>
    </w:rPr>
  </w:style>
  <w:style w:type="character" w:styleId="Hyperlink">
    <w:name w:val="Hyperlink"/>
    <w:basedOn w:val="DefaultParagraphFont"/>
    <w:uiPriority w:val="99"/>
    <w:unhideWhenUsed/>
    <w:rsid w:val="00C178B5"/>
    <w:rPr>
      <w:color w:val="0563C1" w:themeColor="hyperlink"/>
      <w:u w:val="single"/>
    </w:rPr>
  </w:style>
  <w:style w:type="character" w:customStyle="1" w:styleId="UnresolvedMention">
    <w:name w:val="Unresolved Mention"/>
    <w:basedOn w:val="DefaultParagraphFont"/>
    <w:uiPriority w:val="99"/>
    <w:semiHidden/>
    <w:unhideWhenUsed/>
    <w:rsid w:val="00C178B5"/>
    <w:rPr>
      <w:color w:val="605E5C"/>
      <w:shd w:val="clear" w:color="auto" w:fill="E1DFDD"/>
    </w:rPr>
  </w:style>
  <w:style w:type="paragraph" w:styleId="Header">
    <w:name w:val="header"/>
    <w:basedOn w:val="Normal"/>
    <w:link w:val="HeaderChar"/>
    <w:uiPriority w:val="99"/>
    <w:unhideWhenUsed/>
    <w:rsid w:val="00DF17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17F1"/>
  </w:style>
  <w:style w:type="paragraph" w:styleId="Footer">
    <w:name w:val="footer"/>
    <w:basedOn w:val="Normal"/>
    <w:link w:val="FooterChar"/>
    <w:uiPriority w:val="99"/>
    <w:unhideWhenUsed/>
    <w:rsid w:val="00DF17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1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030355627FFB4DA68234D3E1EB91A6" ma:contentTypeVersion="13" ma:contentTypeDescription="Create a new document." ma:contentTypeScope="" ma:versionID="74f7cc85c031fd7de9e0aa2920d1f3fc">
  <xsd:schema xmlns:xsd="http://www.w3.org/2001/XMLSchema" xmlns:xs="http://www.w3.org/2001/XMLSchema" xmlns:p="http://schemas.microsoft.com/office/2006/metadata/properties" xmlns:ns2="2fb468c3-2dd1-4e30-b261-b242303d3043" xmlns:ns3="5ae9509f-2881-4678-8f9b-453f50965e01" targetNamespace="http://schemas.microsoft.com/office/2006/metadata/properties" ma:root="true" ma:fieldsID="399426e21b13d143bc0cef554e18199a" ns2:_="" ns3:_="">
    <xsd:import namespace="2fb468c3-2dd1-4e30-b261-b242303d3043"/>
    <xsd:import namespace="5ae9509f-2881-4678-8f9b-453f50965e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468c3-2dd1-4e30-b261-b242303d30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b652eee-f402-4c6a-9bfd-8ef9ad80e3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e9509f-2881-4678-8f9b-453f50965e0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c81151-dcef-4ad3-8ee8-f1a33b8e57f4}" ma:internalName="TaxCatchAll" ma:showField="CatchAllData" ma:web="5ae9509f-2881-4678-8f9b-453f50965e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ae9509f-2881-4678-8f9b-453f50965e01" xsi:nil="true"/>
    <lcf76f155ced4ddcb4097134ff3c332f xmlns="2fb468c3-2dd1-4e30-b261-b242303d304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BA2714-C4CF-4500-B669-5E341FD6C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468c3-2dd1-4e30-b261-b242303d3043"/>
    <ds:schemaRef ds:uri="5ae9509f-2881-4678-8f9b-453f50965e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CF8956-5362-4640-A33A-1E9490857B94}">
  <ds:schemaRefs>
    <ds:schemaRef ds:uri="http://schemas.microsoft.com/office/2006/metadata/properties"/>
    <ds:schemaRef ds:uri="http://schemas.microsoft.com/office/infopath/2007/PartnerControls"/>
    <ds:schemaRef ds:uri="5ae9509f-2881-4678-8f9b-453f50965e01"/>
    <ds:schemaRef ds:uri="2fb468c3-2dd1-4e30-b261-b242303d3043"/>
  </ds:schemaRefs>
</ds:datastoreItem>
</file>

<file path=customXml/itemProps3.xml><?xml version="1.0" encoding="utf-8"?>
<ds:datastoreItem xmlns:ds="http://schemas.openxmlformats.org/officeDocument/2006/customXml" ds:itemID="{E4553696-DB11-474C-BC2D-712C1D10978C}">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ART0018</dc:title>
  <cp:revision>0</cp:revision>
</cp:coreProperties>
</file>