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3D24" w:rsidRPr="00386E26" w:rsidP="003450FD">
      <w:pPr>
        <w:rPr>
          <w:rFonts w:ascii="Verdana" w:hAnsi="Verdana"/>
          <w:b/>
          <w:bCs/>
          <w:sz w:val="28"/>
          <w:szCs w:val="28"/>
        </w:rPr>
      </w:pPr>
      <w:r w:rsidRPr="00386E26">
        <w:rPr>
          <w:rFonts w:ascii="Verdana" w:hAnsi="Verdana"/>
          <w:b/>
          <w:bCs/>
          <w:sz w:val="28"/>
          <w:szCs w:val="28"/>
        </w:rPr>
        <w:t>Human Rights Consor</w:t>
      </w:r>
      <w:r w:rsidRPr="00386E26" w:rsidR="00386E26">
        <w:rPr>
          <w:rFonts w:ascii="Verdana" w:hAnsi="Verdana"/>
          <w:b/>
          <w:bCs/>
          <w:sz w:val="28"/>
          <w:szCs w:val="28"/>
        </w:rPr>
        <w:t xml:space="preserve">tium - Written </w:t>
      </w:r>
      <w:r w:rsidR="0006075A">
        <w:rPr>
          <w:rFonts w:ascii="Verdana" w:hAnsi="Verdana"/>
          <w:b/>
          <w:bCs/>
          <w:sz w:val="28"/>
          <w:szCs w:val="28"/>
        </w:rPr>
        <w:t>evidence</w:t>
      </w:r>
      <w:r w:rsidRPr="00386E26" w:rsidR="00386E26">
        <w:rPr>
          <w:rFonts w:ascii="Verdana" w:hAnsi="Verdana"/>
          <w:b/>
          <w:bCs/>
          <w:sz w:val="28"/>
          <w:szCs w:val="28"/>
        </w:rPr>
        <w:t xml:space="preserve"> (ART0015)</w:t>
      </w:r>
    </w:p>
    <w:p w:rsidR="00CD3D24" w:rsidRPr="00386E26" w:rsidP="00FF40B0">
      <w:pPr>
        <w:jc w:val="center"/>
        <w:rPr>
          <w:rFonts w:ascii="Verdana" w:hAnsi="Verdana"/>
          <w:sz w:val="22"/>
          <w:szCs w:val="22"/>
        </w:rPr>
      </w:pPr>
    </w:p>
    <w:p w:rsidR="00CD3D24" w:rsidRPr="00386E26" w:rsidP="0006075A">
      <w:pPr>
        <w:rPr>
          <w:rFonts w:ascii="Verdana" w:hAnsi="Verdana"/>
          <w:b/>
          <w:bCs/>
          <w:sz w:val="22"/>
          <w:szCs w:val="22"/>
        </w:rPr>
      </w:pPr>
      <w:r w:rsidRPr="00386E26">
        <w:rPr>
          <w:rFonts w:ascii="Verdana" w:hAnsi="Verdana"/>
          <w:b/>
          <w:bCs/>
          <w:sz w:val="22"/>
          <w:szCs w:val="22"/>
        </w:rPr>
        <w:t>Human Rights Consortium submission to the House of Lords Northern Ireland Scrutiny Committee inquiry on Article 2 of the Protocol/Windsor Framework</w:t>
      </w:r>
    </w:p>
    <w:p w:rsidR="00FF40B0" w:rsidRPr="00386E26" w:rsidP="0014585F">
      <w:pPr>
        <w:jc w:val="center"/>
        <w:rPr>
          <w:rFonts w:ascii="Verdana" w:hAnsi="Verdana"/>
          <w:sz w:val="22"/>
          <w:szCs w:val="22"/>
        </w:rPr>
      </w:pPr>
      <w:r w:rsidRPr="00386E26">
        <w:rPr>
          <w:rFonts w:ascii="Verdana" w:hAnsi="Verdana"/>
          <w:sz w:val="22"/>
          <w:szCs w:val="22"/>
        </w:rPr>
        <w:t>July 2026</w:t>
      </w:r>
    </w:p>
    <w:p w:rsidR="0014152F" w:rsidP="003450FD">
      <w:pPr>
        <w:rPr>
          <w:rFonts w:ascii="Verdana" w:hAnsi="Verdana"/>
          <w:sz w:val="22"/>
          <w:szCs w:val="22"/>
        </w:rPr>
      </w:pPr>
    </w:p>
    <w:p w:rsidR="003450FD" w:rsidRPr="00386E26" w:rsidP="003450FD">
      <w:pPr>
        <w:rPr>
          <w:rFonts w:ascii="Verdana" w:hAnsi="Verdana"/>
          <w:sz w:val="22"/>
          <w:szCs w:val="22"/>
        </w:rPr>
      </w:pPr>
      <w:r w:rsidRPr="00386E26">
        <w:rPr>
          <w:rFonts w:ascii="Verdana" w:hAnsi="Verdana"/>
          <w:sz w:val="22"/>
          <w:szCs w:val="22"/>
        </w:rPr>
        <w:t xml:space="preserve">The </w:t>
      </w:r>
      <w:r w:rsidRPr="00386E26">
        <w:rPr>
          <w:rFonts w:ascii="Verdana" w:hAnsi="Verdana"/>
          <w:b/>
          <w:bCs/>
          <w:sz w:val="22"/>
          <w:szCs w:val="22"/>
        </w:rPr>
        <w:t>Human Rights Consortium</w:t>
      </w:r>
      <w:r>
        <w:rPr>
          <w:rStyle w:val="FootnoteReference"/>
          <w:rFonts w:ascii="Verdana" w:hAnsi="Verdana"/>
          <w:b/>
          <w:bCs/>
          <w:sz w:val="22"/>
          <w:szCs w:val="22"/>
        </w:rPr>
        <w:footnoteReference w:id="2"/>
      </w:r>
      <w:r w:rsidRPr="00386E26">
        <w:rPr>
          <w:rFonts w:ascii="Verdana" w:hAnsi="Verdana"/>
          <w:sz w:val="22"/>
          <w:szCs w:val="22"/>
        </w:rPr>
        <w:t xml:space="preserve"> welcomes the opportunity to provide evidence to the House of Lords </w:t>
      </w:r>
      <w:r w:rsidRPr="00386E26" w:rsidR="009B2DAD">
        <w:rPr>
          <w:rFonts w:ascii="Verdana" w:hAnsi="Verdana"/>
          <w:sz w:val="22"/>
          <w:szCs w:val="22"/>
        </w:rPr>
        <w:t xml:space="preserve">Northern Ireland Scrutiny Committee </w:t>
      </w:r>
      <w:r w:rsidRPr="00386E26">
        <w:rPr>
          <w:rFonts w:ascii="Verdana" w:hAnsi="Verdana"/>
          <w:sz w:val="22"/>
          <w:szCs w:val="22"/>
        </w:rPr>
        <w:t>inquiry on Article 2 of the Windsor Framework.</w:t>
      </w:r>
      <w:r>
        <w:rPr>
          <w:rStyle w:val="FootnoteReference"/>
          <w:rFonts w:ascii="Verdana" w:hAnsi="Verdana"/>
          <w:sz w:val="22"/>
          <w:szCs w:val="22"/>
        </w:rPr>
        <w:footnoteReference w:id="3"/>
      </w:r>
      <w:r w:rsidRPr="00386E26">
        <w:rPr>
          <w:rFonts w:ascii="Verdana" w:hAnsi="Verdana"/>
          <w:sz w:val="22"/>
          <w:szCs w:val="22"/>
        </w:rPr>
        <w:t xml:space="preserve"> The Consortium is a civil society coalition working to promote and protect human rights in Northern Ireland, including through advocacy, policy engagement and support for the effective implementation of rights protections arising from the Belfast/Good Friday Agreement. Article 2 </w:t>
      </w:r>
      <w:r w:rsidRPr="00386E26" w:rsidR="00733EBB">
        <w:rPr>
          <w:rFonts w:ascii="Verdana" w:hAnsi="Verdana"/>
          <w:sz w:val="22"/>
          <w:szCs w:val="22"/>
        </w:rPr>
        <w:t xml:space="preserve">of the Windsor Framework </w:t>
      </w:r>
      <w:r w:rsidRPr="00386E26">
        <w:rPr>
          <w:rFonts w:ascii="Verdana" w:hAnsi="Verdana"/>
          <w:sz w:val="22"/>
          <w:szCs w:val="22"/>
        </w:rPr>
        <w:t xml:space="preserve">is a significant protection for rights, safeguards and equality protections in Northern Ireland. The Consortium and our members actively campaigned for this </w:t>
      </w:r>
      <w:r w:rsidRPr="00386E26" w:rsidR="00BE6CA2">
        <w:rPr>
          <w:rFonts w:ascii="Verdana" w:hAnsi="Verdana"/>
          <w:sz w:val="22"/>
          <w:szCs w:val="22"/>
        </w:rPr>
        <w:t>commitment</w:t>
      </w:r>
      <w:r w:rsidRPr="00386E26">
        <w:rPr>
          <w:rFonts w:ascii="Verdana" w:hAnsi="Verdana"/>
          <w:sz w:val="22"/>
          <w:szCs w:val="22"/>
        </w:rPr>
        <w:t xml:space="preserve"> during the Brexit process and have continued to advocate for its proper implementation, protection and enforcement.</w:t>
      </w:r>
    </w:p>
    <w:p w:rsidR="003450FD" w:rsidRPr="00386E26" w:rsidP="003450FD">
      <w:pPr>
        <w:rPr>
          <w:rFonts w:ascii="Verdana" w:hAnsi="Verdana"/>
          <w:sz w:val="22"/>
          <w:szCs w:val="22"/>
        </w:rPr>
      </w:pPr>
      <w:r w:rsidRPr="00386E26">
        <w:rPr>
          <w:rFonts w:ascii="Verdana" w:hAnsi="Verdana"/>
          <w:sz w:val="22"/>
          <w:szCs w:val="22"/>
        </w:rPr>
        <w:t>We are deeply concerned about the Supreme Court’s judgment in Dillon and its implications for the future operation of Article 2. In our view, the judgment has significantly narrow</w:t>
      </w:r>
      <w:r w:rsidRPr="00386E26" w:rsidR="00A262F7">
        <w:rPr>
          <w:rFonts w:ascii="Verdana" w:hAnsi="Verdana"/>
          <w:sz w:val="22"/>
          <w:szCs w:val="22"/>
        </w:rPr>
        <w:t>ed</w:t>
      </w:r>
      <w:r w:rsidRPr="00386E26">
        <w:rPr>
          <w:rFonts w:ascii="Verdana" w:hAnsi="Verdana"/>
          <w:sz w:val="22"/>
          <w:szCs w:val="22"/>
        </w:rPr>
        <w:t xml:space="preserve"> the practical scope and accessibility of protections that were intended to ensure there would be no diminution of relevant rights, safeguards and equality of opportunity protections </w:t>
      </w:r>
      <w:r w:rsidRPr="00386E26">
        <w:rPr>
          <w:rFonts w:ascii="Verdana" w:hAnsi="Verdana"/>
          <w:sz w:val="22"/>
          <w:szCs w:val="22"/>
        </w:rPr>
        <w:t>as a result of</w:t>
      </w:r>
      <w:r w:rsidRPr="00386E26">
        <w:rPr>
          <w:rFonts w:ascii="Verdana" w:hAnsi="Verdana"/>
          <w:sz w:val="22"/>
          <w:szCs w:val="22"/>
        </w:rPr>
        <w:t xml:space="preserve"> Brexit. We therefore welcome the Committee’s timely consideration of these issues and the opportunity to contribute to its work.</w:t>
      </w:r>
    </w:p>
    <w:p w:rsidR="003450FD" w:rsidRPr="00386E26" w:rsidP="00243404">
      <w:pPr>
        <w:rPr>
          <w:rFonts w:ascii="Verdana" w:hAnsi="Verdana"/>
          <w:sz w:val="22"/>
          <w:szCs w:val="22"/>
        </w:rPr>
      </w:pPr>
      <w:r w:rsidRPr="00386E26">
        <w:rPr>
          <w:rFonts w:ascii="Verdana" w:hAnsi="Verdana"/>
          <w:sz w:val="22"/>
          <w:szCs w:val="22"/>
        </w:rPr>
        <w:t xml:space="preserve">In this submission, we have provided answers to specific questions </w:t>
      </w:r>
      <w:r w:rsidRPr="00386E26" w:rsidR="000F4908">
        <w:rPr>
          <w:rFonts w:ascii="Verdana" w:hAnsi="Verdana"/>
          <w:sz w:val="22"/>
          <w:szCs w:val="22"/>
        </w:rPr>
        <w:t xml:space="preserve">posed </w:t>
      </w:r>
      <w:r w:rsidRPr="00386E26" w:rsidR="00096FF5">
        <w:rPr>
          <w:rFonts w:ascii="Verdana" w:hAnsi="Verdana"/>
          <w:sz w:val="22"/>
          <w:szCs w:val="22"/>
        </w:rPr>
        <w:t>in the i</w:t>
      </w:r>
      <w:r w:rsidRPr="00386E26" w:rsidR="003F71EC">
        <w:rPr>
          <w:rFonts w:ascii="Verdana" w:hAnsi="Verdana"/>
          <w:sz w:val="22"/>
          <w:szCs w:val="22"/>
        </w:rPr>
        <w:t>n</w:t>
      </w:r>
      <w:r w:rsidRPr="00386E26" w:rsidR="00096FF5">
        <w:rPr>
          <w:rFonts w:ascii="Verdana" w:hAnsi="Verdana"/>
          <w:sz w:val="22"/>
          <w:szCs w:val="22"/>
        </w:rPr>
        <w:t xml:space="preserve">quiry </w:t>
      </w:r>
      <w:r w:rsidRPr="00386E26">
        <w:rPr>
          <w:rFonts w:ascii="Verdana" w:hAnsi="Verdana"/>
          <w:sz w:val="22"/>
          <w:szCs w:val="22"/>
        </w:rPr>
        <w:t xml:space="preserve">where we considered we could most usefully assist the Committee. In other places, we have brought together our responses on </w:t>
      </w:r>
      <w:r w:rsidRPr="00386E26" w:rsidR="005E121D">
        <w:rPr>
          <w:rFonts w:ascii="Verdana" w:hAnsi="Verdana"/>
          <w:sz w:val="22"/>
          <w:szCs w:val="22"/>
        </w:rPr>
        <w:t>a few</w:t>
      </w:r>
      <w:r w:rsidRPr="00386E26">
        <w:rPr>
          <w:rFonts w:ascii="Verdana" w:hAnsi="Verdana"/>
          <w:sz w:val="22"/>
          <w:szCs w:val="22"/>
        </w:rPr>
        <w:t xml:space="preserve"> overlapping themes, particularly in relation to the Supreme Court’s judgment in Dillon and its wider implications for Article 2. We hope this submission is helpful and we stand ready to engage further with the Committee and its members as the inquiry progresses.</w:t>
      </w:r>
    </w:p>
    <w:p w:rsidR="00CE740D" w:rsidRPr="00386E26" w:rsidP="00243404">
      <w:pPr>
        <w:rPr>
          <w:rFonts w:ascii="Verdana" w:hAnsi="Verdana"/>
          <w:b/>
          <w:bCs/>
          <w:sz w:val="22"/>
          <w:szCs w:val="22"/>
        </w:rPr>
      </w:pPr>
      <w:r w:rsidRPr="00386E26">
        <w:rPr>
          <w:rFonts w:ascii="Verdana" w:hAnsi="Verdana"/>
          <w:b/>
          <w:bCs/>
          <w:sz w:val="22"/>
          <w:szCs w:val="22"/>
        </w:rPr>
        <w:t>Why did the UK and EU negotiate and include Article 2 WF in the Protocol/ Windsor Framework? How does Article 2 WF relate to the</w:t>
      </w:r>
      <w:r w:rsidRPr="00386E26" w:rsidR="00F151F7">
        <w:rPr>
          <w:rFonts w:ascii="Verdana" w:hAnsi="Verdana"/>
          <w:b/>
          <w:bCs/>
          <w:sz w:val="22"/>
          <w:szCs w:val="22"/>
        </w:rPr>
        <w:t xml:space="preserve"> </w:t>
      </w:r>
      <w:r w:rsidRPr="00386E26">
        <w:rPr>
          <w:rFonts w:ascii="Verdana" w:hAnsi="Verdana"/>
          <w:b/>
          <w:bCs/>
          <w:sz w:val="22"/>
          <w:szCs w:val="22"/>
        </w:rPr>
        <w:t>Belfast/ Good Friday Agreement?</w:t>
      </w:r>
    </w:p>
    <w:p w:rsidR="00C42319" w:rsidRPr="00386E26" w:rsidP="00CE740D">
      <w:pPr>
        <w:rPr>
          <w:rFonts w:ascii="Verdana" w:hAnsi="Verdana"/>
          <w:sz w:val="22"/>
          <w:szCs w:val="22"/>
        </w:rPr>
      </w:pPr>
      <w:r w:rsidRPr="00386E26">
        <w:rPr>
          <w:rFonts w:ascii="Verdana" w:hAnsi="Verdana"/>
          <w:sz w:val="22"/>
          <w:szCs w:val="22"/>
        </w:rPr>
        <w:t xml:space="preserve">Following the </w:t>
      </w:r>
      <w:r w:rsidRPr="00386E26" w:rsidR="00F45FDB">
        <w:rPr>
          <w:rFonts w:ascii="Verdana" w:hAnsi="Verdana"/>
          <w:sz w:val="22"/>
          <w:szCs w:val="22"/>
        </w:rPr>
        <w:t xml:space="preserve">formal </w:t>
      </w:r>
      <w:r w:rsidRPr="00386E26">
        <w:rPr>
          <w:rFonts w:ascii="Verdana" w:hAnsi="Verdana"/>
          <w:sz w:val="22"/>
          <w:szCs w:val="22"/>
        </w:rPr>
        <w:t>triggering of Ar</w:t>
      </w:r>
      <w:r w:rsidRPr="00386E26" w:rsidR="00F45FDB">
        <w:rPr>
          <w:rFonts w:ascii="Verdana" w:hAnsi="Verdana"/>
          <w:sz w:val="22"/>
          <w:szCs w:val="22"/>
        </w:rPr>
        <w:t>t</w:t>
      </w:r>
      <w:r w:rsidRPr="00386E26">
        <w:rPr>
          <w:rFonts w:ascii="Verdana" w:hAnsi="Verdana"/>
          <w:sz w:val="22"/>
          <w:szCs w:val="22"/>
        </w:rPr>
        <w:t>icle 50</w:t>
      </w:r>
      <w:r w:rsidRPr="00386E26" w:rsidR="00996B30">
        <w:rPr>
          <w:rFonts w:ascii="Verdana" w:hAnsi="Verdana"/>
          <w:sz w:val="22"/>
          <w:szCs w:val="22"/>
        </w:rPr>
        <w:t xml:space="preserve"> </w:t>
      </w:r>
      <w:r w:rsidRPr="00386E26" w:rsidR="00E20394">
        <w:rPr>
          <w:rFonts w:ascii="Verdana" w:hAnsi="Verdana"/>
          <w:sz w:val="22"/>
          <w:szCs w:val="22"/>
        </w:rPr>
        <w:t xml:space="preserve">of the Treaty </w:t>
      </w:r>
      <w:r w:rsidRPr="00386E26" w:rsidR="00CA0081">
        <w:rPr>
          <w:rFonts w:ascii="Verdana" w:hAnsi="Verdana"/>
          <w:sz w:val="22"/>
          <w:szCs w:val="22"/>
        </w:rPr>
        <w:t>on the Functioning of the EU (TFEU)</w:t>
      </w:r>
      <w:r>
        <w:rPr>
          <w:rStyle w:val="FootnoteReference"/>
          <w:rFonts w:ascii="Verdana" w:hAnsi="Verdana"/>
          <w:sz w:val="22"/>
          <w:szCs w:val="22"/>
        </w:rPr>
        <w:footnoteReference w:id="4"/>
      </w:r>
      <w:r w:rsidRPr="00386E26">
        <w:rPr>
          <w:rFonts w:ascii="Verdana" w:hAnsi="Verdana"/>
          <w:sz w:val="22"/>
          <w:szCs w:val="22"/>
        </w:rPr>
        <w:t xml:space="preserve"> </w:t>
      </w:r>
      <w:r w:rsidRPr="00386E26" w:rsidR="00F45FDB">
        <w:rPr>
          <w:rFonts w:ascii="Verdana" w:hAnsi="Verdana"/>
          <w:sz w:val="22"/>
          <w:szCs w:val="22"/>
        </w:rPr>
        <w:t xml:space="preserve">to </w:t>
      </w:r>
      <w:r w:rsidRPr="00386E26" w:rsidR="001A4609">
        <w:rPr>
          <w:rFonts w:ascii="Verdana" w:hAnsi="Verdana"/>
          <w:sz w:val="22"/>
          <w:szCs w:val="22"/>
        </w:rPr>
        <w:t>begin</w:t>
      </w:r>
      <w:r w:rsidRPr="00386E26" w:rsidR="00F45FDB">
        <w:rPr>
          <w:rFonts w:ascii="Verdana" w:hAnsi="Verdana"/>
          <w:sz w:val="22"/>
          <w:szCs w:val="22"/>
        </w:rPr>
        <w:t xml:space="preserve"> the UK’s withdrawal from the European Union</w:t>
      </w:r>
      <w:r w:rsidRPr="00386E26" w:rsidR="003619E9">
        <w:rPr>
          <w:rFonts w:ascii="Verdana" w:hAnsi="Verdana"/>
          <w:sz w:val="22"/>
          <w:szCs w:val="22"/>
        </w:rPr>
        <w:t xml:space="preserve">, the UK and EU began negotiations on </w:t>
      </w:r>
      <w:r w:rsidRPr="00386E26" w:rsidR="00DD70A3">
        <w:rPr>
          <w:rFonts w:ascii="Verdana" w:hAnsi="Verdana"/>
          <w:sz w:val="22"/>
          <w:szCs w:val="22"/>
        </w:rPr>
        <w:t>a</w:t>
      </w:r>
      <w:r w:rsidRPr="00386E26" w:rsidR="003619E9">
        <w:rPr>
          <w:rFonts w:ascii="Verdana" w:hAnsi="Verdana"/>
          <w:sz w:val="22"/>
          <w:szCs w:val="22"/>
        </w:rPr>
        <w:t xml:space="preserve"> withdrawal </w:t>
      </w:r>
      <w:r w:rsidRPr="00386E26" w:rsidR="00DD70A3">
        <w:rPr>
          <w:rFonts w:ascii="Verdana" w:hAnsi="Verdana"/>
          <w:sz w:val="22"/>
          <w:szCs w:val="22"/>
        </w:rPr>
        <w:t>Agreement</w:t>
      </w:r>
      <w:r w:rsidRPr="00386E26" w:rsidR="001A4609">
        <w:rPr>
          <w:rFonts w:ascii="Verdana" w:hAnsi="Verdana"/>
          <w:sz w:val="22"/>
          <w:szCs w:val="22"/>
        </w:rPr>
        <w:t xml:space="preserve"> to deal with the specifics of that withdrawal</w:t>
      </w:r>
      <w:r w:rsidRPr="00386E26" w:rsidR="003619E9">
        <w:rPr>
          <w:rFonts w:ascii="Verdana" w:hAnsi="Verdana"/>
          <w:sz w:val="22"/>
          <w:szCs w:val="22"/>
        </w:rPr>
        <w:t>. As part of that process the</w:t>
      </w:r>
      <w:r w:rsidRPr="00386E26">
        <w:rPr>
          <w:rFonts w:ascii="Verdana" w:hAnsi="Verdana"/>
          <w:sz w:val="22"/>
          <w:szCs w:val="22"/>
        </w:rPr>
        <w:t xml:space="preserve"> </w:t>
      </w:r>
      <w:r w:rsidRPr="00386E26" w:rsidR="00CE740D">
        <w:rPr>
          <w:rFonts w:ascii="Verdana" w:hAnsi="Verdana"/>
          <w:sz w:val="22"/>
          <w:szCs w:val="22"/>
        </w:rPr>
        <w:t xml:space="preserve">EU set </w:t>
      </w:r>
      <w:r w:rsidRPr="00386E26" w:rsidR="003619E9">
        <w:rPr>
          <w:rFonts w:ascii="Verdana" w:hAnsi="Verdana"/>
          <w:sz w:val="22"/>
          <w:szCs w:val="22"/>
        </w:rPr>
        <w:t xml:space="preserve">out their own </w:t>
      </w:r>
      <w:r w:rsidRPr="00386E26" w:rsidR="00CE740D">
        <w:rPr>
          <w:rFonts w:ascii="Verdana" w:hAnsi="Verdana"/>
          <w:sz w:val="22"/>
          <w:szCs w:val="22"/>
        </w:rPr>
        <w:t xml:space="preserve">pre-conditions </w:t>
      </w:r>
      <w:r w:rsidRPr="00386E26" w:rsidR="0063401F">
        <w:rPr>
          <w:rFonts w:ascii="Verdana" w:hAnsi="Verdana"/>
          <w:sz w:val="22"/>
          <w:szCs w:val="22"/>
        </w:rPr>
        <w:t>for</w:t>
      </w:r>
      <w:r w:rsidRPr="00386E26" w:rsidR="00CE740D">
        <w:rPr>
          <w:rFonts w:ascii="Verdana" w:hAnsi="Verdana"/>
          <w:sz w:val="22"/>
          <w:szCs w:val="22"/>
        </w:rPr>
        <w:t xml:space="preserve"> the negotiations</w:t>
      </w:r>
      <w:r w:rsidRPr="00386E26" w:rsidR="0063401F">
        <w:rPr>
          <w:rFonts w:ascii="Verdana" w:hAnsi="Verdana"/>
          <w:sz w:val="22"/>
          <w:szCs w:val="22"/>
        </w:rPr>
        <w:t>.</w:t>
      </w:r>
      <w:r>
        <w:rPr>
          <w:rStyle w:val="FootnoteReference"/>
          <w:rFonts w:ascii="Verdana" w:hAnsi="Verdana"/>
          <w:sz w:val="22"/>
          <w:szCs w:val="22"/>
        </w:rPr>
        <w:footnoteReference w:id="5"/>
      </w:r>
      <w:r w:rsidRPr="00386E26" w:rsidR="0063401F">
        <w:rPr>
          <w:rFonts w:ascii="Verdana" w:hAnsi="Verdana"/>
          <w:sz w:val="22"/>
          <w:szCs w:val="22"/>
        </w:rPr>
        <w:t xml:space="preserve"> One of which was </w:t>
      </w:r>
      <w:r w:rsidRPr="00386E26" w:rsidR="00392E04">
        <w:rPr>
          <w:rFonts w:ascii="Verdana" w:hAnsi="Verdana"/>
          <w:sz w:val="22"/>
          <w:szCs w:val="22"/>
        </w:rPr>
        <w:t>ensuring the protection of the Good Friday Agreement and the prevention of a hard border on the island of Ireland.</w:t>
      </w:r>
    </w:p>
    <w:p w:rsidR="00CE740D" w:rsidRPr="00386E26" w:rsidP="008B3047">
      <w:pPr>
        <w:ind w:left="720"/>
        <w:rPr>
          <w:rFonts w:ascii="Verdana" w:hAnsi="Verdana"/>
          <w:b/>
          <w:bCs/>
          <w:i/>
          <w:iCs/>
          <w:sz w:val="22"/>
          <w:szCs w:val="22"/>
        </w:rPr>
      </w:pPr>
      <w:r w:rsidRPr="00386E26">
        <w:rPr>
          <w:rFonts w:ascii="Verdana" w:hAnsi="Verdana"/>
          <w:b/>
          <w:bCs/>
          <w:i/>
          <w:iCs/>
          <w:sz w:val="22"/>
          <w:szCs w:val="22"/>
        </w:rPr>
        <w:t>Nothing in the Agreement should undermine the objectives and commitments set out in the Good Friday Agreement. Negotiations should avoid the creation of a hard border on the island of Ireland. Irish citizens residing in Northern Ireland will continue to enjoy rights as EU citizens. Goods in transit routed through the UK should not be affected.</w:t>
      </w:r>
      <w:r w:rsidRPr="00386E26" w:rsidR="00392E04">
        <w:rPr>
          <w:rFonts w:ascii="Verdana" w:hAnsi="Verdana"/>
          <w:b/>
          <w:bCs/>
          <w:i/>
          <w:iCs/>
          <w:sz w:val="22"/>
          <w:szCs w:val="22"/>
        </w:rPr>
        <w:t xml:space="preserve"> </w:t>
      </w:r>
      <w:r w:rsidRPr="00386E26">
        <w:rPr>
          <w:rFonts w:ascii="Verdana" w:hAnsi="Verdana"/>
          <w:b/>
          <w:bCs/>
          <w:i/>
          <w:iCs/>
          <w:sz w:val="22"/>
          <w:szCs w:val="22"/>
        </w:rPr>
        <w:t xml:space="preserve"> </w:t>
      </w:r>
    </w:p>
    <w:p w:rsidR="00CE740D" w:rsidRPr="00386E26" w:rsidP="00CE740D">
      <w:pPr>
        <w:rPr>
          <w:rFonts w:ascii="Verdana" w:hAnsi="Verdana"/>
          <w:sz w:val="22"/>
          <w:szCs w:val="22"/>
        </w:rPr>
      </w:pPr>
      <w:r w:rsidRPr="00386E26">
        <w:rPr>
          <w:rFonts w:ascii="Verdana" w:hAnsi="Verdana"/>
          <w:sz w:val="22"/>
          <w:szCs w:val="22"/>
        </w:rPr>
        <w:t>As the</w:t>
      </w:r>
      <w:r w:rsidRPr="00386E26" w:rsidR="009A6972">
        <w:rPr>
          <w:rFonts w:ascii="Verdana" w:hAnsi="Verdana"/>
          <w:sz w:val="22"/>
          <w:szCs w:val="22"/>
        </w:rPr>
        <w:t xml:space="preserve"> Belfast/Good Friday Agreement</w:t>
      </w:r>
      <w:r w:rsidRPr="00386E26">
        <w:rPr>
          <w:rFonts w:ascii="Verdana" w:hAnsi="Verdana"/>
          <w:sz w:val="22"/>
          <w:szCs w:val="22"/>
        </w:rPr>
        <w:t xml:space="preserve"> </w:t>
      </w:r>
      <w:r w:rsidRPr="00386E26" w:rsidR="009A6972">
        <w:rPr>
          <w:rFonts w:ascii="Verdana" w:hAnsi="Verdana"/>
          <w:sz w:val="22"/>
          <w:szCs w:val="22"/>
        </w:rPr>
        <w:t>(</w:t>
      </w:r>
      <w:r w:rsidRPr="00386E26">
        <w:rPr>
          <w:rFonts w:ascii="Verdana" w:hAnsi="Verdana"/>
          <w:sz w:val="22"/>
          <w:szCs w:val="22"/>
        </w:rPr>
        <w:t>B/GFA</w:t>
      </w:r>
      <w:r w:rsidRPr="00386E26" w:rsidR="009A6972">
        <w:rPr>
          <w:rFonts w:ascii="Verdana" w:hAnsi="Verdana"/>
          <w:sz w:val="22"/>
          <w:szCs w:val="22"/>
        </w:rPr>
        <w:t xml:space="preserve">) made </w:t>
      </w:r>
      <w:r w:rsidRPr="00386E26">
        <w:rPr>
          <w:rFonts w:ascii="Verdana" w:hAnsi="Verdana"/>
          <w:sz w:val="22"/>
          <w:szCs w:val="22"/>
        </w:rPr>
        <w:t>the protection of human rights</w:t>
      </w:r>
      <w:r w:rsidRPr="00386E26" w:rsidR="004E4451">
        <w:rPr>
          <w:rFonts w:ascii="Verdana" w:hAnsi="Verdana"/>
          <w:sz w:val="22"/>
          <w:szCs w:val="22"/>
        </w:rPr>
        <w:t xml:space="preserve"> a central element of its architecture</w:t>
      </w:r>
      <w:r w:rsidRPr="00386E26" w:rsidR="00FB2E49">
        <w:rPr>
          <w:rFonts w:ascii="Verdana" w:hAnsi="Verdana"/>
          <w:sz w:val="22"/>
          <w:szCs w:val="22"/>
        </w:rPr>
        <w:t>,</w:t>
      </w:r>
      <w:r w:rsidRPr="00386E26" w:rsidR="004E4451">
        <w:rPr>
          <w:rFonts w:ascii="Verdana" w:hAnsi="Verdana"/>
          <w:sz w:val="22"/>
          <w:szCs w:val="22"/>
        </w:rPr>
        <w:t xml:space="preserve"> </w:t>
      </w:r>
      <w:r w:rsidRPr="00386E26" w:rsidR="00286A1B">
        <w:rPr>
          <w:rFonts w:ascii="Verdana" w:hAnsi="Verdana"/>
          <w:sz w:val="22"/>
          <w:szCs w:val="22"/>
        </w:rPr>
        <w:t xml:space="preserve">it follows that </w:t>
      </w:r>
      <w:r w:rsidRPr="00386E26" w:rsidR="00FF78B3">
        <w:rPr>
          <w:rFonts w:ascii="Verdana" w:hAnsi="Verdana"/>
          <w:sz w:val="22"/>
          <w:szCs w:val="22"/>
        </w:rPr>
        <w:t xml:space="preserve">the </w:t>
      </w:r>
      <w:r w:rsidRPr="00386E26" w:rsidR="00286A1B">
        <w:rPr>
          <w:rFonts w:ascii="Verdana" w:hAnsi="Verdana"/>
          <w:sz w:val="22"/>
          <w:szCs w:val="22"/>
        </w:rPr>
        <w:t xml:space="preserve">discussions </w:t>
      </w:r>
      <w:r w:rsidRPr="00386E26" w:rsidR="00FB2E49">
        <w:rPr>
          <w:rFonts w:ascii="Verdana" w:hAnsi="Verdana"/>
          <w:sz w:val="22"/>
          <w:szCs w:val="22"/>
        </w:rPr>
        <w:t xml:space="preserve">relating to Northern Ireland within </w:t>
      </w:r>
      <w:r w:rsidRPr="00386E26" w:rsidR="00286A1B">
        <w:rPr>
          <w:rFonts w:ascii="Verdana" w:hAnsi="Verdana"/>
          <w:sz w:val="22"/>
          <w:szCs w:val="22"/>
        </w:rPr>
        <w:t xml:space="preserve">the EU/UK </w:t>
      </w:r>
      <w:r w:rsidRPr="00386E26" w:rsidR="00661009">
        <w:rPr>
          <w:rFonts w:ascii="Verdana" w:hAnsi="Verdana"/>
          <w:sz w:val="22"/>
          <w:szCs w:val="22"/>
        </w:rPr>
        <w:t>W</w:t>
      </w:r>
      <w:r w:rsidRPr="00386E26" w:rsidR="00286A1B">
        <w:rPr>
          <w:rFonts w:ascii="Verdana" w:hAnsi="Verdana"/>
          <w:sz w:val="22"/>
          <w:szCs w:val="22"/>
        </w:rPr>
        <w:t xml:space="preserve">ithdrawal Agreement </w:t>
      </w:r>
      <w:r w:rsidRPr="00386E26" w:rsidR="00290C86">
        <w:rPr>
          <w:rFonts w:ascii="Verdana" w:hAnsi="Verdana"/>
          <w:sz w:val="22"/>
          <w:szCs w:val="22"/>
        </w:rPr>
        <w:t>contained specific commitments on human rights</w:t>
      </w:r>
      <w:r w:rsidRPr="00386E26">
        <w:rPr>
          <w:rFonts w:ascii="Verdana" w:hAnsi="Verdana"/>
          <w:sz w:val="22"/>
          <w:szCs w:val="22"/>
        </w:rPr>
        <w:t>.</w:t>
      </w:r>
    </w:p>
    <w:p w:rsidR="00CE740D" w:rsidRPr="00386E26" w:rsidP="00CE740D">
      <w:pPr>
        <w:rPr>
          <w:rFonts w:ascii="Verdana" w:hAnsi="Verdana"/>
          <w:sz w:val="22"/>
          <w:szCs w:val="22"/>
        </w:rPr>
      </w:pPr>
      <w:r w:rsidRPr="00386E26">
        <w:rPr>
          <w:rFonts w:ascii="Verdana" w:hAnsi="Verdana"/>
          <w:sz w:val="22"/>
          <w:szCs w:val="22"/>
        </w:rPr>
        <w:t>Art</w:t>
      </w:r>
      <w:r w:rsidRPr="00386E26" w:rsidR="00290C86">
        <w:rPr>
          <w:rFonts w:ascii="Verdana" w:hAnsi="Verdana"/>
          <w:sz w:val="22"/>
          <w:szCs w:val="22"/>
        </w:rPr>
        <w:t xml:space="preserve">icle </w:t>
      </w:r>
      <w:r w:rsidRPr="00386E26">
        <w:rPr>
          <w:rFonts w:ascii="Verdana" w:hAnsi="Verdana"/>
          <w:sz w:val="22"/>
          <w:szCs w:val="22"/>
        </w:rPr>
        <w:t xml:space="preserve">2 of </w:t>
      </w:r>
      <w:r w:rsidRPr="00386E26" w:rsidR="00290C86">
        <w:rPr>
          <w:rFonts w:ascii="Verdana" w:hAnsi="Verdana"/>
          <w:sz w:val="22"/>
          <w:szCs w:val="22"/>
        </w:rPr>
        <w:t xml:space="preserve">the </w:t>
      </w:r>
      <w:r w:rsidRPr="00386E26">
        <w:rPr>
          <w:rFonts w:ascii="Verdana" w:hAnsi="Verdana"/>
          <w:sz w:val="22"/>
          <w:szCs w:val="22"/>
        </w:rPr>
        <w:t>W</w:t>
      </w:r>
      <w:r w:rsidRPr="00386E26" w:rsidR="00290C86">
        <w:rPr>
          <w:rFonts w:ascii="Verdana" w:hAnsi="Verdana"/>
          <w:sz w:val="22"/>
          <w:szCs w:val="22"/>
        </w:rPr>
        <w:t xml:space="preserve">indsor </w:t>
      </w:r>
      <w:r w:rsidRPr="00386E26">
        <w:rPr>
          <w:rFonts w:ascii="Verdana" w:hAnsi="Verdana"/>
          <w:sz w:val="22"/>
          <w:szCs w:val="22"/>
        </w:rPr>
        <w:t>F</w:t>
      </w:r>
      <w:r w:rsidRPr="00386E26" w:rsidR="00290C86">
        <w:rPr>
          <w:rFonts w:ascii="Verdana" w:hAnsi="Verdana"/>
          <w:sz w:val="22"/>
          <w:szCs w:val="22"/>
        </w:rPr>
        <w:t>ramework</w:t>
      </w:r>
      <w:r w:rsidRPr="00386E26">
        <w:rPr>
          <w:rFonts w:ascii="Verdana" w:hAnsi="Verdana"/>
          <w:sz w:val="22"/>
          <w:szCs w:val="22"/>
        </w:rPr>
        <w:t xml:space="preserve"> sought to </w:t>
      </w:r>
      <w:r w:rsidRPr="00386E26" w:rsidR="00AB0AA6">
        <w:rPr>
          <w:rFonts w:ascii="Verdana" w:hAnsi="Verdana"/>
          <w:sz w:val="22"/>
          <w:szCs w:val="22"/>
        </w:rPr>
        <w:t xml:space="preserve">therefore protect elements of human rights protections that were underpinned by EU law and helped deliver protections committed to in the </w:t>
      </w:r>
      <w:r w:rsidRPr="00386E26" w:rsidR="00AB2138">
        <w:rPr>
          <w:rFonts w:ascii="Verdana" w:hAnsi="Verdana"/>
          <w:sz w:val="22"/>
          <w:szCs w:val="22"/>
        </w:rPr>
        <w:t>Rights</w:t>
      </w:r>
      <w:r w:rsidRPr="00386E26" w:rsidR="001E4A4C">
        <w:rPr>
          <w:rFonts w:ascii="Verdana" w:hAnsi="Verdana"/>
          <w:sz w:val="22"/>
          <w:szCs w:val="22"/>
        </w:rPr>
        <w:t xml:space="preserve">, </w:t>
      </w:r>
      <w:r w:rsidRPr="00386E26" w:rsidR="006D345C">
        <w:rPr>
          <w:rFonts w:ascii="Verdana" w:hAnsi="Verdana"/>
          <w:sz w:val="22"/>
          <w:szCs w:val="22"/>
        </w:rPr>
        <w:t>Safeguards and Equality of Opportunity (</w:t>
      </w:r>
      <w:r w:rsidRPr="00386E26" w:rsidR="00AB0AA6">
        <w:rPr>
          <w:rFonts w:ascii="Verdana" w:hAnsi="Verdana"/>
          <w:sz w:val="22"/>
          <w:szCs w:val="22"/>
        </w:rPr>
        <w:t>RSEO</w:t>
      </w:r>
      <w:r w:rsidRPr="00386E26" w:rsidR="006D345C">
        <w:rPr>
          <w:rFonts w:ascii="Verdana" w:hAnsi="Verdana"/>
          <w:sz w:val="22"/>
          <w:szCs w:val="22"/>
        </w:rPr>
        <w:t>)</w:t>
      </w:r>
      <w:r w:rsidRPr="00386E26" w:rsidR="00AB0AA6">
        <w:rPr>
          <w:rFonts w:ascii="Verdana" w:hAnsi="Verdana"/>
          <w:sz w:val="22"/>
          <w:szCs w:val="22"/>
        </w:rPr>
        <w:t xml:space="preserve"> chapter of the B/GFA</w:t>
      </w:r>
      <w:r w:rsidRPr="00386E26" w:rsidR="006A699B">
        <w:rPr>
          <w:rFonts w:ascii="Verdana" w:hAnsi="Verdana"/>
          <w:sz w:val="22"/>
          <w:szCs w:val="22"/>
        </w:rPr>
        <w:t>.</w:t>
      </w:r>
    </w:p>
    <w:p w:rsidR="00B45069" w:rsidRPr="00386E26" w:rsidP="00CE740D">
      <w:pPr>
        <w:rPr>
          <w:rFonts w:ascii="Verdana" w:hAnsi="Verdana"/>
          <w:sz w:val="22"/>
          <w:szCs w:val="22"/>
        </w:rPr>
      </w:pPr>
      <w:r w:rsidRPr="00386E26">
        <w:rPr>
          <w:rFonts w:ascii="Verdana" w:hAnsi="Verdana"/>
          <w:sz w:val="22"/>
          <w:szCs w:val="22"/>
        </w:rPr>
        <w:t>Early</w:t>
      </w:r>
      <w:r w:rsidRPr="00386E26" w:rsidR="00974704">
        <w:rPr>
          <w:rFonts w:ascii="Verdana" w:hAnsi="Verdana"/>
          <w:sz w:val="22"/>
          <w:szCs w:val="22"/>
        </w:rPr>
        <w:t xml:space="preserve"> feedback on the EU/UK Brexit negotiations </w:t>
      </w:r>
      <w:r w:rsidRPr="00386E26" w:rsidR="004F0C51">
        <w:rPr>
          <w:rFonts w:ascii="Verdana" w:hAnsi="Verdana"/>
          <w:sz w:val="22"/>
          <w:szCs w:val="22"/>
        </w:rPr>
        <w:t xml:space="preserve">in December 2017 </w:t>
      </w:r>
      <w:r w:rsidRPr="00386E26" w:rsidR="00974704">
        <w:rPr>
          <w:rFonts w:ascii="Verdana" w:hAnsi="Verdana"/>
          <w:sz w:val="22"/>
          <w:szCs w:val="22"/>
        </w:rPr>
        <w:t>jointly agreed the importance of EU law to North/South cooperation on the Island of Ireland</w:t>
      </w:r>
      <w:r w:rsidRPr="00386E26" w:rsidR="00297065">
        <w:rPr>
          <w:rFonts w:ascii="Verdana" w:hAnsi="Verdana"/>
          <w:sz w:val="22"/>
          <w:szCs w:val="22"/>
        </w:rPr>
        <w:t xml:space="preserve">. </w:t>
      </w:r>
      <w:r w:rsidRPr="00386E26" w:rsidR="00C21FA0">
        <w:rPr>
          <w:rFonts w:ascii="Verdana" w:hAnsi="Verdana"/>
          <w:sz w:val="22"/>
          <w:szCs w:val="22"/>
        </w:rPr>
        <w:t xml:space="preserve">With the </w:t>
      </w:r>
      <w:r w:rsidRPr="00386E26" w:rsidR="001D65B8">
        <w:rPr>
          <w:rFonts w:ascii="Verdana" w:hAnsi="Verdana"/>
          <w:sz w:val="22"/>
          <w:szCs w:val="22"/>
        </w:rPr>
        <w:t>S</w:t>
      </w:r>
      <w:r w:rsidRPr="00386E26" w:rsidR="00C21FA0">
        <w:rPr>
          <w:rFonts w:ascii="Verdana" w:hAnsi="Verdana"/>
          <w:sz w:val="22"/>
          <w:szCs w:val="22"/>
        </w:rPr>
        <w:t xml:space="preserve">trand 2 </w:t>
      </w:r>
      <w:r w:rsidRPr="00386E26" w:rsidR="001D65B8">
        <w:rPr>
          <w:rFonts w:ascii="Verdana" w:hAnsi="Verdana"/>
          <w:sz w:val="22"/>
          <w:szCs w:val="22"/>
        </w:rPr>
        <w:t xml:space="preserve">commitments of the Belfast/Good Friday Agreement (B/GFA) </w:t>
      </w:r>
      <w:r w:rsidRPr="00386E26" w:rsidR="00F00D76">
        <w:rPr>
          <w:rFonts w:ascii="Verdana" w:hAnsi="Verdana"/>
          <w:sz w:val="22"/>
          <w:szCs w:val="22"/>
        </w:rPr>
        <w:t xml:space="preserve">relying heavily on ‘a common European Union legal and policy framework’. </w:t>
      </w:r>
      <w:r w:rsidRPr="00386E26" w:rsidR="001D65B8">
        <w:rPr>
          <w:rFonts w:ascii="Verdana" w:hAnsi="Verdana"/>
          <w:sz w:val="22"/>
          <w:szCs w:val="22"/>
        </w:rPr>
        <w:t xml:space="preserve"> </w:t>
      </w:r>
    </w:p>
    <w:p w:rsidR="00B45069" w:rsidRPr="00386E26" w:rsidP="00297065">
      <w:pPr>
        <w:ind w:left="720"/>
        <w:rPr>
          <w:rFonts w:ascii="Verdana" w:hAnsi="Verdana"/>
          <w:b/>
          <w:bCs/>
          <w:i/>
          <w:iCs/>
          <w:sz w:val="22"/>
          <w:szCs w:val="22"/>
        </w:rPr>
      </w:pPr>
      <w:r w:rsidRPr="00386E26">
        <w:rPr>
          <w:rFonts w:ascii="Verdana" w:hAnsi="Verdana"/>
          <w:b/>
          <w:bCs/>
          <w:i/>
          <w:iCs/>
          <w:sz w:val="22"/>
          <w:szCs w:val="22"/>
        </w:rPr>
        <w:t xml:space="preserve">Cooperation between Ireland and Northern Ireland is a central part of the 1998 Agreement and is essential for achieving reconciliation and the normalisation of relationships on the island of Ireland. In this regard, both Parties recall the roles, functions and safeguards of the Northern Ireland Executive, the Northern Ireland Assembly, and the North-South Ministerial Council (including its cross-community provisions) as set out in the 1998 Agreement. The two Parties have carried out a mapping exercise, which shows that North-South cooperation relies to a significant extent on a common European Union legal and policy framework. Therefore, the United Kingdom’s departure from the European </w:t>
      </w:r>
      <w:r w:rsidRPr="00386E26">
        <w:rPr>
          <w:rFonts w:ascii="Verdana" w:hAnsi="Verdana"/>
          <w:b/>
          <w:bCs/>
          <w:i/>
          <w:iCs/>
          <w:sz w:val="22"/>
          <w:szCs w:val="22"/>
        </w:rPr>
        <w:t>Union gives rise to substantial challenges to the maintenance and development of North-South cooperation.</w:t>
      </w:r>
      <w:r>
        <w:rPr>
          <w:rStyle w:val="FootnoteReference"/>
          <w:rFonts w:ascii="Verdana" w:hAnsi="Verdana"/>
          <w:b/>
          <w:bCs/>
          <w:i/>
          <w:iCs/>
          <w:sz w:val="22"/>
          <w:szCs w:val="22"/>
        </w:rPr>
        <w:footnoteReference w:id="6"/>
      </w:r>
    </w:p>
    <w:p w:rsidR="00297065" w:rsidRPr="00386E26" w:rsidP="00F00D76">
      <w:pPr>
        <w:rPr>
          <w:rFonts w:ascii="Verdana" w:hAnsi="Verdana"/>
          <w:sz w:val="22"/>
          <w:szCs w:val="22"/>
        </w:rPr>
      </w:pPr>
      <w:r w:rsidRPr="00386E26">
        <w:rPr>
          <w:rFonts w:ascii="Verdana" w:hAnsi="Verdana"/>
          <w:sz w:val="22"/>
          <w:szCs w:val="22"/>
        </w:rPr>
        <w:t xml:space="preserve">The negotiations also </w:t>
      </w:r>
      <w:r w:rsidRPr="00386E26" w:rsidR="00224599">
        <w:rPr>
          <w:rFonts w:ascii="Verdana" w:hAnsi="Verdana"/>
          <w:sz w:val="22"/>
          <w:szCs w:val="22"/>
        </w:rPr>
        <w:t>recognised</w:t>
      </w:r>
      <w:r w:rsidRPr="00386E26">
        <w:rPr>
          <w:rFonts w:ascii="Verdana" w:hAnsi="Verdana"/>
          <w:sz w:val="22"/>
          <w:szCs w:val="22"/>
        </w:rPr>
        <w:t xml:space="preserve"> th</w:t>
      </w:r>
      <w:r w:rsidRPr="00386E26" w:rsidR="00224599">
        <w:rPr>
          <w:rFonts w:ascii="Verdana" w:hAnsi="Verdana"/>
          <w:sz w:val="22"/>
          <w:szCs w:val="22"/>
        </w:rPr>
        <w:t xml:space="preserve">e centrality </w:t>
      </w:r>
      <w:r w:rsidRPr="00386E26" w:rsidR="00F00D76">
        <w:rPr>
          <w:rFonts w:ascii="Verdana" w:hAnsi="Verdana"/>
          <w:sz w:val="22"/>
          <w:szCs w:val="22"/>
        </w:rPr>
        <w:t xml:space="preserve">of EU law </w:t>
      </w:r>
      <w:r w:rsidRPr="00386E26" w:rsidR="00224599">
        <w:rPr>
          <w:rFonts w:ascii="Verdana" w:hAnsi="Verdana"/>
          <w:sz w:val="22"/>
          <w:szCs w:val="22"/>
        </w:rPr>
        <w:t xml:space="preserve">in </w:t>
      </w:r>
      <w:r w:rsidRPr="00386E26" w:rsidR="00F00D76">
        <w:rPr>
          <w:rFonts w:ascii="Verdana" w:hAnsi="Verdana"/>
          <w:sz w:val="22"/>
          <w:szCs w:val="22"/>
        </w:rPr>
        <w:t xml:space="preserve">underpinning the delivery of the commitments in the </w:t>
      </w:r>
      <w:r w:rsidRPr="00386E26" w:rsidR="00224599">
        <w:rPr>
          <w:rFonts w:ascii="Verdana" w:hAnsi="Verdana"/>
          <w:sz w:val="22"/>
          <w:szCs w:val="22"/>
        </w:rPr>
        <w:t xml:space="preserve">Rights, Safeguards and Equality of Opportunity </w:t>
      </w:r>
      <w:r w:rsidRPr="00386E26" w:rsidR="009D0925">
        <w:rPr>
          <w:rFonts w:ascii="Verdana" w:hAnsi="Verdana"/>
          <w:sz w:val="22"/>
          <w:szCs w:val="22"/>
        </w:rPr>
        <w:t>(</w:t>
      </w:r>
      <w:r w:rsidRPr="00386E26" w:rsidR="00F00D76">
        <w:rPr>
          <w:rFonts w:ascii="Verdana" w:hAnsi="Verdana"/>
          <w:sz w:val="22"/>
          <w:szCs w:val="22"/>
        </w:rPr>
        <w:t>RSEO</w:t>
      </w:r>
      <w:r w:rsidRPr="00386E26" w:rsidR="009D0925">
        <w:rPr>
          <w:rFonts w:ascii="Verdana" w:hAnsi="Verdana"/>
          <w:sz w:val="22"/>
          <w:szCs w:val="22"/>
        </w:rPr>
        <w:t>)</w:t>
      </w:r>
      <w:r w:rsidRPr="00386E26" w:rsidR="00F00D76">
        <w:rPr>
          <w:rFonts w:ascii="Verdana" w:hAnsi="Verdana"/>
          <w:sz w:val="22"/>
          <w:szCs w:val="22"/>
        </w:rPr>
        <w:t xml:space="preserve"> chapter of the B/GFA.</w:t>
      </w:r>
    </w:p>
    <w:p w:rsidR="005D6A94" w:rsidRPr="00386E26" w:rsidP="005D6A94">
      <w:pPr>
        <w:ind w:left="720"/>
        <w:rPr>
          <w:rFonts w:ascii="Verdana" w:hAnsi="Verdana"/>
          <w:b/>
          <w:bCs/>
          <w:i/>
          <w:iCs/>
          <w:sz w:val="22"/>
          <w:szCs w:val="22"/>
        </w:rPr>
      </w:pPr>
      <w:r w:rsidRPr="00386E26">
        <w:rPr>
          <w:rFonts w:ascii="Verdana" w:hAnsi="Verdana"/>
          <w:b/>
          <w:bCs/>
          <w:i/>
          <w:iCs/>
          <w:sz w:val="22"/>
          <w:szCs w:val="22"/>
        </w:rPr>
        <w:t xml:space="preserve">The 1998 Agreement also includes important provisions on Rights, Safeguards and Equality of Opportunity for which EU law and practice has provided a supporting framework in Northern Ireland and across the island of Ireland. The United Kingdom commits to ensuring that no diminution of rights is caused by its departure from the European Union, including </w:t>
      </w:r>
      <w:r w:rsidRPr="00386E26">
        <w:rPr>
          <w:rFonts w:ascii="Verdana" w:hAnsi="Verdana"/>
          <w:b/>
          <w:bCs/>
          <w:i/>
          <w:iCs/>
          <w:sz w:val="22"/>
          <w:szCs w:val="22"/>
        </w:rPr>
        <w:t>in the area of</w:t>
      </w:r>
      <w:r w:rsidRPr="00386E26">
        <w:rPr>
          <w:rFonts w:ascii="Verdana" w:hAnsi="Verdana"/>
          <w:b/>
          <w:bCs/>
          <w:i/>
          <w:iCs/>
          <w:sz w:val="22"/>
          <w:szCs w:val="22"/>
        </w:rPr>
        <w:t xml:space="preserve"> protection against forms of discrimination enshrined in EU law.</w:t>
      </w:r>
      <w:r>
        <w:rPr>
          <w:rStyle w:val="FootnoteReference"/>
          <w:rFonts w:ascii="Verdana" w:hAnsi="Verdana"/>
          <w:b/>
          <w:bCs/>
          <w:i/>
          <w:iCs/>
          <w:sz w:val="22"/>
          <w:szCs w:val="22"/>
        </w:rPr>
        <w:footnoteReference w:id="7"/>
      </w:r>
    </w:p>
    <w:p w:rsidR="00CE740D" w:rsidRPr="00386E26" w:rsidP="00CE740D">
      <w:pPr>
        <w:rPr>
          <w:rFonts w:ascii="Verdana" w:hAnsi="Verdana"/>
          <w:sz w:val="22"/>
          <w:szCs w:val="22"/>
        </w:rPr>
      </w:pPr>
      <w:r w:rsidRPr="00386E26">
        <w:rPr>
          <w:rFonts w:ascii="Verdana" w:hAnsi="Verdana"/>
          <w:sz w:val="22"/>
          <w:szCs w:val="22"/>
        </w:rPr>
        <w:t xml:space="preserve">EU law was therefore </w:t>
      </w:r>
      <w:r w:rsidRPr="00386E26" w:rsidR="007E3CC6">
        <w:rPr>
          <w:rFonts w:ascii="Verdana" w:hAnsi="Verdana"/>
          <w:sz w:val="22"/>
          <w:szCs w:val="22"/>
        </w:rPr>
        <w:t xml:space="preserve">one of the mechanisms by which the commitments in the RSEO chapter were delivered in practice. </w:t>
      </w:r>
      <w:r w:rsidRPr="00386E26" w:rsidR="006E3D64">
        <w:rPr>
          <w:rFonts w:ascii="Verdana" w:hAnsi="Verdana"/>
          <w:sz w:val="22"/>
          <w:szCs w:val="22"/>
        </w:rPr>
        <w:t xml:space="preserve">There are a range of EU </w:t>
      </w:r>
      <w:r w:rsidRPr="00386E26" w:rsidR="00843862">
        <w:rPr>
          <w:rFonts w:ascii="Verdana" w:hAnsi="Verdana"/>
          <w:sz w:val="22"/>
          <w:szCs w:val="22"/>
        </w:rPr>
        <w:t xml:space="preserve">measures that can be interpreted as delivering on the commitments in that chapter, with EU </w:t>
      </w:r>
      <w:r w:rsidRPr="00386E26" w:rsidR="006E3D64">
        <w:rPr>
          <w:rFonts w:ascii="Verdana" w:hAnsi="Verdana"/>
          <w:sz w:val="22"/>
          <w:szCs w:val="22"/>
        </w:rPr>
        <w:t xml:space="preserve">Directives </w:t>
      </w:r>
      <w:r w:rsidRPr="00386E26" w:rsidR="00843862">
        <w:rPr>
          <w:rFonts w:ascii="Verdana" w:hAnsi="Verdana"/>
          <w:sz w:val="22"/>
          <w:szCs w:val="22"/>
        </w:rPr>
        <w:t xml:space="preserve">by themselves </w:t>
      </w:r>
      <w:r w:rsidRPr="00386E26" w:rsidR="00E51F5E">
        <w:rPr>
          <w:rFonts w:ascii="Verdana" w:hAnsi="Verdana"/>
          <w:sz w:val="22"/>
          <w:szCs w:val="22"/>
        </w:rPr>
        <w:t>setting out substantive areas where rights and equality standards were enhanced in Northern Ireland law.</w:t>
      </w:r>
      <w:r>
        <w:rPr>
          <w:rStyle w:val="FootnoteReference"/>
          <w:rFonts w:ascii="Verdana" w:hAnsi="Verdana"/>
          <w:sz w:val="22"/>
          <w:szCs w:val="22"/>
        </w:rPr>
        <w:footnoteReference w:id="8"/>
      </w:r>
      <w:r w:rsidRPr="00386E26" w:rsidR="00E51F5E">
        <w:rPr>
          <w:rFonts w:ascii="Verdana" w:hAnsi="Verdana"/>
          <w:sz w:val="22"/>
          <w:szCs w:val="22"/>
        </w:rPr>
        <w:t xml:space="preserve"> </w:t>
      </w:r>
    </w:p>
    <w:p w:rsidR="00CE740D" w:rsidRPr="00386E26" w:rsidP="00243404">
      <w:pPr>
        <w:rPr>
          <w:rFonts w:ascii="Verdana" w:hAnsi="Verdana"/>
          <w:b/>
          <w:bCs/>
          <w:sz w:val="22"/>
          <w:szCs w:val="22"/>
        </w:rPr>
      </w:pPr>
      <w:r w:rsidRPr="00386E26">
        <w:rPr>
          <w:rFonts w:ascii="Verdana" w:hAnsi="Verdana"/>
          <w:b/>
          <w:bCs/>
          <w:sz w:val="22"/>
          <w:szCs w:val="22"/>
        </w:rPr>
        <w:t>Prior to Brexit, how were the rights, safeguards, and equality of opportunity (RSEO) provisions of the Belfast/ Good Friday Agreement protected?</w:t>
      </w:r>
    </w:p>
    <w:p w:rsidR="005A068C" w:rsidRPr="00386E26" w:rsidP="005A068C">
      <w:pPr>
        <w:rPr>
          <w:rFonts w:ascii="Verdana" w:hAnsi="Verdana"/>
          <w:sz w:val="22"/>
          <w:szCs w:val="22"/>
        </w:rPr>
      </w:pPr>
      <w:r w:rsidRPr="00386E26">
        <w:rPr>
          <w:rFonts w:ascii="Verdana" w:hAnsi="Verdana"/>
          <w:sz w:val="22"/>
          <w:szCs w:val="22"/>
        </w:rPr>
        <w:t>The Rights, Safeguards and Equality of Opportunity chapter of the Belfast/Good Friday Agreement contains a mixture of broad commitments, institutional arrangements and specific legal obligations. Some provisions identify the civil rights and religious liberties that were to be protected for everyone in Northern Ireland. Others required concrete action by the UK and Irish Governments, including incorporation of the European Convention on Human Rights (ECHR) into Northern Ireland law, the establishment of the Northern Ireland Human Rights Commission and Equality Commission, the creation of a statutory equality duty on public authorities, and the development of a Bill of Rights for Northern Ireland containing rights supplementary to the ECHR.</w:t>
      </w:r>
    </w:p>
    <w:p w:rsidR="005A068C" w:rsidRPr="00386E26" w:rsidP="005A068C">
      <w:pPr>
        <w:rPr>
          <w:rFonts w:ascii="Verdana" w:hAnsi="Verdana"/>
          <w:sz w:val="22"/>
          <w:szCs w:val="22"/>
        </w:rPr>
      </w:pPr>
      <w:r w:rsidRPr="00386E26">
        <w:rPr>
          <w:rFonts w:ascii="Verdana" w:hAnsi="Verdana"/>
          <w:sz w:val="22"/>
          <w:szCs w:val="22"/>
        </w:rPr>
        <w:t xml:space="preserve">Prior to Brexit, rights protections in Northern Ireland were supported by </w:t>
      </w:r>
      <w:r w:rsidRPr="00386E26">
        <w:rPr>
          <w:rFonts w:ascii="Verdana" w:hAnsi="Verdana"/>
          <w:sz w:val="22"/>
          <w:szCs w:val="22"/>
        </w:rPr>
        <w:t>a number of</w:t>
      </w:r>
      <w:r w:rsidRPr="00386E26">
        <w:rPr>
          <w:rFonts w:ascii="Verdana" w:hAnsi="Verdana"/>
          <w:sz w:val="22"/>
          <w:szCs w:val="22"/>
        </w:rPr>
        <w:t xml:space="preserve"> overlapping frameworks. The Human Rights Act gave domestic effect </w:t>
      </w:r>
      <w:r w:rsidRPr="00386E26">
        <w:rPr>
          <w:rFonts w:ascii="Verdana" w:hAnsi="Verdana"/>
          <w:sz w:val="22"/>
          <w:szCs w:val="22"/>
        </w:rPr>
        <w:t>to the ECHR and became one of the principal mechanisms for protecting civil and political rights. EU law provided an additional layer of protections, particularly in areas such as equality and anti-discrimination. However, the ECHR and EU law formed only the foundation of rights protection in Northern Ireland</w:t>
      </w:r>
      <w:r w:rsidRPr="00386E26" w:rsidR="00DB79A7">
        <w:rPr>
          <w:rFonts w:ascii="Verdana" w:hAnsi="Verdana"/>
          <w:sz w:val="22"/>
          <w:szCs w:val="22"/>
        </w:rPr>
        <w:t>,</w:t>
      </w:r>
      <w:r w:rsidRPr="00386E26">
        <w:rPr>
          <w:rFonts w:ascii="Verdana" w:hAnsi="Verdana"/>
          <w:sz w:val="22"/>
          <w:szCs w:val="22"/>
        </w:rPr>
        <w:t xml:space="preserve"> they were never intended to be the </w:t>
      </w:r>
      <w:r w:rsidRPr="00386E26">
        <w:rPr>
          <w:rFonts w:ascii="Verdana" w:hAnsi="Verdana"/>
          <w:sz w:val="22"/>
          <w:szCs w:val="22"/>
        </w:rPr>
        <w:t>final destination</w:t>
      </w:r>
      <w:r w:rsidRPr="00386E26">
        <w:rPr>
          <w:rFonts w:ascii="Verdana" w:hAnsi="Verdana"/>
          <w:sz w:val="22"/>
          <w:szCs w:val="22"/>
        </w:rPr>
        <w:t>. The Belfast/Good Friday Agreement envisaged additional protections that would reflect Northern Ireland's particular circumstances and address gaps in existing rights frameworks. That project was never completed. Most notably, the promised Bill of Rights was never delivered</w:t>
      </w:r>
      <w:r w:rsidRPr="00386E26" w:rsidR="00DF651E">
        <w:rPr>
          <w:rFonts w:ascii="Verdana" w:hAnsi="Verdana"/>
          <w:sz w:val="22"/>
          <w:szCs w:val="22"/>
        </w:rPr>
        <w:t>. As a result, one of the key mechanisms intended to provide rights protections tailored to Northern Ireland's particular circumstances simply did not exist when Brexit occurred.</w:t>
      </w:r>
    </w:p>
    <w:p w:rsidR="005A068C" w:rsidRPr="00386E26" w:rsidP="005A068C">
      <w:pPr>
        <w:rPr>
          <w:rFonts w:ascii="Verdana" w:hAnsi="Verdana"/>
          <w:sz w:val="22"/>
          <w:szCs w:val="22"/>
        </w:rPr>
      </w:pPr>
      <w:r w:rsidRPr="00386E26">
        <w:rPr>
          <w:rFonts w:ascii="Verdana" w:hAnsi="Verdana"/>
          <w:sz w:val="22"/>
          <w:szCs w:val="22"/>
        </w:rPr>
        <w:t xml:space="preserve">Similarly, while Section 75 </w:t>
      </w:r>
      <w:r w:rsidRPr="00386E26" w:rsidR="003F079B">
        <w:rPr>
          <w:rFonts w:ascii="Verdana" w:hAnsi="Verdana"/>
          <w:sz w:val="22"/>
          <w:szCs w:val="22"/>
        </w:rPr>
        <w:t xml:space="preserve">of the Northern Ireland Act </w:t>
      </w:r>
      <w:r w:rsidRPr="00386E26">
        <w:rPr>
          <w:rFonts w:ascii="Verdana" w:hAnsi="Verdana"/>
          <w:sz w:val="22"/>
          <w:szCs w:val="22"/>
        </w:rPr>
        <w:t>introduced an important equality duty on public authorities, the duty itself was relatively weak and has often been implemented in a highly procedural manner.</w:t>
      </w:r>
      <w:r>
        <w:rPr>
          <w:rStyle w:val="FootnoteReference"/>
          <w:rFonts w:ascii="Verdana" w:hAnsi="Verdana"/>
          <w:sz w:val="22"/>
          <w:szCs w:val="22"/>
        </w:rPr>
        <w:footnoteReference w:id="9"/>
      </w:r>
      <w:r w:rsidRPr="00386E26">
        <w:rPr>
          <w:rFonts w:ascii="Verdana" w:hAnsi="Verdana"/>
          <w:sz w:val="22"/>
          <w:szCs w:val="22"/>
        </w:rPr>
        <w:t xml:space="preserve"> As a result, the equality protections envisaged by the Agreement have frequently fallen short of delivering substantive progress in tackling entrenched inequalities.</w:t>
      </w:r>
      <w:r>
        <w:rPr>
          <w:rStyle w:val="FootnoteReference"/>
          <w:rFonts w:ascii="Verdana" w:hAnsi="Verdana"/>
          <w:sz w:val="22"/>
          <w:szCs w:val="22"/>
        </w:rPr>
        <w:footnoteReference w:id="10"/>
      </w:r>
    </w:p>
    <w:p w:rsidR="005A068C" w:rsidRPr="00386E26" w:rsidP="005A068C">
      <w:pPr>
        <w:rPr>
          <w:rFonts w:ascii="Verdana" w:hAnsi="Verdana"/>
          <w:sz w:val="22"/>
          <w:szCs w:val="22"/>
        </w:rPr>
      </w:pPr>
      <w:r w:rsidRPr="00386E26">
        <w:rPr>
          <w:rFonts w:ascii="Verdana" w:hAnsi="Verdana"/>
          <w:sz w:val="22"/>
          <w:szCs w:val="22"/>
        </w:rPr>
        <w:t>These shortcomings are important because they help explain why Brexit generated such significant concern in Northern Ireland. At the time of the referendum, confidence in domestic rights protection was already fragile. The UK Government had repeatedly refused to deliver key rights commitments flowing from the Agreement.</w:t>
      </w:r>
      <w:r>
        <w:rPr>
          <w:rStyle w:val="FootnoteReference"/>
          <w:rFonts w:ascii="Verdana" w:hAnsi="Verdana"/>
          <w:sz w:val="22"/>
          <w:szCs w:val="22"/>
        </w:rPr>
        <w:footnoteReference w:id="11"/>
      </w:r>
      <w:r w:rsidRPr="00386E26">
        <w:rPr>
          <w:rFonts w:ascii="Verdana" w:hAnsi="Verdana"/>
          <w:sz w:val="22"/>
          <w:szCs w:val="22"/>
        </w:rPr>
        <w:t xml:space="preserve"> At Stormont, proposals to strengthen rights and equality protections often faced active political opposition, leaving many of the Agreement's rights commitments unfulfilled decades after they were made.</w:t>
      </w:r>
      <w:r>
        <w:rPr>
          <w:rStyle w:val="FootnoteReference"/>
          <w:rFonts w:ascii="Verdana" w:hAnsi="Verdana"/>
          <w:sz w:val="22"/>
          <w:szCs w:val="22"/>
        </w:rPr>
        <w:footnoteReference w:id="12"/>
      </w:r>
      <w:r w:rsidRPr="00386E26">
        <w:rPr>
          <w:rFonts w:ascii="Verdana" w:hAnsi="Verdana"/>
          <w:sz w:val="22"/>
          <w:szCs w:val="22"/>
        </w:rPr>
        <w:t xml:space="preserve"> For many people, the concern was not simply that rights progress had stalled; it was that political institutions had demonstrated little appetite to advance the rights agenda at all. At the same time, much of the Brexit debate was framed around reducing the influence of European law and regulation.</w:t>
      </w:r>
    </w:p>
    <w:p w:rsidR="005A068C" w:rsidRPr="00386E26" w:rsidP="005A068C">
      <w:pPr>
        <w:rPr>
          <w:rFonts w:ascii="Verdana" w:hAnsi="Verdana"/>
          <w:sz w:val="22"/>
          <w:szCs w:val="22"/>
        </w:rPr>
      </w:pPr>
      <w:r w:rsidRPr="00386E26">
        <w:rPr>
          <w:rFonts w:ascii="Verdana" w:hAnsi="Verdana"/>
          <w:sz w:val="22"/>
          <w:szCs w:val="22"/>
        </w:rPr>
        <w:t>In that context, many people viewed European Union law as one of the few reliable sources of continued progress on rights and equality. Indeed, much of the anti-discrimination legislation introduced in Northern Ireland since the Belfast/Good Friday Agreement had been driven by developments at EU level. For many communities and civil society organisations, the concern was not simply that Northern Ireland was leaving the EU</w:t>
      </w:r>
      <w:r w:rsidRPr="00386E26" w:rsidR="005D6012">
        <w:rPr>
          <w:rFonts w:ascii="Verdana" w:hAnsi="Verdana"/>
          <w:sz w:val="22"/>
          <w:szCs w:val="22"/>
        </w:rPr>
        <w:t>,</w:t>
      </w:r>
      <w:r w:rsidRPr="00386E26">
        <w:rPr>
          <w:rFonts w:ascii="Verdana" w:hAnsi="Verdana"/>
          <w:sz w:val="22"/>
          <w:szCs w:val="22"/>
        </w:rPr>
        <w:t xml:space="preserve"> it was that rights protections </w:t>
      </w:r>
      <w:r w:rsidRPr="00386E26">
        <w:rPr>
          <w:rFonts w:ascii="Verdana" w:hAnsi="Verdana"/>
          <w:sz w:val="22"/>
          <w:szCs w:val="22"/>
        </w:rPr>
        <w:t>could be weakened without any equivalent domestic safeguards being put in place.</w:t>
      </w:r>
      <w:r>
        <w:rPr>
          <w:rStyle w:val="FootnoteReference"/>
          <w:rFonts w:ascii="Verdana" w:hAnsi="Verdana"/>
          <w:sz w:val="22"/>
          <w:szCs w:val="22"/>
        </w:rPr>
        <w:footnoteReference w:id="13"/>
      </w:r>
    </w:p>
    <w:p w:rsidR="005A068C" w:rsidRPr="00386E26" w:rsidP="005A068C">
      <w:pPr>
        <w:rPr>
          <w:rFonts w:ascii="Verdana" w:hAnsi="Verdana"/>
          <w:sz w:val="22"/>
          <w:szCs w:val="22"/>
        </w:rPr>
      </w:pPr>
      <w:r w:rsidRPr="00386E26">
        <w:rPr>
          <w:rFonts w:ascii="Verdana" w:hAnsi="Verdana"/>
          <w:sz w:val="22"/>
          <w:szCs w:val="22"/>
        </w:rPr>
        <w:t>The argument for special protections after Brexit therefore arose from a lack of confidence that rights protected through EU membership would be replaced on a like-for-like basis. Had a robust Northern Ireland Bill of Rights been in place, or had there been confidence that existing EU-derived protections would be maintained and strengthened, concerns about the impact of Brexit may have been significantly reduced.</w:t>
      </w:r>
    </w:p>
    <w:p w:rsidR="00C40084" w:rsidRPr="00386E26" w:rsidP="005A068C">
      <w:pPr>
        <w:rPr>
          <w:rFonts w:ascii="Verdana" w:hAnsi="Verdana"/>
          <w:sz w:val="22"/>
          <w:szCs w:val="22"/>
        </w:rPr>
      </w:pPr>
      <w:r w:rsidRPr="00386E26">
        <w:rPr>
          <w:rFonts w:ascii="Verdana" w:hAnsi="Verdana"/>
          <w:sz w:val="22"/>
          <w:szCs w:val="22"/>
        </w:rPr>
        <w:t>Brexit therefore did not occur against a backdrop of fully realised rights protections. It occurred while key elements of the Agreement's rights framework remained unfinished. Many people feared that rights protections were not simply being altered, but that one of the few functioning pillars of the existing system was being removed before the wider structure promised by the Agreement had ever been built.</w:t>
      </w:r>
      <w:r w:rsidRPr="00386E26" w:rsidR="00C66C56">
        <w:rPr>
          <w:rFonts w:ascii="Verdana" w:hAnsi="Verdana"/>
          <w:sz w:val="22"/>
          <w:szCs w:val="22"/>
        </w:rPr>
        <w:t xml:space="preserve"> </w:t>
      </w:r>
    </w:p>
    <w:p w:rsidR="00CE740D" w:rsidRPr="00386E26" w:rsidP="00243404">
      <w:pPr>
        <w:rPr>
          <w:rFonts w:ascii="Verdana" w:hAnsi="Verdana"/>
          <w:b/>
          <w:bCs/>
          <w:sz w:val="22"/>
          <w:szCs w:val="22"/>
        </w:rPr>
      </w:pPr>
      <w:r w:rsidRPr="00386E26">
        <w:rPr>
          <w:rFonts w:ascii="Verdana" w:hAnsi="Verdana"/>
          <w:b/>
          <w:bCs/>
          <w:sz w:val="22"/>
          <w:szCs w:val="22"/>
        </w:rPr>
        <w:t>What is your view as to the inclusion of Article 2 WF in the Protocol/ Windsor Framework?</w:t>
      </w:r>
    </w:p>
    <w:p w:rsidR="00C1530D" w:rsidRPr="00386E26" w:rsidP="00C1530D">
      <w:pPr>
        <w:rPr>
          <w:rFonts w:ascii="Verdana" w:hAnsi="Verdana"/>
          <w:sz w:val="22"/>
          <w:szCs w:val="22"/>
        </w:rPr>
      </w:pPr>
      <w:r w:rsidRPr="00386E26">
        <w:rPr>
          <w:rFonts w:ascii="Verdana" w:hAnsi="Verdana"/>
          <w:sz w:val="22"/>
          <w:szCs w:val="22"/>
        </w:rPr>
        <w:t>Northern Ireland's unique circumstances required a distinct solution. Throughout the Brexit process, we campaigned for the rights, equality protections and safeguards that people in Northern Ireland enjoyed through EU membership to continue after the UK's withdrawal from the European Union. Given the longstanding failure to fully implement many of the rights commitments contained in the Belfast/Good Friday Agreement, many people viewed EU law as one of the few consistent sources of progress on rights and equality in Northern Ireland.</w:t>
      </w:r>
    </w:p>
    <w:p w:rsidR="00C1530D" w:rsidRPr="00386E26" w:rsidP="00C1530D">
      <w:pPr>
        <w:rPr>
          <w:rFonts w:ascii="Verdana" w:hAnsi="Verdana"/>
          <w:sz w:val="22"/>
          <w:szCs w:val="22"/>
        </w:rPr>
      </w:pPr>
      <w:r w:rsidRPr="00386E26">
        <w:rPr>
          <w:rFonts w:ascii="Verdana" w:hAnsi="Verdana"/>
          <w:sz w:val="22"/>
          <w:szCs w:val="22"/>
        </w:rPr>
        <w:t xml:space="preserve">Brexit therefore raised </w:t>
      </w:r>
      <w:r w:rsidRPr="00386E26">
        <w:rPr>
          <w:rFonts w:ascii="Verdana" w:hAnsi="Verdana"/>
          <w:sz w:val="22"/>
          <w:szCs w:val="22"/>
        </w:rPr>
        <w:t>particular concerns</w:t>
      </w:r>
      <w:r w:rsidRPr="00386E26">
        <w:rPr>
          <w:rFonts w:ascii="Verdana" w:hAnsi="Verdana"/>
          <w:sz w:val="22"/>
          <w:szCs w:val="22"/>
        </w:rPr>
        <w:t xml:space="preserve"> in Northern Ireland. Much of the debate around leaving the European Union was framed by its proponents as an opportunity to reduce the influence of European laws, rules and standards.</w:t>
      </w:r>
      <w:r>
        <w:rPr>
          <w:rStyle w:val="FootnoteReference"/>
          <w:rFonts w:ascii="Verdana" w:hAnsi="Verdana"/>
          <w:sz w:val="22"/>
          <w:szCs w:val="22"/>
        </w:rPr>
        <w:footnoteReference w:id="14"/>
      </w:r>
      <w:r w:rsidRPr="00386E26">
        <w:rPr>
          <w:rFonts w:ascii="Verdana" w:hAnsi="Verdana"/>
          <w:sz w:val="22"/>
          <w:szCs w:val="22"/>
        </w:rPr>
        <w:t xml:space="preserve"> Against that backdrop, many people feared that rights and equality protections derived from EU law could be weakened or lost without equivalent safeguards being put in place.</w:t>
      </w:r>
    </w:p>
    <w:p w:rsidR="00C1530D" w:rsidRPr="00386E26" w:rsidP="00C1530D">
      <w:pPr>
        <w:rPr>
          <w:rFonts w:ascii="Verdana" w:hAnsi="Verdana"/>
          <w:sz w:val="22"/>
          <w:szCs w:val="22"/>
        </w:rPr>
      </w:pPr>
      <w:r w:rsidRPr="00386E26">
        <w:rPr>
          <w:rFonts w:ascii="Verdana" w:hAnsi="Verdana"/>
          <w:sz w:val="22"/>
          <w:szCs w:val="22"/>
        </w:rPr>
        <w:t xml:space="preserve">Northern Ireland was uniquely affected by Brexit because it is the only part of the UK that shares a land border with an EU Member State. Common EU membership and the open border it facilitated played an important role in supporting the relationships, cooperation and interconnected lives that developed across the island of Ireland following the Belfast/Good Friday Agreement. Trade, employment, education, public services, community development and family life increasingly operated on a cross-border basis. For </w:t>
      </w:r>
      <w:r w:rsidRPr="00386E26">
        <w:rPr>
          <w:rFonts w:ascii="Verdana" w:hAnsi="Verdana"/>
          <w:sz w:val="22"/>
          <w:szCs w:val="22"/>
        </w:rPr>
        <w:t>many people, daily life did not stop at the border, and the shared legal and regulatory framework provided by EU membership helped facilitate that reality.</w:t>
      </w:r>
      <w:r w:rsidRPr="00386E26" w:rsidR="00793A17">
        <w:rPr>
          <w:rFonts w:ascii="Verdana" w:hAnsi="Verdana"/>
          <w:sz w:val="22"/>
          <w:szCs w:val="22"/>
        </w:rPr>
        <w:t xml:space="preserve"> Article 2 was therefore not an incidental provision. It was a deliberate part of the Brexit settlement, negotiated to ensure that withdrawal from the European Union would not undermine the rights and equality commitments that underpin the Belfast/Good Friday Agreement. </w:t>
      </w:r>
    </w:p>
    <w:p w:rsidR="00C1530D" w:rsidRPr="00386E26" w:rsidP="00C1530D">
      <w:pPr>
        <w:rPr>
          <w:rFonts w:ascii="Verdana" w:hAnsi="Verdana"/>
          <w:sz w:val="22"/>
          <w:szCs w:val="22"/>
        </w:rPr>
      </w:pPr>
      <w:r w:rsidRPr="00386E26">
        <w:rPr>
          <w:rFonts w:ascii="Verdana" w:hAnsi="Verdana"/>
          <w:sz w:val="22"/>
          <w:szCs w:val="22"/>
        </w:rPr>
        <w:t xml:space="preserve">While much of the public discussion around the Protocol and Windsor Framework has focused on trade and market access, Article 2 recognised that Brexit was also capable of creating risks for rights and equality protections. It therefore established an important legal safeguard to ensure that the rights, safeguards and equality of opportunity protections linked to Northern Ireland's previous membership of the European Union would not be diminished </w:t>
      </w:r>
      <w:r w:rsidRPr="00386E26">
        <w:rPr>
          <w:rFonts w:ascii="Verdana" w:hAnsi="Verdana"/>
          <w:sz w:val="22"/>
          <w:szCs w:val="22"/>
        </w:rPr>
        <w:t>as a result of</w:t>
      </w:r>
      <w:r w:rsidRPr="00386E26">
        <w:rPr>
          <w:rFonts w:ascii="Verdana" w:hAnsi="Verdana"/>
          <w:sz w:val="22"/>
          <w:szCs w:val="22"/>
        </w:rPr>
        <w:t xml:space="preserve"> Brexit. In doing so, it recognised that rights protection is not peripheral to the Belfast/Good Friday Agreement but one of its central pillars.</w:t>
      </w:r>
    </w:p>
    <w:p w:rsidR="00C1530D" w:rsidRPr="00386E26" w:rsidP="00C1530D">
      <w:pPr>
        <w:rPr>
          <w:rFonts w:ascii="Verdana" w:hAnsi="Verdana"/>
          <w:sz w:val="22"/>
          <w:szCs w:val="22"/>
        </w:rPr>
      </w:pPr>
      <w:r w:rsidRPr="00386E26">
        <w:rPr>
          <w:rFonts w:ascii="Verdana" w:hAnsi="Verdana"/>
          <w:sz w:val="22"/>
          <w:szCs w:val="22"/>
        </w:rPr>
        <w:t xml:space="preserve">This was a vital safeguard. Article 2 provides an important legal guarantee that rights and equality protections cannot simply be eroded </w:t>
      </w:r>
      <w:r w:rsidRPr="00386E26">
        <w:rPr>
          <w:rFonts w:ascii="Verdana" w:hAnsi="Verdana"/>
          <w:sz w:val="22"/>
          <w:szCs w:val="22"/>
        </w:rPr>
        <w:t>as a consequence of</w:t>
      </w:r>
      <w:r w:rsidRPr="00386E26">
        <w:rPr>
          <w:rFonts w:ascii="Verdana" w:hAnsi="Verdana"/>
          <w:sz w:val="22"/>
          <w:szCs w:val="22"/>
        </w:rPr>
        <w:t xml:space="preserve"> Brexit. It also recognises that rights protection is a fundamental part of the constitutional settlement established by the Belfast/Good Friday Agreement and that maintaining confidence in those protections is essential to political stability and good community relations.</w:t>
      </w:r>
    </w:p>
    <w:p w:rsidR="009214E1" w:rsidRPr="00386E26" w:rsidP="00C1530D">
      <w:pPr>
        <w:rPr>
          <w:rFonts w:ascii="Verdana" w:hAnsi="Verdana"/>
          <w:sz w:val="22"/>
          <w:szCs w:val="22"/>
        </w:rPr>
      </w:pPr>
      <w:r w:rsidRPr="00386E26">
        <w:rPr>
          <w:rFonts w:ascii="Verdana" w:hAnsi="Verdana"/>
          <w:sz w:val="22"/>
          <w:szCs w:val="22"/>
        </w:rPr>
        <w:t>Article 2 is not an exceptional or unnecessary provision. It is a pragmatic and proportionate response to Northern Ireland's unique circumstances and to the risks that Brexit posed to rights and equality protections. It ensures that one of the fundamental pillars of the Belfast/Good Friday Agreement cannot be weakened as an unintended consequence of the UK's withdrawal from the European Union.</w:t>
      </w:r>
      <w:r w:rsidRPr="00386E26" w:rsidR="005027BF">
        <w:rPr>
          <w:rFonts w:ascii="Verdana" w:hAnsi="Verdana"/>
          <w:sz w:val="22"/>
          <w:szCs w:val="22"/>
        </w:rPr>
        <w:t xml:space="preserve"> In that sense, Article 2 is not simply a Brexit safeguard. It is a recognition that rights, equality and human rights protections remain central to the peace settlement and to the future stability and prosperity of Northern Ireland</w:t>
      </w:r>
      <w:r w:rsidRPr="00386E26" w:rsidR="00AF3B9D">
        <w:rPr>
          <w:rFonts w:ascii="Verdana" w:hAnsi="Verdana"/>
          <w:sz w:val="22"/>
          <w:szCs w:val="22"/>
        </w:rPr>
        <w:t xml:space="preserve">. </w:t>
      </w:r>
    </w:p>
    <w:p w:rsidR="001D4666" w:rsidRPr="00386E26" w:rsidP="00C1530D">
      <w:pPr>
        <w:rPr>
          <w:rFonts w:ascii="Verdana" w:hAnsi="Verdana"/>
          <w:sz w:val="22"/>
          <w:szCs w:val="22"/>
        </w:rPr>
      </w:pPr>
    </w:p>
    <w:p w:rsidR="001D4666" w:rsidRPr="00386E26" w:rsidP="00C1530D">
      <w:pPr>
        <w:rPr>
          <w:rFonts w:ascii="Verdana" w:hAnsi="Verdana"/>
          <w:b/>
          <w:bCs/>
          <w:sz w:val="22"/>
          <w:szCs w:val="22"/>
        </w:rPr>
      </w:pPr>
      <w:r w:rsidRPr="00386E26">
        <w:rPr>
          <w:rFonts w:ascii="Verdana" w:hAnsi="Verdana"/>
          <w:b/>
          <w:bCs/>
          <w:sz w:val="22"/>
          <w:szCs w:val="22"/>
        </w:rPr>
        <w:t>T</w:t>
      </w:r>
      <w:r w:rsidRPr="00386E26">
        <w:rPr>
          <w:rFonts w:ascii="Verdana" w:hAnsi="Verdana"/>
          <w:b/>
          <w:bCs/>
          <w:sz w:val="22"/>
          <w:szCs w:val="22"/>
        </w:rPr>
        <w:t xml:space="preserve">he Supreme Court Dillon judgment and what it means for Article 2 </w:t>
      </w:r>
    </w:p>
    <w:p w:rsidR="005B7F3B" w:rsidRPr="00386E26" w:rsidP="005B7F3B">
      <w:pPr>
        <w:rPr>
          <w:rFonts w:ascii="Verdana" w:hAnsi="Verdana"/>
          <w:sz w:val="22"/>
          <w:szCs w:val="22"/>
        </w:rPr>
      </w:pPr>
      <w:r w:rsidRPr="00386E26">
        <w:rPr>
          <w:rFonts w:ascii="Verdana" w:hAnsi="Verdana"/>
          <w:sz w:val="22"/>
          <w:szCs w:val="22"/>
        </w:rPr>
        <w:t>We believe the UK Government's decision to pursue the Dillon case to the Supreme Court was unnecessary and deeply disappointing. Prior to Dillon, the scope and operation of Article 2 had been developing through a series of important decisions in the Northern Ireland courts, including SPUC, Angesom, and the litigation concerning the Illegal Migration Act and the Legacy Act</w:t>
      </w:r>
      <w:r>
        <w:rPr>
          <w:rStyle w:val="FootnoteReference"/>
          <w:rFonts w:ascii="Verdana" w:hAnsi="Verdana"/>
          <w:sz w:val="22"/>
          <w:szCs w:val="22"/>
        </w:rPr>
        <w:footnoteReference w:id="15"/>
      </w:r>
      <w:r w:rsidRPr="00386E26">
        <w:rPr>
          <w:rFonts w:ascii="Verdana" w:hAnsi="Verdana"/>
          <w:sz w:val="22"/>
          <w:szCs w:val="22"/>
        </w:rPr>
        <w:t>. While legal questions would inevitably continue to arise, there was already a coherent and workable framework emerging for how Article 2 should operate in practice.</w:t>
      </w:r>
    </w:p>
    <w:p w:rsidR="005B7F3B" w:rsidRPr="00386E26" w:rsidP="005B7F3B">
      <w:pPr>
        <w:rPr>
          <w:rFonts w:ascii="Verdana" w:hAnsi="Verdana"/>
          <w:sz w:val="22"/>
          <w:szCs w:val="22"/>
        </w:rPr>
      </w:pPr>
      <w:r w:rsidRPr="00386E26">
        <w:rPr>
          <w:rFonts w:ascii="Verdana" w:hAnsi="Verdana"/>
          <w:sz w:val="22"/>
          <w:szCs w:val="22"/>
        </w:rPr>
        <w:t>What made the Government's decision particularly concerning was the contrast between the position it had consistently presented publicly and the arguments it advanced before the courts. When Article 2 was introduced, the UK Government repeatedly described it as an important and meaningful legal safeguard. Official guidance emphasised that Article 2 was directly enforceable in domestic courts, that individuals would be able to seek remedies where rights were diminished, and that its scope extended across a range of equality and rights protections linked to EU law.</w:t>
      </w:r>
      <w:r>
        <w:rPr>
          <w:rStyle w:val="FootnoteReference"/>
          <w:rFonts w:ascii="Verdana" w:hAnsi="Verdana"/>
          <w:sz w:val="22"/>
          <w:szCs w:val="22"/>
        </w:rPr>
        <w:footnoteReference w:id="16"/>
      </w:r>
    </w:p>
    <w:p w:rsidR="005B7F3B" w:rsidRPr="00386E26" w:rsidP="005B7F3B">
      <w:pPr>
        <w:rPr>
          <w:rFonts w:ascii="Verdana" w:hAnsi="Verdana"/>
          <w:sz w:val="22"/>
          <w:szCs w:val="22"/>
        </w:rPr>
      </w:pPr>
      <w:r w:rsidRPr="00386E26">
        <w:rPr>
          <w:rFonts w:ascii="Verdana" w:hAnsi="Verdana"/>
          <w:sz w:val="22"/>
          <w:szCs w:val="22"/>
        </w:rPr>
        <w:t xml:space="preserve">Yet throughout the litigation the Government advanced arguments that sought to narrow the circumstances in which Article 2 could be relied upon and reduce its practical effect. In our view, that approach reflected a broader discomfort within Government about the implications of Article 2. The non-diminution commitment imposes obligations that must be </w:t>
      </w:r>
      <w:r w:rsidRPr="00386E26">
        <w:rPr>
          <w:rFonts w:ascii="Verdana" w:hAnsi="Verdana"/>
          <w:sz w:val="22"/>
          <w:szCs w:val="22"/>
        </w:rPr>
        <w:t>taken into account</w:t>
      </w:r>
      <w:r w:rsidRPr="00386E26">
        <w:rPr>
          <w:rFonts w:ascii="Verdana" w:hAnsi="Verdana"/>
          <w:sz w:val="22"/>
          <w:szCs w:val="22"/>
        </w:rPr>
        <w:t xml:space="preserve"> when developing legislation and policy affecting Northern Ireland. Rather than accepting those obligations as part of the Brexit settlement that it had negotiated, the Government increasingly sought a more restrictive interpretation once Article 2 began to constrain rights-regressive measures. The effect was to create uncertainty around protections that it had previously described as robust and accessible.</w:t>
      </w:r>
    </w:p>
    <w:p w:rsidR="005B7F3B" w:rsidRPr="00386E26" w:rsidP="005B7F3B">
      <w:pPr>
        <w:rPr>
          <w:rFonts w:ascii="Verdana" w:hAnsi="Verdana"/>
          <w:b/>
          <w:bCs/>
          <w:sz w:val="22"/>
          <w:szCs w:val="22"/>
        </w:rPr>
      </w:pPr>
      <w:r w:rsidRPr="00386E26">
        <w:rPr>
          <w:rFonts w:ascii="Verdana" w:hAnsi="Verdana"/>
          <w:b/>
          <w:bCs/>
          <w:sz w:val="22"/>
          <w:szCs w:val="22"/>
        </w:rPr>
        <w:t>Direct Effect</w:t>
      </w:r>
    </w:p>
    <w:p w:rsidR="005B7F3B" w:rsidRPr="00386E26" w:rsidP="005B7F3B">
      <w:pPr>
        <w:rPr>
          <w:rFonts w:ascii="Verdana" w:hAnsi="Verdana"/>
          <w:sz w:val="22"/>
          <w:szCs w:val="22"/>
        </w:rPr>
      </w:pPr>
      <w:r w:rsidRPr="00386E26">
        <w:rPr>
          <w:rFonts w:ascii="Verdana" w:hAnsi="Verdana"/>
          <w:sz w:val="22"/>
          <w:szCs w:val="22"/>
        </w:rPr>
        <w:t xml:space="preserve">A key issue in the case concerned what is meant by "direct effect". In simple terms, direct effect determines whether an individual can go to court and rely directly on a legal provision to challenge legislation or government action. Article 4(1) of the Withdrawal Agreement is given effect in domestic law within the United Kingdom through section 7A of the European Union (Withdrawal) Act 2018. The question therefore arose as to whether individuals could rely directly on Article 2 in domestic courts </w:t>
      </w:r>
      <w:r w:rsidRPr="00386E26">
        <w:rPr>
          <w:rFonts w:ascii="Verdana" w:hAnsi="Verdana"/>
          <w:sz w:val="22"/>
          <w:szCs w:val="22"/>
        </w:rPr>
        <w:t>in order to</w:t>
      </w:r>
      <w:r w:rsidRPr="00386E26">
        <w:rPr>
          <w:rFonts w:ascii="Verdana" w:hAnsi="Verdana"/>
          <w:sz w:val="22"/>
          <w:szCs w:val="22"/>
        </w:rPr>
        <w:t xml:space="preserve"> challenge measures that diminished rights protected by the Windsor Framework.</w:t>
      </w:r>
    </w:p>
    <w:p w:rsidR="005B7F3B" w:rsidRPr="00386E26" w:rsidP="005B7F3B">
      <w:pPr>
        <w:rPr>
          <w:rFonts w:ascii="Verdana" w:hAnsi="Verdana"/>
          <w:sz w:val="22"/>
          <w:szCs w:val="22"/>
        </w:rPr>
      </w:pPr>
      <w:r w:rsidRPr="00386E26">
        <w:rPr>
          <w:rFonts w:ascii="Verdana" w:hAnsi="Verdana"/>
          <w:sz w:val="22"/>
          <w:szCs w:val="22"/>
        </w:rPr>
        <w:t>On that issue, there was already significant agreement. The Northern Ireland courts had accepted that Article 2 was capable of direct effect and could therefore be relied upon by individuals seeking to enforce the non-diminution commitment. The UK Government had also repeatedly described Article 2 in those terms, stating in its Explainer Document that the commitment was capable of direct enforcement in domestic courts and that individuals would be able to seek remedies where rights protections were diminished.</w:t>
      </w:r>
    </w:p>
    <w:p w:rsidR="005B7F3B" w:rsidRPr="00386E26" w:rsidP="005B7F3B">
      <w:pPr>
        <w:rPr>
          <w:rFonts w:ascii="Verdana" w:hAnsi="Verdana"/>
          <w:sz w:val="22"/>
          <w:szCs w:val="22"/>
        </w:rPr>
      </w:pPr>
      <w:r w:rsidRPr="00386E26">
        <w:rPr>
          <w:rFonts w:ascii="Verdana" w:hAnsi="Verdana"/>
          <w:sz w:val="22"/>
          <w:szCs w:val="22"/>
        </w:rPr>
        <w:t>Against that background, it is positive that the Supreme Court confirmed that Article 2 is capable of direct effect and can be enforced before domestic courts.</w:t>
      </w:r>
      <w:r>
        <w:rPr>
          <w:rStyle w:val="FootnoteReference"/>
          <w:rFonts w:ascii="Verdana" w:hAnsi="Verdana"/>
          <w:sz w:val="22"/>
          <w:szCs w:val="22"/>
        </w:rPr>
        <w:footnoteReference w:id="17"/>
      </w:r>
      <w:r w:rsidRPr="00386E26">
        <w:rPr>
          <w:rFonts w:ascii="Verdana" w:hAnsi="Verdana"/>
          <w:sz w:val="22"/>
          <w:szCs w:val="22"/>
        </w:rPr>
        <w:t xml:space="preserve"> </w:t>
      </w:r>
      <w:r w:rsidRPr="00386E26">
        <w:rPr>
          <w:rFonts w:ascii="Verdana" w:hAnsi="Verdana"/>
          <w:sz w:val="22"/>
          <w:szCs w:val="22"/>
        </w:rPr>
        <w:t>As the highest court in the United Kingdom, that confirmation provides an additional degree of legal certainty and prevents any future argument that Article 2 is merely aspirational or unenforceable. Had the Court accepted the Government's arguments on this point, Article 2 would effectively have been closed off as a practical safeguard altogether.</w:t>
      </w:r>
      <w:r>
        <w:rPr>
          <w:rStyle w:val="FootnoteReference"/>
          <w:rFonts w:ascii="Verdana" w:hAnsi="Verdana"/>
          <w:sz w:val="22"/>
          <w:szCs w:val="22"/>
        </w:rPr>
        <w:footnoteReference w:id="18"/>
      </w:r>
    </w:p>
    <w:p w:rsidR="005B7F3B" w:rsidRPr="00386E26" w:rsidP="005B7F3B">
      <w:pPr>
        <w:rPr>
          <w:rFonts w:ascii="Verdana" w:hAnsi="Verdana"/>
          <w:sz w:val="22"/>
          <w:szCs w:val="22"/>
        </w:rPr>
      </w:pPr>
      <w:r w:rsidRPr="00386E26">
        <w:rPr>
          <w:rFonts w:ascii="Verdana" w:hAnsi="Verdana"/>
          <w:sz w:val="22"/>
          <w:szCs w:val="22"/>
        </w:rPr>
        <w:t>Our principal concern, however, is not with the Court's confirmation that Article 2 can have direct effect. It lies in the new and more restrictive way in which the Court approached the direct effect question. The real issue in Dillon was therefore not whether Article 2 could have direct effect at all, but how that concept should operate in practice.</w:t>
      </w:r>
    </w:p>
    <w:p w:rsidR="005B7F3B" w:rsidRPr="00386E26" w:rsidP="005B7F3B">
      <w:pPr>
        <w:rPr>
          <w:rFonts w:ascii="Verdana" w:hAnsi="Verdana"/>
          <w:sz w:val="22"/>
          <w:szCs w:val="22"/>
        </w:rPr>
      </w:pPr>
      <w:r w:rsidRPr="00386E26">
        <w:rPr>
          <w:rFonts w:ascii="Verdana" w:hAnsi="Verdana"/>
          <w:sz w:val="22"/>
          <w:szCs w:val="22"/>
        </w:rPr>
        <w:t>Before the Supreme Court's decision, the approach emerging from the Northern Ireland courts focused on whether a right, safeguard or equality commitment contained within the Rights, Safeguards and Equality of Opportunity chapter of the Belfast/Good Friday Agreement was relevant to the issue before the court. It was also necessary to establish a connection to EU law and to demonstrate that the relevant right or protection formed part of Northern Ireland law. Once those requirements had been met, the court could then consider whether there had been a diminution of rights that would not have occurred had the UK remained a member of the European Union. This approach was referenced as the SPUC tests given their origin in the original SPUC case considering Article 2 questions.</w:t>
      </w:r>
      <w:r>
        <w:rPr>
          <w:rStyle w:val="FootnoteReference"/>
          <w:rFonts w:ascii="Verdana" w:hAnsi="Verdana"/>
          <w:sz w:val="22"/>
          <w:szCs w:val="22"/>
        </w:rPr>
        <w:footnoteReference w:id="19"/>
      </w:r>
      <w:r w:rsidRPr="00386E26">
        <w:rPr>
          <w:rFonts w:ascii="Verdana" w:hAnsi="Verdana"/>
          <w:sz w:val="22"/>
          <w:szCs w:val="22"/>
        </w:rPr>
        <w:t xml:space="preserve"> </w:t>
      </w:r>
    </w:p>
    <w:p w:rsidR="005B7F3B" w:rsidRPr="00386E26" w:rsidP="005B7F3B">
      <w:pPr>
        <w:rPr>
          <w:rFonts w:ascii="Verdana" w:hAnsi="Verdana"/>
          <w:sz w:val="22"/>
          <w:szCs w:val="22"/>
        </w:rPr>
      </w:pPr>
      <w:r w:rsidRPr="00386E26">
        <w:rPr>
          <w:rFonts w:ascii="Verdana" w:hAnsi="Verdana"/>
          <w:sz w:val="22"/>
          <w:szCs w:val="22"/>
        </w:rPr>
        <w:t xml:space="preserve">Under that approach, paragraph 1 of the Rights, Safeguards and Equality of Opportunity </w:t>
      </w:r>
      <w:r w:rsidRPr="00386E26" w:rsidR="000D7853">
        <w:rPr>
          <w:rFonts w:ascii="Verdana" w:hAnsi="Verdana"/>
          <w:sz w:val="22"/>
          <w:szCs w:val="22"/>
        </w:rPr>
        <w:t xml:space="preserve">(RSEO) </w:t>
      </w:r>
      <w:r w:rsidRPr="00386E26">
        <w:rPr>
          <w:rFonts w:ascii="Verdana" w:hAnsi="Verdana"/>
          <w:sz w:val="22"/>
          <w:szCs w:val="22"/>
        </w:rPr>
        <w:t xml:space="preserve">chapter played an important role. That paragraph contains the commitment to the civil rights and religious liberties of everyone in the community and helped identify the broad rights values and principles that Article 2 was intended to protect. </w:t>
      </w:r>
    </w:p>
    <w:p w:rsidR="005B7F3B" w:rsidRPr="00386E26" w:rsidP="007D4E27">
      <w:pPr>
        <w:ind w:left="720"/>
        <w:rPr>
          <w:rFonts w:ascii="Verdana" w:hAnsi="Verdana"/>
          <w:b/>
          <w:bCs/>
          <w:i/>
          <w:iCs/>
          <w:sz w:val="22"/>
          <w:szCs w:val="22"/>
        </w:rPr>
      </w:pPr>
      <w:r w:rsidRPr="00386E26">
        <w:rPr>
          <w:rFonts w:ascii="Verdana" w:hAnsi="Verdana"/>
          <w:b/>
          <w:bCs/>
          <w:i/>
          <w:iCs/>
          <w:sz w:val="22"/>
          <w:szCs w:val="22"/>
        </w:rPr>
        <w:t xml:space="preserve">The parties affirm their commitment to the mutual respect, the civil rights and the religious liberties of everyone in the community. Against the background of the recent history of communal conflict, the parties affirm in particular: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of free political thought;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freedom and expression of religion;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pursue democratically national and political aspirations;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seek constitutional change by peaceful and legitimate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means;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freely choose one’s place of residence;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equal opportunity in all social and economic activity,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regardless   of class, creed, disability, gender or ethnicity;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to freedom from sectarian harassment; and  </w:t>
      </w:r>
    </w:p>
    <w:p w:rsidR="005B7F3B" w:rsidRPr="00386E26" w:rsidP="00E07BEB">
      <w:pPr>
        <w:spacing w:after="0"/>
        <w:ind w:left="720"/>
        <w:rPr>
          <w:rFonts w:ascii="Verdana" w:hAnsi="Verdana"/>
          <w:b/>
          <w:bCs/>
          <w:i/>
          <w:iCs/>
          <w:sz w:val="22"/>
          <w:szCs w:val="22"/>
        </w:rPr>
      </w:pPr>
      <w:r w:rsidRPr="00386E26">
        <w:rPr>
          <w:rFonts w:ascii="Verdana" w:hAnsi="Verdana"/>
          <w:b/>
          <w:bCs/>
          <w:i/>
          <w:iCs/>
          <w:sz w:val="22"/>
          <w:szCs w:val="22"/>
        </w:rPr>
        <w:t xml:space="preserve">  • the right of women to full and equal political participation.</w:t>
      </w:r>
      <w:r>
        <w:rPr>
          <w:rStyle w:val="FootnoteReference"/>
          <w:rFonts w:ascii="Verdana" w:hAnsi="Verdana"/>
          <w:b/>
          <w:bCs/>
          <w:i/>
          <w:iCs/>
          <w:sz w:val="22"/>
          <w:szCs w:val="22"/>
        </w:rPr>
        <w:footnoteReference w:id="20"/>
      </w:r>
      <w:r w:rsidRPr="00386E26">
        <w:rPr>
          <w:rFonts w:ascii="Verdana" w:hAnsi="Verdana"/>
          <w:b/>
          <w:bCs/>
          <w:i/>
          <w:iCs/>
          <w:sz w:val="22"/>
          <w:szCs w:val="22"/>
        </w:rPr>
        <w:t xml:space="preserve">  </w:t>
      </w:r>
    </w:p>
    <w:p w:rsidR="005B7F3B" w:rsidRPr="00386E26" w:rsidP="005B7F3B">
      <w:pPr>
        <w:rPr>
          <w:rFonts w:ascii="Verdana" w:hAnsi="Verdana"/>
          <w:sz w:val="22"/>
          <w:szCs w:val="22"/>
        </w:rPr>
      </w:pPr>
    </w:p>
    <w:p w:rsidR="005B7F3B" w:rsidRPr="00386E26" w:rsidP="005B7F3B">
      <w:pPr>
        <w:rPr>
          <w:rFonts w:ascii="Verdana" w:hAnsi="Verdana"/>
          <w:sz w:val="22"/>
          <w:szCs w:val="22"/>
        </w:rPr>
      </w:pPr>
      <w:r w:rsidRPr="00386E26">
        <w:rPr>
          <w:rFonts w:ascii="Verdana" w:hAnsi="Verdana"/>
          <w:sz w:val="22"/>
          <w:szCs w:val="22"/>
        </w:rPr>
        <w:t>It did not remove the need for a connection to Northern Ireland and EU law. That connection was always required. Rather, paragraph 1 helped define the scope and purpose of the rights protections that Article 2 was designed to preserve.</w:t>
      </w:r>
    </w:p>
    <w:p w:rsidR="005B7F3B" w:rsidRPr="00386E26" w:rsidP="005B7F3B">
      <w:pPr>
        <w:rPr>
          <w:rFonts w:ascii="Verdana" w:hAnsi="Verdana"/>
          <w:sz w:val="22"/>
          <w:szCs w:val="22"/>
        </w:rPr>
      </w:pPr>
      <w:r w:rsidRPr="00386E26">
        <w:rPr>
          <w:rFonts w:ascii="Verdana" w:hAnsi="Verdana"/>
          <w:sz w:val="22"/>
          <w:szCs w:val="22"/>
        </w:rPr>
        <w:t>The Supreme Court has now in its ruling on Dillon adopted a significantly different approach. Instead of treating paragraph 1 as a source of rights and principles that could inform the operation of Article 2, it applied an additional EU law test for direct effect, derived from the Demirel case to the relevant commitments within the Rights, Safeguards and Equality of Opportunity chapter itself. This Demirel test asks whether a legal obligation is sufficiently clear, precise and unconditional to be directly enforceable by an individual before a court.</w:t>
      </w:r>
      <w:r>
        <w:rPr>
          <w:rStyle w:val="FootnoteReference"/>
          <w:rFonts w:ascii="Verdana" w:hAnsi="Verdana"/>
          <w:sz w:val="22"/>
          <w:szCs w:val="22"/>
        </w:rPr>
        <w:footnoteReference w:id="21"/>
      </w:r>
    </w:p>
    <w:p w:rsidR="005B7F3B" w:rsidRPr="00386E26" w:rsidP="005B7F3B">
      <w:pPr>
        <w:rPr>
          <w:rFonts w:ascii="Verdana" w:hAnsi="Verdana"/>
          <w:sz w:val="22"/>
          <w:szCs w:val="22"/>
        </w:rPr>
      </w:pPr>
      <w:r w:rsidRPr="00386E26">
        <w:rPr>
          <w:rFonts w:ascii="Verdana" w:hAnsi="Verdana"/>
          <w:sz w:val="22"/>
          <w:szCs w:val="22"/>
        </w:rPr>
        <w:t>The significance of this change becomes clear when looking at paragraph 1 of the Rights, Safeguards and Equality of Opportunity chapter. The Supreme Court concluded that the commitment to the civil rights and religious liberties of everyone in the community was expressed at too high a level of generality to satisfy the Demirel test. In other words, the Court regarded one of the central rights commitments within the Belfast/Good Friday Agreement as insufficiently precise and specific to ground an Article 2 claim. This marks a significant departure from the approach taken by the Belfast courts, where paragraph 1 had been treated as an important source of rights and principles for understanding the scope and purpose of the Article 2 protection.</w:t>
      </w:r>
    </w:p>
    <w:p w:rsidR="005B7F3B" w:rsidRPr="00386E26" w:rsidP="005B7F3B">
      <w:pPr>
        <w:rPr>
          <w:rFonts w:ascii="Verdana" w:hAnsi="Verdana"/>
          <w:sz w:val="22"/>
          <w:szCs w:val="22"/>
        </w:rPr>
      </w:pPr>
      <w:r w:rsidRPr="00386E26">
        <w:rPr>
          <w:rFonts w:ascii="Verdana" w:hAnsi="Verdana"/>
          <w:sz w:val="22"/>
          <w:szCs w:val="22"/>
        </w:rPr>
        <w:t xml:space="preserve">The practical significance of this can be seen in the way Article 2 had already been applied by the Northern Ireland courts. In the Legacy Act litigation, for example, the High Court considered whether a range of fundamental rights, including the right to life, freedom from torture and inhuman treatment, access to justice, dignity and protection from discrimination, fell within the commitment to the civil rights of everyone in the community contained in paragraph 1. The court concluded that they did and that paragraph 1 of RSEO could provide a route through which Article 2 protections were engaged, including in circumstances where a connection was established to rights protected through </w:t>
      </w:r>
      <w:r w:rsidRPr="00386E26">
        <w:rPr>
          <w:rFonts w:ascii="Verdana" w:hAnsi="Verdana"/>
          <w:sz w:val="22"/>
          <w:szCs w:val="22"/>
        </w:rPr>
        <w:t>the Victims' Directive.</w:t>
      </w:r>
      <w:r>
        <w:rPr>
          <w:rStyle w:val="FootnoteReference"/>
          <w:rFonts w:ascii="Verdana" w:hAnsi="Verdana"/>
          <w:sz w:val="22"/>
          <w:szCs w:val="22"/>
        </w:rPr>
        <w:footnoteReference w:id="22"/>
      </w:r>
      <w:r w:rsidRPr="00386E26">
        <w:rPr>
          <w:rFonts w:ascii="Verdana" w:hAnsi="Verdana"/>
          <w:sz w:val="22"/>
          <w:szCs w:val="22"/>
        </w:rPr>
        <w:t xml:space="preserve"> The practical effect of the Supreme Court's judgment in Dillon is that this approach is now significantly restricted because the commitment to the civil rights and religious liberties of everyone in the community has itself been deemed too general to satisfy the Demirel test.</w:t>
      </w:r>
    </w:p>
    <w:p w:rsidR="005B7F3B" w:rsidRPr="00386E26" w:rsidP="005B7F3B">
      <w:pPr>
        <w:rPr>
          <w:rFonts w:ascii="Verdana" w:hAnsi="Verdana"/>
          <w:sz w:val="22"/>
          <w:szCs w:val="22"/>
        </w:rPr>
      </w:pPr>
      <w:r w:rsidRPr="00386E26">
        <w:rPr>
          <w:rFonts w:ascii="Verdana" w:hAnsi="Verdana"/>
          <w:sz w:val="22"/>
          <w:szCs w:val="22"/>
        </w:rPr>
        <w:t>The consequence is that a claimant must now establish not only that there is a relevant connection to EU law and that the protection existed within Northern Ireland law, but also that the particular Belfast/Good Friday Agreement commitment being relied upon is sufficiently clear, precise and unconditional to satisfy this additional EU law threshold. The court indicates that the bullet p</w:t>
      </w:r>
      <w:r w:rsidRPr="00386E26" w:rsidR="00822414">
        <w:rPr>
          <w:rFonts w:ascii="Verdana" w:hAnsi="Verdana"/>
          <w:sz w:val="22"/>
          <w:szCs w:val="22"/>
        </w:rPr>
        <w:t>o</w:t>
      </w:r>
      <w:r w:rsidRPr="00386E26">
        <w:rPr>
          <w:rFonts w:ascii="Verdana" w:hAnsi="Verdana"/>
          <w:sz w:val="22"/>
          <w:szCs w:val="22"/>
        </w:rPr>
        <w:t xml:space="preserve">ints under paragraph </w:t>
      </w:r>
      <w:r w:rsidRPr="00386E26" w:rsidR="004E7664">
        <w:rPr>
          <w:rFonts w:ascii="Verdana" w:hAnsi="Verdana"/>
          <w:sz w:val="22"/>
          <w:szCs w:val="22"/>
        </w:rPr>
        <w:t>1</w:t>
      </w:r>
      <w:r w:rsidRPr="00386E26">
        <w:rPr>
          <w:rFonts w:ascii="Verdana" w:hAnsi="Verdana"/>
          <w:sz w:val="22"/>
          <w:szCs w:val="22"/>
        </w:rPr>
        <w:t xml:space="preserve"> may be capable of direct effect under the Demirel test, but not </w:t>
      </w:r>
      <w:r w:rsidRPr="00386E26" w:rsidR="005C6715">
        <w:rPr>
          <w:rFonts w:ascii="Verdana" w:hAnsi="Verdana"/>
          <w:sz w:val="22"/>
          <w:szCs w:val="22"/>
        </w:rPr>
        <w:t xml:space="preserve">the </w:t>
      </w:r>
      <w:r w:rsidRPr="00386E26" w:rsidR="003E1048">
        <w:rPr>
          <w:rFonts w:ascii="Verdana" w:hAnsi="Verdana"/>
          <w:sz w:val="22"/>
          <w:szCs w:val="22"/>
        </w:rPr>
        <w:t>section</w:t>
      </w:r>
      <w:r w:rsidRPr="00386E26" w:rsidR="005C6715">
        <w:rPr>
          <w:rFonts w:ascii="Verdana" w:hAnsi="Verdana"/>
          <w:sz w:val="22"/>
          <w:szCs w:val="22"/>
        </w:rPr>
        <w:t xml:space="preserve"> referring to </w:t>
      </w:r>
      <w:r w:rsidRPr="00386E26">
        <w:rPr>
          <w:rFonts w:ascii="Verdana" w:hAnsi="Verdana"/>
          <w:sz w:val="22"/>
          <w:szCs w:val="22"/>
        </w:rPr>
        <w:t xml:space="preserve">civil rights and religious liberties. </w:t>
      </w:r>
    </w:p>
    <w:p w:rsidR="005B7F3B" w:rsidRPr="00386E26" w:rsidP="005B7F3B">
      <w:pPr>
        <w:rPr>
          <w:rFonts w:ascii="Verdana" w:hAnsi="Verdana"/>
          <w:sz w:val="22"/>
          <w:szCs w:val="22"/>
        </w:rPr>
      </w:pPr>
      <w:r w:rsidRPr="00386E26">
        <w:rPr>
          <w:rFonts w:ascii="Verdana" w:hAnsi="Verdana"/>
          <w:sz w:val="22"/>
          <w:szCs w:val="22"/>
        </w:rPr>
        <w:t xml:space="preserve">We believe this approach is fundamentally problematic. The Belfast/Good Friday Agreement is an international peace agreement. It is not an EU legal </w:t>
      </w:r>
      <w:r w:rsidRPr="00386E26">
        <w:rPr>
          <w:rFonts w:ascii="Verdana" w:hAnsi="Verdana"/>
          <w:sz w:val="22"/>
          <w:szCs w:val="22"/>
        </w:rPr>
        <w:t>instrument</w:t>
      </w:r>
      <w:r w:rsidRPr="00386E26">
        <w:rPr>
          <w:rFonts w:ascii="Verdana" w:hAnsi="Verdana"/>
          <w:sz w:val="22"/>
          <w:szCs w:val="22"/>
        </w:rPr>
        <w:t xml:space="preserve"> and it was never drafted with the Demirel test in mind. Yet the Supreme Court has required important commitments within the Agreement to satisfy a legal test that was developed by the EU courts for a very different purpose: determining when provisions of international agreements create directly enforceable rights under EU law.</w:t>
      </w:r>
    </w:p>
    <w:p w:rsidR="005B7F3B" w:rsidRPr="00386E26" w:rsidP="005B7F3B">
      <w:pPr>
        <w:rPr>
          <w:rFonts w:ascii="Verdana" w:hAnsi="Verdana"/>
          <w:sz w:val="22"/>
          <w:szCs w:val="22"/>
        </w:rPr>
      </w:pPr>
      <w:r w:rsidRPr="00386E26">
        <w:rPr>
          <w:rFonts w:ascii="Verdana" w:hAnsi="Verdana"/>
          <w:sz w:val="22"/>
          <w:szCs w:val="22"/>
        </w:rPr>
        <w:t>The Belfast courts had previously approached these questions differently. They recognised the unique constitutional and political nature of the Agreement and interpreted it in accordance with international law principles, including those reflected in the Vienna Convention on the Law of Treaties. Rather than asking whether broad commitments in the Agreement were drafted with sufficient precision to satisfy the Demirel test, the focus was on understanding what those commitments meant and how Article 2 protected them in practice.</w:t>
      </w:r>
    </w:p>
    <w:p w:rsidR="005B7F3B" w:rsidRPr="00386E26" w:rsidP="005B7F3B">
      <w:pPr>
        <w:rPr>
          <w:rFonts w:ascii="Verdana" w:hAnsi="Verdana"/>
          <w:sz w:val="22"/>
          <w:szCs w:val="22"/>
        </w:rPr>
      </w:pPr>
      <w:r w:rsidRPr="00386E26">
        <w:rPr>
          <w:rFonts w:ascii="Verdana" w:hAnsi="Verdana"/>
          <w:sz w:val="22"/>
          <w:szCs w:val="22"/>
        </w:rPr>
        <w:t>In our view, the issue is not that the Supreme Court relied upon an EU law test. The issue is that it applied that test in the wrong place. The Belfast/Good Friday Agreement was never intended to be read as if it were an EU legal instrument. Broad commitments such as the protection of the civil rights and religious liberties of everyone in the community were intended to provide a framework for rights protection, not to operate as narrowly drafted legal rules.</w:t>
      </w:r>
    </w:p>
    <w:p w:rsidR="005B7F3B" w:rsidRPr="00386E26" w:rsidP="005B7F3B">
      <w:pPr>
        <w:rPr>
          <w:rFonts w:ascii="Verdana" w:hAnsi="Verdana"/>
          <w:sz w:val="22"/>
          <w:szCs w:val="22"/>
        </w:rPr>
      </w:pPr>
      <w:r w:rsidRPr="00386E26">
        <w:rPr>
          <w:rFonts w:ascii="Verdana" w:hAnsi="Verdana"/>
          <w:sz w:val="22"/>
          <w:szCs w:val="22"/>
        </w:rPr>
        <w:t>The practical consequence is clear. Under the approach developed by the Belfast courts, Article 2 was emerging as a meaningful and accessible safeguard capable of protecting a broad range of rights linked to the Agreement and EU law. Following Dillon, the protection remains in principle, but the gateway to accessing it has become significantly narrower in practice. That is our central concern with the judgment.</w:t>
      </w:r>
    </w:p>
    <w:p w:rsidR="005B7F3B" w:rsidRPr="00386E26" w:rsidP="005B7F3B">
      <w:pPr>
        <w:rPr>
          <w:rFonts w:ascii="Verdana" w:hAnsi="Verdana"/>
          <w:b/>
          <w:bCs/>
          <w:sz w:val="22"/>
          <w:szCs w:val="22"/>
        </w:rPr>
      </w:pPr>
      <w:r w:rsidRPr="00386E26">
        <w:rPr>
          <w:rFonts w:ascii="Verdana" w:hAnsi="Verdana"/>
          <w:b/>
          <w:bCs/>
          <w:sz w:val="22"/>
          <w:szCs w:val="22"/>
        </w:rPr>
        <w:t>Sectarian Conflict</w:t>
      </w:r>
    </w:p>
    <w:p w:rsidR="005B7F3B" w:rsidRPr="00386E26" w:rsidP="005B7F3B">
      <w:pPr>
        <w:rPr>
          <w:rFonts w:ascii="Verdana" w:hAnsi="Verdana"/>
          <w:sz w:val="22"/>
          <w:szCs w:val="22"/>
        </w:rPr>
      </w:pPr>
      <w:r w:rsidRPr="00386E26">
        <w:rPr>
          <w:rFonts w:ascii="Verdana" w:hAnsi="Verdana"/>
          <w:sz w:val="22"/>
          <w:szCs w:val="22"/>
        </w:rPr>
        <w:t>We are also concerned by aspects of the Court's description of the purpose of the Belfast/Good Friday Agreement. The judgment places considerable emphasis on the Agreement as a response to sectarian conflict.</w:t>
      </w:r>
      <w:r>
        <w:rPr>
          <w:rStyle w:val="FootnoteReference"/>
          <w:rFonts w:ascii="Verdana" w:hAnsi="Verdana"/>
          <w:sz w:val="22"/>
          <w:szCs w:val="22"/>
        </w:rPr>
        <w:footnoteReference w:id="23"/>
      </w:r>
      <w:r w:rsidRPr="00386E26">
        <w:rPr>
          <w:rFonts w:ascii="Verdana" w:hAnsi="Verdana"/>
          <w:sz w:val="22"/>
          <w:szCs w:val="22"/>
        </w:rPr>
        <w:t xml:space="preserve"> While sectarian division was undoubtedly a central issue, the Agreement was about much more than managing relations between unionists and nationalists. It addressed questions of governance, equality, rights, democratic participation, state accountability, policing, identity and the future constitutional and social development of Northern Ireland.</w:t>
      </w:r>
    </w:p>
    <w:p w:rsidR="005B7F3B" w:rsidRPr="00386E26" w:rsidP="005B7F3B">
      <w:pPr>
        <w:rPr>
          <w:rFonts w:ascii="Verdana" w:hAnsi="Verdana"/>
          <w:sz w:val="22"/>
          <w:szCs w:val="22"/>
        </w:rPr>
      </w:pPr>
      <w:r w:rsidRPr="00386E26">
        <w:rPr>
          <w:rFonts w:ascii="Verdana" w:hAnsi="Verdana"/>
          <w:sz w:val="22"/>
          <w:szCs w:val="22"/>
        </w:rPr>
        <w:t>The Rights, Safeguards and Equality of Opportunity chapter was designed not simply to address past conflict but to establish foundations for a more equal and rights-respecting future for everyone who lives here. Professor Colin Murray has highlighted a further difficulty with the Court's approach</w:t>
      </w:r>
      <w:r w:rsidRPr="00386E26" w:rsidR="000C49C2">
        <w:rPr>
          <w:rFonts w:ascii="Verdana" w:hAnsi="Verdana"/>
          <w:sz w:val="22"/>
          <w:szCs w:val="22"/>
        </w:rPr>
        <w:t xml:space="preserve"> on this point</w:t>
      </w:r>
      <w:r w:rsidRPr="00386E26">
        <w:rPr>
          <w:rFonts w:ascii="Verdana" w:hAnsi="Verdana"/>
          <w:sz w:val="22"/>
          <w:szCs w:val="22"/>
        </w:rPr>
        <w:t xml:space="preserve">. The Court effectively treats the specific rights listed in the bullet points that follow paragraph 1 as the only parts of that section capable of meaningful legal effect, despite the fact that those rights were expressly presented as examples of the broader commitment to the civil rights and religious liberties of everyone in the community. We share </w:t>
      </w:r>
      <w:r w:rsidRPr="00386E26" w:rsidR="00283E9C">
        <w:rPr>
          <w:rFonts w:ascii="Verdana" w:hAnsi="Verdana"/>
          <w:sz w:val="22"/>
          <w:szCs w:val="22"/>
        </w:rPr>
        <w:t xml:space="preserve">his </w:t>
      </w:r>
      <w:r w:rsidRPr="00386E26">
        <w:rPr>
          <w:rFonts w:ascii="Verdana" w:hAnsi="Verdana"/>
          <w:sz w:val="22"/>
          <w:szCs w:val="22"/>
        </w:rPr>
        <w:t>concern that this approach turns the structure of the Agreement on its head.</w:t>
      </w:r>
    </w:p>
    <w:p w:rsidR="00283E9C" w:rsidRPr="00386E26" w:rsidP="00FF5C21">
      <w:pPr>
        <w:ind w:left="720"/>
        <w:rPr>
          <w:rFonts w:ascii="Verdana" w:hAnsi="Verdana"/>
          <w:i/>
          <w:iCs/>
          <w:sz w:val="22"/>
          <w:szCs w:val="22"/>
        </w:rPr>
      </w:pPr>
      <w:r w:rsidRPr="00386E26">
        <w:rPr>
          <w:rFonts w:ascii="Verdana" w:hAnsi="Verdana"/>
          <w:b/>
          <w:bCs/>
          <w:i/>
          <w:iCs/>
          <w:sz w:val="22"/>
          <w:szCs w:val="22"/>
        </w:rPr>
        <w:t xml:space="preserve">This approach to paragraph 1 of the RSEO chapter, </w:t>
      </w:r>
      <w:r w:rsidRPr="00386E26">
        <w:rPr>
          <w:rFonts w:ascii="Verdana" w:hAnsi="Verdana"/>
          <w:b/>
          <w:bCs/>
          <w:i/>
          <w:iCs/>
          <w:sz w:val="22"/>
          <w:szCs w:val="22"/>
        </w:rPr>
        <w:t>according</w:t>
      </w:r>
      <w:r w:rsidRPr="00386E26">
        <w:rPr>
          <w:rFonts w:ascii="Verdana" w:hAnsi="Verdana"/>
          <w:b/>
          <w:bCs/>
          <w:i/>
          <w:iCs/>
          <w:sz w:val="22"/>
          <w:szCs w:val="22"/>
        </w:rPr>
        <w:t xml:space="preserve"> sufficient specificity only to the listed rights, neglects the fact that they were expressly presented as mere examples of civil and religious rights. The assertion that they were ‘all concerned with ending sectarian conflict’ is equally dubious. An assertion of the rights of ‘everyone in the community’ does not derive from a narrow sectarian basis and ‘the right of women to full and equal political participation’ marks this list of rights out as a basis for a tolerant and vibrant society after a conflict. This interpretive approach invents a restrictive account of the purposes of the 1998 Agreement and uses it to circumvent key elements of the text</w:t>
      </w:r>
      <w:r w:rsidRPr="00386E26">
        <w:rPr>
          <w:rFonts w:ascii="Verdana" w:hAnsi="Verdana"/>
          <w:i/>
          <w:iCs/>
          <w:sz w:val="22"/>
          <w:szCs w:val="22"/>
        </w:rPr>
        <w:t>.</w:t>
      </w:r>
      <w:r>
        <w:rPr>
          <w:rStyle w:val="FootnoteReference"/>
          <w:rFonts w:ascii="Verdana" w:hAnsi="Verdana"/>
          <w:i/>
          <w:iCs/>
          <w:sz w:val="22"/>
          <w:szCs w:val="22"/>
        </w:rPr>
        <w:footnoteReference w:id="24"/>
      </w:r>
    </w:p>
    <w:p w:rsidR="005B7F3B" w:rsidRPr="00386E26" w:rsidP="005B7F3B">
      <w:pPr>
        <w:rPr>
          <w:rFonts w:ascii="Verdana" w:hAnsi="Verdana"/>
          <w:sz w:val="22"/>
          <w:szCs w:val="22"/>
        </w:rPr>
      </w:pPr>
      <w:r w:rsidRPr="00386E26">
        <w:rPr>
          <w:rFonts w:ascii="Verdana" w:hAnsi="Verdana"/>
          <w:sz w:val="22"/>
          <w:szCs w:val="22"/>
        </w:rPr>
        <w:t>This broader purpose is evident from the opening Declaration of Support to the Belfast/Good Friday Agreement itself. The Agreement certainly acknowledges the suffering caused by conflict and the need to address its legacy. However, it does not stop there. Instead, it links dealing with the past to the creation of a new future grounded in reconciliation, trust, equality and human rights. The Declaration states:</w:t>
      </w:r>
    </w:p>
    <w:p w:rsidR="005B7F3B" w:rsidRPr="00386E26" w:rsidP="007A032E">
      <w:pPr>
        <w:ind w:left="720"/>
        <w:rPr>
          <w:rFonts w:ascii="Verdana" w:hAnsi="Verdana"/>
          <w:b/>
          <w:bCs/>
          <w:i/>
          <w:iCs/>
          <w:sz w:val="22"/>
          <w:szCs w:val="22"/>
        </w:rPr>
      </w:pPr>
      <w:r w:rsidRPr="00386E26">
        <w:rPr>
          <w:rFonts w:ascii="Verdana" w:hAnsi="Verdana"/>
          <w:b/>
          <w:bCs/>
          <w:i/>
          <w:iCs/>
          <w:sz w:val="22"/>
          <w:szCs w:val="22"/>
        </w:rPr>
        <w:t xml:space="preserve">“The tragedies of the past have left a deep and profoundly regrettable legacy of suffering. We must never forget those who </w:t>
      </w:r>
      <w:r w:rsidRPr="00386E26">
        <w:rPr>
          <w:rFonts w:ascii="Verdana" w:hAnsi="Verdana"/>
          <w:b/>
          <w:bCs/>
          <w:i/>
          <w:iCs/>
          <w:sz w:val="22"/>
          <w:szCs w:val="22"/>
        </w:rPr>
        <w:t>have died or been injured, and their families. But we can best honour them through a fresh start, in which we firmly dedicate ourselves to the achievement of reconciliation, tolerance, and mutual trust, and to the protection and vindication of the human rights of all.”</w:t>
      </w:r>
      <w:r>
        <w:rPr>
          <w:rStyle w:val="FootnoteReference"/>
          <w:rFonts w:ascii="Verdana" w:hAnsi="Verdana"/>
          <w:b/>
          <w:bCs/>
          <w:i/>
          <w:iCs/>
          <w:sz w:val="22"/>
          <w:szCs w:val="22"/>
        </w:rPr>
        <w:footnoteReference w:id="25"/>
      </w:r>
    </w:p>
    <w:p w:rsidR="005B7F3B" w:rsidRPr="00386E26" w:rsidP="005B7F3B">
      <w:pPr>
        <w:rPr>
          <w:rFonts w:ascii="Verdana" w:hAnsi="Verdana"/>
          <w:sz w:val="22"/>
          <w:szCs w:val="22"/>
        </w:rPr>
      </w:pPr>
      <w:r w:rsidRPr="00386E26">
        <w:rPr>
          <w:rFonts w:ascii="Verdana" w:hAnsi="Verdana"/>
          <w:sz w:val="22"/>
          <w:szCs w:val="22"/>
        </w:rPr>
        <w:t>In our view, that passage captures one of the central purposes of the Agreement. It is not simply a conflict-management document. Nor is it solely concerned with regulating relationships between unionists and nationalists. It explicitly seeks to address the legacy of the past by creating a new beginning based on reconciliation, equality, democracy and the protection of human rights.</w:t>
      </w:r>
    </w:p>
    <w:p w:rsidR="005B7F3B" w:rsidRPr="00386E26" w:rsidP="005B7F3B">
      <w:pPr>
        <w:rPr>
          <w:rFonts w:ascii="Verdana" w:hAnsi="Verdana"/>
          <w:sz w:val="22"/>
          <w:szCs w:val="22"/>
        </w:rPr>
      </w:pPr>
      <w:r w:rsidRPr="00386E26">
        <w:rPr>
          <w:rFonts w:ascii="Verdana" w:hAnsi="Verdana"/>
          <w:sz w:val="22"/>
          <w:szCs w:val="22"/>
        </w:rPr>
        <w:t>That future-facing vision can also be seen in the Rights, Safeguards and Equality of Opportunity chapter itself. The commitment to the civil rights and religious liberties of everyone in the community is not framed in sectarian terms. Nor is the commitment to the right of women to full and equal political participation. These are provisions directed towards building a tolerant, inclusive and democratic society. They are intended to benefit everyone who lives in Northern Ireland, not simply to manage relations between two communities.</w:t>
      </w:r>
    </w:p>
    <w:p w:rsidR="005B7F3B" w:rsidRPr="00386E26" w:rsidP="005B7F3B">
      <w:pPr>
        <w:rPr>
          <w:rFonts w:ascii="Verdana" w:hAnsi="Verdana"/>
          <w:sz w:val="22"/>
          <w:szCs w:val="22"/>
        </w:rPr>
      </w:pPr>
      <w:r w:rsidRPr="00386E26">
        <w:rPr>
          <w:rFonts w:ascii="Verdana" w:hAnsi="Verdana"/>
          <w:sz w:val="22"/>
          <w:szCs w:val="22"/>
        </w:rPr>
        <w:t>For that reason, we have concerns that the Supreme Court's emphasis on sectarian conflict risks overlooking the wider purpose of these provisions. The rights commitments contained within the Agreement were intended not simply to prevent a return to conflict, but to help build the kind of society envisioned in the Declaration of Support. Read in that context, the commitment to the civil rights and religious liberties of everyone in the community is forward-looking and inclusive. It provides a framework for the protection and advancement of rights across society, rather than a narrow set of guarantees linked only to the specific circumstances of the conflict.</w:t>
      </w:r>
    </w:p>
    <w:p w:rsidR="005B7F3B" w:rsidRPr="00386E26" w:rsidP="005B7F3B">
      <w:pPr>
        <w:rPr>
          <w:rFonts w:ascii="Verdana" w:hAnsi="Verdana"/>
          <w:b/>
          <w:bCs/>
          <w:sz w:val="22"/>
          <w:szCs w:val="22"/>
        </w:rPr>
      </w:pPr>
      <w:r w:rsidRPr="00386E26">
        <w:rPr>
          <w:rFonts w:ascii="Verdana" w:hAnsi="Verdana"/>
          <w:b/>
          <w:bCs/>
          <w:sz w:val="22"/>
          <w:szCs w:val="22"/>
        </w:rPr>
        <w:t xml:space="preserve"> Annex 1 and the Scope of Article 2</w:t>
      </w:r>
    </w:p>
    <w:p w:rsidR="005B7F3B" w:rsidRPr="00386E26" w:rsidP="005B7F3B">
      <w:pPr>
        <w:rPr>
          <w:rFonts w:ascii="Verdana" w:hAnsi="Verdana"/>
          <w:sz w:val="22"/>
          <w:szCs w:val="22"/>
        </w:rPr>
      </w:pPr>
      <w:r w:rsidRPr="00386E26">
        <w:rPr>
          <w:rFonts w:ascii="Verdana" w:hAnsi="Verdana"/>
          <w:sz w:val="22"/>
          <w:szCs w:val="22"/>
        </w:rPr>
        <w:t>One important aspect of the Supreme Court's judgment is that it confirmed that Article 2 is capable of direct effect in conjunction with the Annex 1 Directives.</w:t>
      </w:r>
      <w:r>
        <w:rPr>
          <w:rStyle w:val="FootnoteReference"/>
          <w:rFonts w:ascii="Verdana" w:hAnsi="Verdana"/>
          <w:sz w:val="22"/>
          <w:szCs w:val="22"/>
        </w:rPr>
        <w:footnoteReference w:id="26"/>
      </w:r>
      <w:r w:rsidRPr="00386E26" w:rsidR="00317CC1">
        <w:rPr>
          <w:rFonts w:ascii="Verdana" w:hAnsi="Verdana"/>
          <w:sz w:val="22"/>
          <w:szCs w:val="22"/>
        </w:rPr>
        <w:t xml:space="preserve"> </w:t>
      </w:r>
      <w:r w:rsidRPr="00386E26">
        <w:rPr>
          <w:rFonts w:ascii="Verdana" w:hAnsi="Verdana"/>
          <w:sz w:val="22"/>
          <w:szCs w:val="22"/>
        </w:rPr>
        <w:t xml:space="preserve">In practical terms, this means that the equality protections contained within those Directives remain capable of grounding Article 2 claims before the domestic courts. That element of the judgment preserves an important part of the Article 2 framework. </w:t>
      </w:r>
    </w:p>
    <w:p w:rsidR="005B7F3B" w:rsidRPr="00386E26" w:rsidP="005B7F3B">
      <w:pPr>
        <w:rPr>
          <w:rFonts w:ascii="Verdana" w:hAnsi="Verdana"/>
          <w:sz w:val="22"/>
          <w:szCs w:val="22"/>
        </w:rPr>
      </w:pPr>
      <w:r w:rsidRPr="00386E26">
        <w:rPr>
          <w:rFonts w:ascii="Verdana" w:hAnsi="Verdana"/>
          <w:sz w:val="22"/>
          <w:szCs w:val="22"/>
        </w:rPr>
        <w:t xml:space="preserve">The more difficult question is what remains beyond Annex 1. Prior to Dillon, the prevailing understanding was not that Article 2 was confined solely to the six equality Directives listed in Annex 1. The UK Government's own Explainer Document expressly contemplated that other EU measures might also engage the non-diminution commitment. Among the examples identified was the </w:t>
      </w:r>
      <w:r w:rsidRPr="00386E26">
        <w:rPr>
          <w:rFonts w:ascii="Verdana" w:hAnsi="Verdana"/>
          <w:sz w:val="22"/>
          <w:szCs w:val="22"/>
        </w:rPr>
        <w:t xml:space="preserve">Victims' Directive. Article 2 was therefore presented not as a closed list of equality protections, but as a broader safeguard capable of protecting relevant EU-derived rights connected to the Rights, Safeguards and Equality of Opportunity chapter of the Belfast/Good Friday Agreement. </w:t>
      </w:r>
    </w:p>
    <w:p w:rsidR="005B7F3B" w:rsidRPr="00386E26" w:rsidP="005B7F3B">
      <w:pPr>
        <w:rPr>
          <w:rFonts w:ascii="Verdana" w:hAnsi="Verdana"/>
          <w:sz w:val="22"/>
          <w:szCs w:val="22"/>
        </w:rPr>
      </w:pPr>
      <w:r w:rsidRPr="00386E26">
        <w:rPr>
          <w:rFonts w:ascii="Verdana" w:hAnsi="Verdana"/>
          <w:sz w:val="22"/>
          <w:szCs w:val="22"/>
        </w:rPr>
        <w:t xml:space="preserve">That broader understanding was reflected in the approach adopted by the Belfast courts. In the Legacy Act litigation, the court accepted that the commitments to civil rights and to victims contained within the Rights, Safeguards and Equality of Opportunity chapter could operate alongside protections contained within the Victims' Directive. The concern arising from Dillon is that the Supreme Court's treatment of paragraph 1 and its application of the Demirel test have significantly narrowed the route by which that connection was established. Professor </w:t>
      </w:r>
      <w:r w:rsidRPr="00386E26" w:rsidR="006A4EF0">
        <w:rPr>
          <w:rFonts w:ascii="Verdana" w:hAnsi="Verdana"/>
          <w:sz w:val="22"/>
          <w:szCs w:val="22"/>
        </w:rPr>
        <w:t xml:space="preserve">Colin </w:t>
      </w:r>
      <w:r w:rsidRPr="00386E26">
        <w:rPr>
          <w:rFonts w:ascii="Verdana" w:hAnsi="Verdana"/>
          <w:sz w:val="22"/>
          <w:szCs w:val="22"/>
        </w:rPr>
        <w:t>Murray has highlighted the practical significance of this problem.</w:t>
      </w:r>
      <w:r>
        <w:rPr>
          <w:rStyle w:val="FootnoteReference"/>
          <w:rFonts w:ascii="Verdana" w:hAnsi="Verdana"/>
          <w:sz w:val="22"/>
          <w:szCs w:val="22"/>
        </w:rPr>
        <w:footnoteReference w:id="27"/>
      </w:r>
      <w:r w:rsidRPr="00386E26">
        <w:rPr>
          <w:rFonts w:ascii="Verdana" w:hAnsi="Verdana"/>
          <w:sz w:val="22"/>
          <w:szCs w:val="22"/>
        </w:rPr>
        <w:t xml:space="preserve"> If a Directive specifically identified by the UK Government as potentially relevant to Article 2 and accepted by the Belfast courts as engaging Article 2, can no longer realistically be relied upon in that way, it becomes increasingly difficult to identify what EU measures beyond the Annex 1 Directives will continue to benefit from Article 2 protection.</w:t>
      </w:r>
    </w:p>
    <w:p w:rsidR="005B7F3B" w:rsidRPr="00386E26" w:rsidP="005B7F3B">
      <w:pPr>
        <w:rPr>
          <w:rFonts w:ascii="Verdana" w:hAnsi="Verdana"/>
          <w:sz w:val="22"/>
          <w:szCs w:val="22"/>
        </w:rPr>
      </w:pPr>
      <w:r w:rsidRPr="00386E26">
        <w:rPr>
          <w:rFonts w:ascii="Verdana" w:hAnsi="Verdana"/>
          <w:sz w:val="22"/>
          <w:szCs w:val="22"/>
        </w:rPr>
        <w:t>The more significant question is whether the wider understanding of Article 2 remains achievable after Dillon. If other EU measures previously understood to be capable of engaging the non-diminution commitment can no longer do so in practice, Article 2 now operates within a considerably narrower framework than that developed by the Belfast courts and reflected in the UK Government's own Explainer Document when explaining the protections contained within the Withdrawal Agreement.</w:t>
      </w:r>
    </w:p>
    <w:p w:rsidR="005B7F3B" w:rsidRPr="00386E26" w:rsidP="005B7F3B">
      <w:pPr>
        <w:rPr>
          <w:rFonts w:ascii="Verdana" w:hAnsi="Verdana"/>
          <w:b/>
          <w:bCs/>
          <w:sz w:val="22"/>
          <w:szCs w:val="22"/>
        </w:rPr>
      </w:pPr>
      <w:r w:rsidRPr="00386E26">
        <w:rPr>
          <w:rFonts w:ascii="Verdana" w:hAnsi="Verdana"/>
          <w:b/>
          <w:bCs/>
          <w:sz w:val="22"/>
          <w:szCs w:val="22"/>
        </w:rPr>
        <w:t>Withdrawal Agreement Compatibility</w:t>
      </w:r>
    </w:p>
    <w:p w:rsidR="005B7F3B" w:rsidRPr="00386E26" w:rsidP="005B7F3B">
      <w:pPr>
        <w:rPr>
          <w:rFonts w:ascii="Verdana" w:hAnsi="Verdana"/>
          <w:sz w:val="22"/>
          <w:szCs w:val="22"/>
        </w:rPr>
      </w:pPr>
      <w:r w:rsidRPr="00386E26">
        <w:rPr>
          <w:rFonts w:ascii="Verdana" w:hAnsi="Verdana"/>
          <w:sz w:val="22"/>
          <w:szCs w:val="22"/>
        </w:rPr>
        <w:t>We also have concerns about the wider implications of the Court's approach to the interpretation of EU law. The judgment raises important questions about how consistency with the Withdrawal Agreement is to be maintained where domestic courts adopt interpretations of EU-law-derived rights that have significant consequences for the operation of Article 2. In that respect, Dillon raises wider questions about how compliance with, and alignment to, the Withdrawal Agreement is to be assessed in the future, potentially leading to questions as to whether the dispute resolution mechanisms provided for within the Withdrawal Agreement may ultimately need to be invoked to provide clarity on these issues, including the compatibility of the Supreme Court's approach to direct effect and its application of the Demirel test with the obligations contained within the Agreement itself.</w:t>
      </w:r>
    </w:p>
    <w:p w:rsidR="005B7F3B" w:rsidRPr="00386E26" w:rsidP="005B7F3B">
      <w:pPr>
        <w:rPr>
          <w:rFonts w:ascii="Verdana" w:hAnsi="Verdana"/>
          <w:sz w:val="22"/>
          <w:szCs w:val="22"/>
        </w:rPr>
      </w:pPr>
      <w:r w:rsidRPr="00386E26">
        <w:rPr>
          <w:rFonts w:ascii="Verdana" w:hAnsi="Verdana"/>
          <w:sz w:val="22"/>
          <w:szCs w:val="22"/>
        </w:rPr>
        <w:t xml:space="preserve">Ultimately, our concern is that the Supreme Court has preserved Article 2 in principle but made it significantly harder to utilise in practice. The judgment </w:t>
      </w:r>
      <w:r w:rsidRPr="00386E26">
        <w:rPr>
          <w:rFonts w:ascii="Verdana" w:hAnsi="Verdana"/>
          <w:sz w:val="22"/>
          <w:szCs w:val="22"/>
        </w:rPr>
        <w:t>leaves Article 2 available but surrounds it with new legal complexities and restrictions that were not apparent from the commitments made when the Withdrawal Agreement was negotiated. Under these circumstances the protections promised by Article 2 will likely become increasingly difficult to access and undermine the confidence that individuals and communities were intended to have in those safeguards.</w:t>
      </w:r>
    </w:p>
    <w:p w:rsidR="005B7F3B" w:rsidRPr="00386E26" w:rsidP="005B7F3B">
      <w:pPr>
        <w:rPr>
          <w:rFonts w:ascii="Verdana" w:hAnsi="Verdana"/>
          <w:sz w:val="22"/>
          <w:szCs w:val="22"/>
        </w:rPr>
      </w:pPr>
      <w:r w:rsidRPr="00386E26">
        <w:rPr>
          <w:rFonts w:ascii="Verdana" w:hAnsi="Verdana"/>
          <w:sz w:val="22"/>
          <w:szCs w:val="22"/>
        </w:rPr>
        <w:t xml:space="preserve">If the interpretation now adopted by the Supreme Court makes those protections significantly harder to access, narrows the range of Belfast/Good Friday Agreement commitments capable of grounding Article 2 claims, and limits the practical effectiveness of the non-diminution guarantee, the question inevitably arises as to whether that interpretation remains fully consistent with the obligations the United Kingdom assumed under the Withdrawal Agreement itself. </w:t>
      </w:r>
    </w:p>
    <w:p w:rsidR="00CE740D" w:rsidRPr="00386E26" w:rsidP="005B7F3B">
      <w:pPr>
        <w:rPr>
          <w:rFonts w:ascii="Verdana" w:hAnsi="Verdana"/>
          <w:sz w:val="22"/>
          <w:szCs w:val="22"/>
        </w:rPr>
      </w:pPr>
      <w:r w:rsidRPr="00386E26">
        <w:rPr>
          <w:rFonts w:ascii="Verdana" w:hAnsi="Verdana"/>
          <w:sz w:val="22"/>
          <w:szCs w:val="22"/>
        </w:rPr>
        <w:t>At the very least, the judgment creates uncertainty as to whether the level of protection originally envisaged by Article 2 can still be delivered in practice.</w:t>
      </w:r>
    </w:p>
    <w:p w:rsidR="003156F6" w:rsidRPr="00386E26" w:rsidP="00CE740D">
      <w:pPr>
        <w:rPr>
          <w:rFonts w:ascii="Verdana" w:hAnsi="Verdana"/>
          <w:sz w:val="22"/>
          <w:szCs w:val="22"/>
        </w:rPr>
      </w:pPr>
    </w:p>
    <w:p w:rsidR="001104F8" w:rsidRPr="00386E26" w:rsidP="00BD06A0">
      <w:pPr>
        <w:rPr>
          <w:rFonts w:ascii="Verdana" w:hAnsi="Verdana"/>
          <w:b/>
          <w:bCs/>
          <w:sz w:val="22"/>
          <w:szCs w:val="22"/>
          <w:u w:val="single"/>
        </w:rPr>
      </w:pPr>
      <w:r w:rsidRPr="00386E26">
        <w:rPr>
          <w:rFonts w:ascii="Verdana" w:hAnsi="Verdana"/>
          <w:b/>
          <w:bCs/>
          <w:sz w:val="22"/>
          <w:szCs w:val="22"/>
        </w:rPr>
        <w:t>Improving the Implementation of Article 2</w:t>
      </w:r>
    </w:p>
    <w:p w:rsidR="00BD06A0" w:rsidRPr="00386E26" w:rsidP="00BD06A0">
      <w:pPr>
        <w:rPr>
          <w:rFonts w:ascii="Verdana" w:hAnsi="Verdana"/>
          <w:b/>
          <w:bCs/>
          <w:sz w:val="22"/>
          <w:szCs w:val="22"/>
        </w:rPr>
      </w:pPr>
      <w:r w:rsidRPr="00386E26">
        <w:rPr>
          <w:rFonts w:ascii="Verdana" w:hAnsi="Verdana"/>
          <w:b/>
          <w:bCs/>
          <w:sz w:val="22"/>
          <w:szCs w:val="22"/>
        </w:rPr>
        <w:t>The Impact of the Dillon Judgment</w:t>
      </w:r>
    </w:p>
    <w:p w:rsidR="00BD06A0" w:rsidRPr="00386E26" w:rsidP="00BD06A0">
      <w:pPr>
        <w:rPr>
          <w:rFonts w:ascii="Verdana" w:hAnsi="Verdana"/>
          <w:sz w:val="22"/>
          <w:szCs w:val="22"/>
        </w:rPr>
      </w:pPr>
      <w:r w:rsidRPr="00386E26">
        <w:rPr>
          <w:rFonts w:ascii="Verdana" w:hAnsi="Verdana"/>
          <w:sz w:val="22"/>
          <w:szCs w:val="22"/>
        </w:rPr>
        <w:t>Any discussion of improving the implementation of Article 2 must begin with the Supreme Court's decision in Dillon. The judgment undoubtedly provides important clarification in some respects. Most notably, it confirms that Article 2 is capable of direct effect and can therefore continue to be relied upon and enforced before the domestic courts. That aspect of the ruling preserves an essential feature of the Article 2 protection.</w:t>
      </w:r>
    </w:p>
    <w:p w:rsidR="00BD06A0" w:rsidRPr="00386E26" w:rsidP="00BD06A0">
      <w:pPr>
        <w:rPr>
          <w:rFonts w:ascii="Verdana" w:hAnsi="Verdana"/>
          <w:sz w:val="22"/>
          <w:szCs w:val="22"/>
        </w:rPr>
      </w:pPr>
      <w:r w:rsidRPr="00386E26">
        <w:rPr>
          <w:rFonts w:ascii="Verdana" w:hAnsi="Verdana"/>
          <w:sz w:val="22"/>
          <w:szCs w:val="22"/>
        </w:rPr>
        <w:t xml:space="preserve">There also remain </w:t>
      </w:r>
      <w:r w:rsidRPr="00386E26" w:rsidR="00291A30">
        <w:rPr>
          <w:rFonts w:ascii="Verdana" w:hAnsi="Verdana"/>
          <w:sz w:val="22"/>
          <w:szCs w:val="22"/>
        </w:rPr>
        <w:t>several</w:t>
      </w:r>
      <w:r w:rsidRPr="00386E26">
        <w:rPr>
          <w:rFonts w:ascii="Verdana" w:hAnsi="Verdana"/>
          <w:sz w:val="22"/>
          <w:szCs w:val="22"/>
        </w:rPr>
        <w:t xml:space="preserve"> unanswered questions about the full implications of the judgment and the precise extent to which it alters the operation of Article 2 in practice. Future litigation will undoubtedly continue to shape how parts of the judgment are understood and applied.</w:t>
      </w:r>
    </w:p>
    <w:p w:rsidR="00BD06A0" w:rsidRPr="00386E26" w:rsidP="00BD06A0">
      <w:pPr>
        <w:rPr>
          <w:rFonts w:ascii="Verdana" w:hAnsi="Verdana"/>
          <w:sz w:val="22"/>
          <w:szCs w:val="22"/>
        </w:rPr>
      </w:pPr>
      <w:r w:rsidRPr="00386E26">
        <w:rPr>
          <w:rFonts w:ascii="Verdana" w:hAnsi="Verdana"/>
          <w:sz w:val="22"/>
          <w:szCs w:val="22"/>
        </w:rPr>
        <w:t>Our principal concern, however, is the narrowing effect of the Court's approach. By applying the Demirel test to elements of the Rights, Safeguards and Equality of Opportunity chapter of the Belfast/Good Friday Agreement, the Court has significantly restricted one of the principal mechanisms through which Article 2 had previously been understood to operate. The result is that Article 2 now functions within a narrower framework than that which had emerged from the Belfast courts and which was reflected in the UK Government's own explanation of the non-diminution commitment.</w:t>
      </w:r>
    </w:p>
    <w:p w:rsidR="005705B2" w:rsidRPr="00386E26" w:rsidP="00BD06A0">
      <w:pPr>
        <w:rPr>
          <w:rFonts w:ascii="Verdana" w:hAnsi="Verdana"/>
          <w:sz w:val="22"/>
          <w:szCs w:val="22"/>
        </w:rPr>
      </w:pPr>
      <w:r w:rsidRPr="00386E26">
        <w:rPr>
          <w:rFonts w:ascii="Verdana" w:hAnsi="Verdana"/>
          <w:sz w:val="22"/>
          <w:szCs w:val="22"/>
        </w:rPr>
        <w:t xml:space="preserve">We believe the Court erred in its interpretation of Article 2 and that this has significant consequences for its future effectiveness. This raises a broader question as to whether the approach adopted in Dillon is fully compatible with the obligations undertaken by the United Kingdom in the Withdrawal Agreement. Given the importance of Article 2 to the rights architecture of the Windsor </w:t>
      </w:r>
      <w:r w:rsidRPr="00386E26">
        <w:rPr>
          <w:rFonts w:ascii="Verdana" w:hAnsi="Verdana"/>
          <w:sz w:val="22"/>
          <w:szCs w:val="22"/>
        </w:rPr>
        <w:t>Framework, consideration should be given to whether concerns about the compatibility of the Dillon judgment with the Withdrawal Agreement ought to be raised through the arbitration and dispute resolution mechanisms established under that Agreement.</w:t>
      </w:r>
    </w:p>
    <w:p w:rsidR="00BD06A0" w:rsidRPr="00386E26" w:rsidP="00BD06A0">
      <w:pPr>
        <w:rPr>
          <w:rFonts w:ascii="Verdana" w:hAnsi="Verdana"/>
          <w:b/>
          <w:bCs/>
          <w:sz w:val="22"/>
          <w:szCs w:val="22"/>
        </w:rPr>
      </w:pPr>
      <w:r w:rsidRPr="00386E26">
        <w:rPr>
          <w:rFonts w:ascii="Verdana" w:hAnsi="Verdana"/>
          <w:b/>
          <w:bCs/>
          <w:sz w:val="22"/>
          <w:szCs w:val="22"/>
        </w:rPr>
        <w:t>Embedding Article 2 into Policy and Legislative Development</w:t>
      </w:r>
    </w:p>
    <w:p w:rsidR="00BD06A0" w:rsidRPr="00386E26" w:rsidP="00BD06A0">
      <w:pPr>
        <w:rPr>
          <w:rFonts w:ascii="Verdana" w:hAnsi="Verdana"/>
          <w:sz w:val="22"/>
          <w:szCs w:val="22"/>
        </w:rPr>
      </w:pPr>
      <w:r w:rsidRPr="00386E26">
        <w:rPr>
          <w:rFonts w:ascii="Verdana" w:hAnsi="Verdana"/>
          <w:sz w:val="22"/>
          <w:szCs w:val="22"/>
        </w:rPr>
        <w:t>A recurring difficulty since the introduction of Article 2 has been the tendency to treat it as an afterthought rather than as a core part of policy and legislative development. Too often, consideration of Article 2 occurs only after policy proposals have been substantially developed or legislation has already been drafted.</w:t>
      </w:r>
    </w:p>
    <w:p w:rsidR="00BD06A0" w:rsidRPr="00386E26" w:rsidP="00BD06A0">
      <w:pPr>
        <w:rPr>
          <w:rFonts w:ascii="Verdana" w:hAnsi="Verdana"/>
          <w:sz w:val="22"/>
          <w:szCs w:val="22"/>
        </w:rPr>
      </w:pPr>
      <w:r w:rsidRPr="00386E26">
        <w:rPr>
          <w:rFonts w:ascii="Verdana" w:hAnsi="Verdana"/>
          <w:sz w:val="22"/>
          <w:szCs w:val="22"/>
        </w:rPr>
        <w:t xml:space="preserve">This approach increases the likelihood of legislative and policy failures. </w:t>
      </w:r>
      <w:r w:rsidRPr="00386E26">
        <w:rPr>
          <w:rFonts w:ascii="Verdana" w:hAnsi="Verdana"/>
          <w:sz w:val="22"/>
          <w:szCs w:val="22"/>
        </w:rPr>
        <w:t>A number of</w:t>
      </w:r>
      <w:r w:rsidRPr="00386E26">
        <w:rPr>
          <w:rFonts w:ascii="Verdana" w:hAnsi="Verdana"/>
          <w:sz w:val="22"/>
          <w:szCs w:val="22"/>
        </w:rPr>
        <w:t xml:space="preserve"> measures have already been found by the courts to be incompatible with Article 2. Such outcomes should not be regarded as an inevitable feature of the framework. Better implementation would involve integrating Article 2 considerations at the earliest stages of policy design, legislative development and impact assessment. Rights compliance should be built into decision-making processes from the outset rather than tested after decisions have effectively been made.</w:t>
      </w:r>
    </w:p>
    <w:p w:rsidR="00BD06A0" w:rsidRPr="00386E26" w:rsidP="00BD06A0">
      <w:pPr>
        <w:rPr>
          <w:rFonts w:ascii="Verdana" w:hAnsi="Verdana"/>
          <w:b/>
          <w:bCs/>
          <w:sz w:val="22"/>
          <w:szCs w:val="22"/>
        </w:rPr>
      </w:pPr>
      <w:r w:rsidRPr="00386E26">
        <w:rPr>
          <w:rFonts w:ascii="Verdana" w:hAnsi="Verdana"/>
          <w:b/>
          <w:bCs/>
          <w:sz w:val="22"/>
          <w:szCs w:val="22"/>
        </w:rPr>
        <w:t>Improving Dynamic Alignment Processes</w:t>
      </w:r>
    </w:p>
    <w:p w:rsidR="00BD06A0" w:rsidRPr="00386E26" w:rsidP="00BD06A0">
      <w:pPr>
        <w:rPr>
          <w:rFonts w:ascii="Verdana" w:hAnsi="Verdana"/>
          <w:sz w:val="22"/>
          <w:szCs w:val="22"/>
        </w:rPr>
      </w:pPr>
      <w:r w:rsidRPr="00386E26">
        <w:rPr>
          <w:rFonts w:ascii="Verdana" w:hAnsi="Verdana"/>
          <w:sz w:val="22"/>
          <w:szCs w:val="22"/>
        </w:rPr>
        <w:t>The process for determining whether new EU legislative developments create obligations under Article 2 also requires significant improvement. At present, there is no</w:t>
      </w:r>
      <w:r w:rsidRPr="00386E26" w:rsidR="00344AE3">
        <w:rPr>
          <w:rFonts w:ascii="Verdana" w:hAnsi="Verdana"/>
          <w:sz w:val="22"/>
          <w:szCs w:val="22"/>
        </w:rPr>
        <w:t>t a</w:t>
      </w:r>
      <w:r w:rsidRPr="00386E26">
        <w:rPr>
          <w:rFonts w:ascii="Verdana" w:hAnsi="Verdana"/>
          <w:sz w:val="22"/>
          <w:szCs w:val="22"/>
        </w:rPr>
        <w:t xml:space="preserve"> sufficiently clear, transparent or timely mechanism for assessing whether changes to EU law engage the commitment to keep pace with developments relevant to the Annex 1 Directives.</w:t>
      </w:r>
    </w:p>
    <w:p w:rsidR="00BD06A0" w:rsidRPr="00386E26" w:rsidP="00BD06A0">
      <w:pPr>
        <w:rPr>
          <w:rFonts w:ascii="Verdana" w:hAnsi="Verdana"/>
          <w:sz w:val="22"/>
          <w:szCs w:val="22"/>
        </w:rPr>
      </w:pPr>
      <w:r w:rsidRPr="00386E26">
        <w:rPr>
          <w:rFonts w:ascii="Verdana" w:hAnsi="Verdana"/>
          <w:sz w:val="22"/>
          <w:szCs w:val="22"/>
        </w:rPr>
        <w:t>Recent examples illustrate the problem. The Equality Bodies Directives</w:t>
      </w:r>
      <w:r>
        <w:rPr>
          <w:rStyle w:val="FootnoteReference"/>
          <w:rFonts w:ascii="Verdana" w:hAnsi="Verdana"/>
          <w:sz w:val="22"/>
          <w:szCs w:val="22"/>
        </w:rPr>
        <w:footnoteReference w:id="28"/>
      </w:r>
      <w:r w:rsidRPr="00386E26">
        <w:rPr>
          <w:rFonts w:ascii="Verdana" w:hAnsi="Verdana"/>
          <w:sz w:val="22"/>
          <w:szCs w:val="22"/>
        </w:rPr>
        <w:t xml:space="preserve"> and the Pay Transparency Directive</w:t>
      </w:r>
      <w:r>
        <w:rPr>
          <w:rStyle w:val="FootnoteReference"/>
          <w:rFonts w:ascii="Verdana" w:hAnsi="Verdana"/>
          <w:sz w:val="22"/>
          <w:szCs w:val="22"/>
        </w:rPr>
        <w:footnoteReference w:id="29"/>
      </w:r>
      <w:r w:rsidRPr="00386E26">
        <w:rPr>
          <w:rFonts w:ascii="Verdana" w:hAnsi="Verdana"/>
          <w:sz w:val="22"/>
          <w:szCs w:val="22"/>
        </w:rPr>
        <w:t xml:space="preserve"> appear to raise significant questions about the UK's obligations under Article 2.</w:t>
      </w:r>
      <w:r>
        <w:rPr>
          <w:rStyle w:val="FootnoteReference"/>
          <w:rFonts w:ascii="Verdana" w:hAnsi="Verdana"/>
          <w:sz w:val="22"/>
          <w:szCs w:val="22"/>
        </w:rPr>
        <w:footnoteReference w:id="30"/>
      </w:r>
      <w:r w:rsidRPr="00386E26">
        <w:rPr>
          <w:rFonts w:ascii="Verdana" w:hAnsi="Verdana"/>
          <w:sz w:val="22"/>
          <w:szCs w:val="22"/>
        </w:rPr>
        <w:t xml:space="preserve"> Yet consideration of how these measures should be implemented in Northern Ireland ha</w:t>
      </w:r>
      <w:r w:rsidRPr="00386E26" w:rsidR="00B93B9C">
        <w:rPr>
          <w:rFonts w:ascii="Verdana" w:hAnsi="Verdana"/>
          <w:sz w:val="22"/>
          <w:szCs w:val="22"/>
        </w:rPr>
        <w:t>ve been</w:t>
      </w:r>
      <w:r w:rsidRPr="00386E26">
        <w:rPr>
          <w:rFonts w:ascii="Verdana" w:hAnsi="Verdana"/>
          <w:sz w:val="22"/>
          <w:szCs w:val="22"/>
        </w:rPr>
        <w:t xml:space="preserve"> ongoing for a prolonged period, creating uncertainty for policymakers, rights holders and public authorities alike.</w:t>
      </w:r>
    </w:p>
    <w:p w:rsidR="005705B2" w:rsidRPr="00386E26" w:rsidP="00BD06A0">
      <w:pPr>
        <w:rPr>
          <w:rFonts w:ascii="Verdana" w:hAnsi="Verdana"/>
          <w:sz w:val="22"/>
          <w:szCs w:val="22"/>
        </w:rPr>
      </w:pPr>
      <w:r w:rsidRPr="00386E26">
        <w:rPr>
          <w:rFonts w:ascii="Verdana" w:hAnsi="Verdana"/>
          <w:sz w:val="22"/>
          <w:szCs w:val="22"/>
        </w:rPr>
        <w:t>A more structured system is needed. This should include a clear and timely process for assessing new EU developments and determining whether Article 2 obligations arise. Consideration should also be given to the creation of a</w:t>
      </w:r>
      <w:r w:rsidRPr="00386E26" w:rsidR="00E30BB7">
        <w:rPr>
          <w:rFonts w:ascii="Verdana" w:hAnsi="Verdana"/>
          <w:sz w:val="22"/>
          <w:szCs w:val="22"/>
        </w:rPr>
        <w:t xml:space="preserve"> </w:t>
      </w:r>
      <w:r w:rsidRPr="00386E26">
        <w:rPr>
          <w:rFonts w:ascii="Verdana" w:hAnsi="Verdana"/>
          <w:sz w:val="22"/>
          <w:szCs w:val="22"/>
        </w:rPr>
        <w:t xml:space="preserve">mechanism capable of identifying relevant EU legislative proposals at an early </w:t>
      </w:r>
      <w:r w:rsidRPr="00386E26">
        <w:rPr>
          <w:rFonts w:ascii="Verdana" w:hAnsi="Verdana"/>
          <w:sz w:val="22"/>
          <w:szCs w:val="22"/>
        </w:rPr>
        <w:t>stage, allowing public authorities and stakeholders to prepare before implementation questions become urgent.</w:t>
      </w:r>
    </w:p>
    <w:p w:rsidR="00BD06A0" w:rsidRPr="00386E26" w:rsidP="00BD06A0">
      <w:pPr>
        <w:rPr>
          <w:rFonts w:ascii="Verdana" w:hAnsi="Verdana"/>
          <w:b/>
          <w:bCs/>
          <w:sz w:val="22"/>
          <w:szCs w:val="22"/>
        </w:rPr>
      </w:pPr>
      <w:r w:rsidRPr="00386E26">
        <w:rPr>
          <w:rFonts w:ascii="Verdana" w:hAnsi="Verdana"/>
          <w:b/>
          <w:bCs/>
          <w:sz w:val="22"/>
          <w:szCs w:val="22"/>
        </w:rPr>
        <w:t>Improving Public Understanding and Political Discourse</w:t>
      </w:r>
    </w:p>
    <w:p w:rsidR="00BD06A0" w:rsidRPr="00386E26" w:rsidP="00BD06A0">
      <w:pPr>
        <w:rPr>
          <w:rFonts w:ascii="Verdana" w:hAnsi="Verdana"/>
          <w:sz w:val="22"/>
          <w:szCs w:val="22"/>
        </w:rPr>
      </w:pPr>
      <w:r w:rsidRPr="00386E26">
        <w:rPr>
          <w:rFonts w:ascii="Verdana" w:hAnsi="Verdana"/>
          <w:sz w:val="22"/>
          <w:szCs w:val="22"/>
        </w:rPr>
        <w:t>The quality of political discussion surrounding the Windsor Framework and Article 2 also requires improvement. Too much debate continues to be framed around claims that rights protections are being imposed externally or that obligations arise without democratic consent.</w:t>
      </w:r>
    </w:p>
    <w:p w:rsidR="00BD06A0" w:rsidRPr="00386E26" w:rsidP="00BD06A0">
      <w:pPr>
        <w:rPr>
          <w:rFonts w:ascii="Verdana" w:hAnsi="Verdana"/>
          <w:sz w:val="22"/>
          <w:szCs w:val="22"/>
        </w:rPr>
      </w:pPr>
      <w:r w:rsidRPr="00386E26">
        <w:rPr>
          <w:rFonts w:ascii="Verdana" w:hAnsi="Verdana"/>
          <w:sz w:val="22"/>
          <w:szCs w:val="22"/>
        </w:rPr>
        <w:t xml:space="preserve">This does not accurately reflect the reality of the framework. Article 2 was negotiated by the UK Government, incorporated into an international agreement </w:t>
      </w:r>
      <w:r w:rsidRPr="00386E26">
        <w:rPr>
          <w:rFonts w:ascii="Verdana" w:hAnsi="Verdana"/>
          <w:sz w:val="22"/>
          <w:szCs w:val="22"/>
        </w:rPr>
        <w:t>entered into</w:t>
      </w:r>
      <w:r w:rsidRPr="00386E26">
        <w:rPr>
          <w:rFonts w:ascii="Verdana" w:hAnsi="Verdana"/>
          <w:sz w:val="22"/>
          <w:szCs w:val="22"/>
        </w:rPr>
        <w:t xml:space="preserve"> by the United Kingdom, and subsequently given effect in domestic law by Parliament. It is part of the legal settlement that the UK itself negotiated and accepted.</w:t>
      </w:r>
    </w:p>
    <w:p w:rsidR="00291A30" w:rsidRPr="00386E26" w:rsidP="00BD06A0">
      <w:pPr>
        <w:rPr>
          <w:rFonts w:ascii="Verdana" w:hAnsi="Verdana"/>
          <w:sz w:val="22"/>
          <w:szCs w:val="22"/>
        </w:rPr>
      </w:pPr>
      <w:r w:rsidRPr="00386E26">
        <w:rPr>
          <w:rFonts w:ascii="Verdana" w:hAnsi="Verdana"/>
          <w:sz w:val="22"/>
          <w:szCs w:val="22"/>
        </w:rPr>
        <w:t xml:space="preserve">Reasonable disagreement about </w:t>
      </w:r>
      <w:r w:rsidRPr="00386E26">
        <w:rPr>
          <w:rFonts w:ascii="Verdana" w:hAnsi="Verdana"/>
          <w:sz w:val="22"/>
          <w:szCs w:val="22"/>
        </w:rPr>
        <w:t>particular rights measures</w:t>
      </w:r>
      <w:r w:rsidRPr="00386E26">
        <w:rPr>
          <w:rFonts w:ascii="Verdana" w:hAnsi="Verdana"/>
          <w:sz w:val="22"/>
          <w:szCs w:val="22"/>
        </w:rPr>
        <w:t xml:space="preserve"> is entirely legitimate. However, debates should be grounded in an accurate understanding of the legal framework. Unless and until alternative arrangements are proposed that provide an equivalent level of protection for Northern Ireland's particular circumstances, rhetoric that portrays Article 2 protections as external impositions is neither </w:t>
      </w:r>
      <w:r w:rsidRPr="00386E26" w:rsidR="00817547">
        <w:rPr>
          <w:rFonts w:ascii="Verdana" w:hAnsi="Verdana"/>
          <w:sz w:val="22"/>
          <w:szCs w:val="22"/>
        </w:rPr>
        <w:t xml:space="preserve">accurate, </w:t>
      </w:r>
      <w:r w:rsidRPr="00386E26">
        <w:rPr>
          <w:rFonts w:ascii="Verdana" w:hAnsi="Verdana"/>
          <w:sz w:val="22"/>
          <w:szCs w:val="22"/>
        </w:rPr>
        <w:t>constructive or conducive to informed public debate.</w:t>
      </w:r>
    </w:p>
    <w:p w:rsidR="00BD06A0" w:rsidRPr="00386E26" w:rsidP="00BD06A0">
      <w:pPr>
        <w:rPr>
          <w:rFonts w:ascii="Verdana" w:hAnsi="Verdana"/>
          <w:b/>
          <w:bCs/>
          <w:sz w:val="22"/>
          <w:szCs w:val="22"/>
        </w:rPr>
      </w:pPr>
      <w:r w:rsidRPr="00386E26">
        <w:rPr>
          <w:rFonts w:ascii="Verdana" w:hAnsi="Verdana"/>
          <w:b/>
          <w:bCs/>
          <w:sz w:val="22"/>
          <w:szCs w:val="22"/>
        </w:rPr>
        <w:t>Strengthening Engagement with the Dedicated Mechanisms</w:t>
      </w:r>
    </w:p>
    <w:p w:rsidR="00BD06A0" w:rsidRPr="00386E26" w:rsidP="00BD06A0">
      <w:pPr>
        <w:rPr>
          <w:rFonts w:ascii="Verdana" w:hAnsi="Verdana"/>
          <w:sz w:val="22"/>
          <w:szCs w:val="22"/>
        </w:rPr>
      </w:pPr>
      <w:r w:rsidRPr="00386E26">
        <w:rPr>
          <w:rFonts w:ascii="Verdana" w:hAnsi="Verdana"/>
          <w:sz w:val="22"/>
          <w:szCs w:val="22"/>
        </w:rPr>
        <w:t>The Dedicated Mechanisms established under Article 2 have played an important role in monitoring implementation, raising awareness and providing expert advice. However, implementation would be significantly improved if public authorities engaged more proactively with their work.</w:t>
      </w:r>
    </w:p>
    <w:p w:rsidR="00BD06A0" w:rsidRPr="00386E26" w:rsidP="00BD06A0">
      <w:pPr>
        <w:rPr>
          <w:rFonts w:ascii="Verdana" w:hAnsi="Verdana"/>
          <w:sz w:val="22"/>
          <w:szCs w:val="22"/>
        </w:rPr>
      </w:pPr>
      <w:r w:rsidRPr="00386E26">
        <w:rPr>
          <w:rFonts w:ascii="Verdana" w:hAnsi="Verdana"/>
          <w:sz w:val="22"/>
          <w:szCs w:val="22"/>
        </w:rPr>
        <w:t>There is limited evidence that the level of engagement sought by the Dedicated Mechanisms has been consistently reciprocated, particularly at Westminster and across UK Government departments. Greater engagement with their expertise would improve both compliance and policy development, reduce the likelihood of avoidable legal disputes and help ensure that Article 2 operates as an effective safeguard rather than as a mechanism that is only considered once problems have already emerged.</w:t>
      </w:r>
    </w:p>
    <w:p w:rsidR="009608FB" w:rsidRPr="00386E26" w:rsidP="0026266C">
      <w:pPr>
        <w:rPr>
          <w:rFonts w:ascii="Verdana" w:hAnsi="Verdana"/>
          <w:sz w:val="22"/>
          <w:szCs w:val="22"/>
        </w:rPr>
      </w:pPr>
      <w:r w:rsidRPr="00386E26">
        <w:rPr>
          <w:rFonts w:ascii="Verdana" w:hAnsi="Verdana"/>
          <w:sz w:val="22"/>
          <w:szCs w:val="22"/>
        </w:rPr>
        <w:t>Ultimately, improving Article 2 implementation is not simply about avoiding litigation. It is about ensuring that the rights, safeguards and equality protections that the UK committed to maintain after Brexit remain meaningful, accessible and effective in practice. The existence of Article 2 alone is not enough. Its protections must be properly understood, systematically applied and faithfully implemented across all levels of government.</w:t>
      </w:r>
    </w:p>
    <w:p w:rsidR="009608FB" w:rsidRPr="00386E26" w:rsidP="0026266C">
      <w:pPr>
        <w:rPr>
          <w:rFonts w:ascii="Verdana" w:hAnsi="Verdana"/>
          <w:sz w:val="22"/>
          <w:szCs w:val="22"/>
        </w:rPr>
      </w:pPr>
    </w:p>
    <w:p w:rsidR="009608FB" w:rsidP="009608FB">
      <w:pPr>
        <w:jc w:val="center"/>
        <w:rPr>
          <w:rFonts w:ascii="Verdana" w:hAnsi="Verdana"/>
          <w:b/>
          <w:bCs/>
          <w:sz w:val="22"/>
          <w:szCs w:val="22"/>
        </w:rPr>
      </w:pPr>
      <w:r>
        <w:fldChar w:fldCharType="begin"/>
      </w:r>
      <w:r>
        <w:instrText xml:space="preserve"> HYPERLINK "http://www.humanrightsconsortium.org" </w:instrText>
      </w:r>
      <w:r>
        <w:fldChar w:fldCharType="separate"/>
      </w:r>
      <w:r w:rsidRPr="0038638B">
        <w:rPr>
          <w:rStyle w:val="Hyperlink"/>
          <w:rFonts w:ascii="Verdana" w:hAnsi="Verdana"/>
          <w:b/>
          <w:bCs/>
          <w:sz w:val="22"/>
          <w:szCs w:val="22"/>
        </w:rPr>
        <w:t>www.humanrightsconsortium.org</w:t>
      </w:r>
      <w:r>
        <w:fldChar w:fldCharType="end"/>
      </w:r>
    </w:p>
    <w:p w:rsidR="0025417A" w:rsidRPr="00386E26" w:rsidP="0025417A">
      <w:pPr>
        <w:rPr>
          <w:rFonts w:ascii="Verdana" w:hAnsi="Verdana"/>
          <w:b/>
          <w:bCs/>
          <w:sz w:val="22"/>
          <w:szCs w:val="22"/>
        </w:rPr>
      </w:pPr>
      <w:r>
        <w:rPr>
          <w:rFonts w:ascii="Verdana" w:hAnsi="Verdana"/>
          <w:b/>
          <w:bCs/>
          <w:sz w:val="22"/>
          <w:szCs w:val="22"/>
        </w:rPr>
        <w:t>9 July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5210B" w:rsidP="00271B96">
      <w:pPr>
        <w:spacing w:after="0" w:line="240" w:lineRule="auto"/>
      </w:pPr>
      <w:r>
        <w:separator/>
      </w:r>
    </w:p>
  </w:footnote>
  <w:footnote w:type="continuationSeparator" w:id="1">
    <w:p w:rsidR="0095210B" w:rsidP="00271B96">
      <w:pPr>
        <w:spacing w:after="0" w:line="240" w:lineRule="auto"/>
      </w:pPr>
      <w:r>
        <w:continuationSeparator/>
      </w:r>
    </w:p>
  </w:footnote>
  <w:footnote w:id="2">
    <w:p w:rsidR="00FF40B0"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fldChar w:fldCharType="begin"/>
      </w:r>
      <w:r>
        <w:instrText xml:space="preserve"> HYPERLINK "https://www.humanrightsconsortium.org/" </w:instrText>
      </w:r>
      <w:r>
        <w:fldChar w:fldCharType="separate"/>
      </w:r>
      <w:r w:rsidRPr="0014152F" w:rsidR="003F3F82">
        <w:rPr>
          <w:rStyle w:val="Hyperlink"/>
          <w:rFonts w:ascii="Verdana" w:hAnsi="Verdana"/>
          <w:sz w:val="18"/>
          <w:szCs w:val="18"/>
        </w:rPr>
        <w:t>https://www.humanrightsconsortium.org/</w:t>
      </w:r>
      <w:r>
        <w:fldChar w:fldCharType="end"/>
      </w:r>
      <w:r w:rsidRPr="0014152F" w:rsidR="003F3F82">
        <w:rPr>
          <w:rFonts w:ascii="Verdana" w:hAnsi="Verdana"/>
          <w:sz w:val="18"/>
          <w:szCs w:val="18"/>
        </w:rPr>
        <w:t xml:space="preserve"> </w:t>
      </w:r>
    </w:p>
  </w:footnote>
  <w:footnote w:id="3">
    <w:p w:rsidR="001D1E4A" w:rsidP="00BD1533">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BD1533">
        <w:rPr>
          <w:rFonts w:ascii="Verdana" w:hAnsi="Verdana"/>
          <w:sz w:val="18"/>
          <w:szCs w:val="18"/>
        </w:rPr>
        <w:t xml:space="preserve">Article 2 of the Protocol/Windsor Framework Inquiry </w:t>
      </w:r>
      <w:r>
        <w:fldChar w:fldCharType="begin"/>
      </w:r>
      <w:r>
        <w:instrText xml:space="preserve"> HYPERLINK "https://committees.parliament.uk/work/9589/article2-of-the-protocolwindsor-framework/" </w:instrText>
      </w:r>
      <w:r>
        <w:fldChar w:fldCharType="separate"/>
      </w:r>
      <w:r w:rsidRPr="0014152F">
        <w:rPr>
          <w:rStyle w:val="Hyperlink"/>
          <w:rFonts w:ascii="Verdana" w:hAnsi="Verdana"/>
          <w:sz w:val="18"/>
          <w:szCs w:val="18"/>
        </w:rPr>
        <w:t>https://committees.parliament.uk/work/9589/article2-of-the-protocolwindsor-framework/</w:t>
      </w:r>
      <w:r>
        <w:fldChar w:fldCharType="end"/>
      </w:r>
      <w:r>
        <w:t xml:space="preserve"> </w:t>
      </w:r>
    </w:p>
  </w:footnote>
  <w:footnote w:id="4">
    <w:p w:rsidR="00996B30"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Treaty on the Functioning of the European Union (TFEU)</w:t>
      </w:r>
      <w:r w:rsidRPr="0014152F" w:rsidR="009A51E2">
        <w:rPr>
          <w:rFonts w:ascii="Verdana" w:hAnsi="Verdana"/>
          <w:sz w:val="18"/>
          <w:szCs w:val="18"/>
        </w:rPr>
        <w:t xml:space="preserve"> </w:t>
      </w:r>
      <w:r>
        <w:fldChar w:fldCharType="begin"/>
      </w:r>
      <w:r>
        <w:instrText xml:space="preserve"> HYPERLINK "https://eur-lex.europa.eu/EN/legal-content/summary/treaty-on-the-functioning-of-the-european-union.html" </w:instrText>
      </w:r>
      <w:r>
        <w:fldChar w:fldCharType="separate"/>
      </w:r>
      <w:r w:rsidRPr="0014152F" w:rsidR="009A51E2">
        <w:rPr>
          <w:rStyle w:val="Hyperlink"/>
          <w:rFonts w:ascii="Verdana" w:hAnsi="Verdana"/>
          <w:sz w:val="18"/>
          <w:szCs w:val="18"/>
        </w:rPr>
        <w:t>https://eur-lex.europa.eu/EN/legal-content/summary/treaty-on-the-functioning-of-the-european-union.html</w:t>
      </w:r>
      <w:r>
        <w:fldChar w:fldCharType="end"/>
      </w:r>
      <w:r w:rsidRPr="0014152F" w:rsidR="009A51E2">
        <w:rPr>
          <w:rFonts w:ascii="Verdana" w:hAnsi="Verdana"/>
          <w:sz w:val="18"/>
          <w:szCs w:val="18"/>
        </w:rPr>
        <w:t xml:space="preserve"> </w:t>
      </w:r>
    </w:p>
  </w:footnote>
  <w:footnote w:id="5">
    <w:p w:rsidR="009E45D6">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01293D">
        <w:rPr>
          <w:rFonts w:ascii="Verdana" w:hAnsi="Verdana"/>
          <w:sz w:val="18"/>
          <w:szCs w:val="18"/>
        </w:rPr>
        <w:t xml:space="preserve">European Union negotiating directives for Brexit, May 2017 </w:t>
      </w:r>
      <w:r>
        <w:fldChar w:fldCharType="begin"/>
      </w:r>
      <w:r>
        <w:instrText xml:space="preserve"> HYPERLINK "https://www.consilium.europa.eu/en/press/press-releases/2017/05/22/brexit-negotiating-directives/pdf" </w:instrText>
      </w:r>
      <w:r>
        <w:fldChar w:fldCharType="separate"/>
      </w:r>
      <w:r w:rsidRPr="0014152F" w:rsidR="0026270B">
        <w:rPr>
          <w:rStyle w:val="Hyperlink"/>
          <w:rFonts w:ascii="Verdana" w:hAnsi="Verdana"/>
          <w:sz w:val="18"/>
          <w:szCs w:val="18"/>
        </w:rPr>
        <w:t>https://www.consilium.europa.eu/en/press/press-releases/2017/05/22/brexit-negotiating-directives/pdf</w:t>
      </w:r>
      <w:r>
        <w:fldChar w:fldCharType="end"/>
      </w:r>
      <w:r w:rsidR="0026270B">
        <w:t xml:space="preserve"> </w:t>
      </w:r>
    </w:p>
  </w:footnote>
  <w:footnote w:id="6">
    <w:p w:rsidR="00933500"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Joint Report from the Negotiators of the European Union and the United Kingdom Government on Progress During Phase 1 of Negotiations Under Article 50 TEU on the United Kingdom's Orderly Withdrawal from the European Union, December 2017, Para 47</w:t>
      </w:r>
      <w:r w:rsidRPr="0014152F" w:rsidR="000851C6">
        <w:rPr>
          <w:rFonts w:ascii="Verdana" w:hAnsi="Verdana"/>
          <w:sz w:val="18"/>
          <w:szCs w:val="18"/>
        </w:rPr>
        <w:t xml:space="preserve"> </w:t>
      </w:r>
      <w:r>
        <w:fldChar w:fldCharType="begin"/>
      </w:r>
      <w:r>
        <w:instrText xml:space="preserve"> HYPERLINK "https://commission.europa.eu/publications/joint-report-negotiators-european-union-and-united-kingdom-government-progress-during-phase-1_en" </w:instrText>
      </w:r>
      <w:r>
        <w:fldChar w:fldCharType="separate"/>
      </w:r>
      <w:r w:rsidRPr="0014152F" w:rsidR="000851C6">
        <w:rPr>
          <w:rStyle w:val="Hyperlink"/>
          <w:rFonts w:ascii="Verdana" w:hAnsi="Verdana"/>
          <w:sz w:val="18"/>
          <w:szCs w:val="18"/>
        </w:rPr>
        <w:t>https://commission.europa.eu/publications/joint-report-negotiators-european-union-and-united-kingdom-government-progress-during-phase-1_en</w:t>
      </w:r>
      <w:r>
        <w:fldChar w:fldCharType="end"/>
      </w:r>
      <w:r w:rsidRPr="0014152F" w:rsidR="000851C6">
        <w:rPr>
          <w:rFonts w:ascii="Verdana" w:hAnsi="Verdana"/>
          <w:sz w:val="18"/>
          <w:szCs w:val="18"/>
        </w:rPr>
        <w:t xml:space="preserve"> </w:t>
      </w:r>
    </w:p>
  </w:footnote>
  <w:footnote w:id="7">
    <w:p w:rsidR="00271B96"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933500">
        <w:rPr>
          <w:rFonts w:ascii="Verdana" w:hAnsi="Verdana"/>
          <w:sz w:val="18"/>
          <w:szCs w:val="18"/>
        </w:rPr>
        <w:t>Ibid</w:t>
      </w:r>
      <w:r w:rsidRPr="0014152F" w:rsidR="00C243A3">
        <w:rPr>
          <w:rFonts w:ascii="Verdana" w:hAnsi="Verdana"/>
          <w:sz w:val="18"/>
          <w:szCs w:val="18"/>
        </w:rPr>
        <w:t xml:space="preserve">, Para </w:t>
      </w:r>
      <w:r w:rsidRPr="0014152F" w:rsidR="009C184A">
        <w:rPr>
          <w:rFonts w:ascii="Verdana" w:hAnsi="Verdana"/>
          <w:sz w:val="18"/>
          <w:szCs w:val="18"/>
        </w:rPr>
        <w:t xml:space="preserve">53 </w:t>
      </w:r>
    </w:p>
  </w:footnote>
  <w:footnote w:id="8">
    <w:p w:rsidR="0069056F">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A45205">
        <w:rPr>
          <w:rFonts w:ascii="Verdana" w:hAnsi="Verdana"/>
          <w:sz w:val="18"/>
          <w:szCs w:val="18"/>
        </w:rPr>
        <w:t xml:space="preserve">Table of EU Directives which underpin the Rights, Safeguards and Equality of Opportunity Provisions included in the Chapter of the Belfast (‘Good Friday’) Agreement of the same name and Implementing Domestic Legislation, NIHRC, Last Updated: Tuesday, 29 July 2025 </w:t>
      </w:r>
      <w:r>
        <w:fldChar w:fldCharType="begin"/>
      </w:r>
      <w:r>
        <w:instrText xml:space="preserve"> HYPERLINK "https://nihrc.org/publication/detail/table-of-eu-directives-which-underpin-the-rights-safeguards-and-equality-of-opportunity-provisions-included-in-the-chapter-of-the-belfast-good-friday-agreement-of-the-same-name-and-implementing-domestic-legislation" </w:instrText>
      </w:r>
      <w:r>
        <w:fldChar w:fldCharType="separate"/>
      </w:r>
      <w:r w:rsidRPr="0014152F" w:rsidR="0000024B">
        <w:rPr>
          <w:rStyle w:val="Hyperlink"/>
          <w:rFonts w:ascii="Verdana" w:hAnsi="Verdana"/>
          <w:sz w:val="18"/>
          <w:szCs w:val="18"/>
        </w:rPr>
        <w:t>https://nihrc.org/publication/detail/table-of-eu-directives-which-underpin-the-rights-safeguards-and-equality-of-opportunity-provisions-included-in-the-chapter-of-the-belfast-good-friday-agreement-of-the-same-name-and-implementing-domestic-legislation</w:t>
      </w:r>
      <w:r>
        <w:fldChar w:fldCharType="end"/>
      </w:r>
      <w:r w:rsidR="0000024B">
        <w:t xml:space="preserve"> </w:t>
      </w:r>
    </w:p>
  </w:footnote>
  <w:footnote w:id="9">
    <w:p w:rsidR="009E49E4"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Equal to the Task? Investigative powers and effective enforcement of the ‘Section 75’ equality duty Jan 2018</w:t>
      </w:r>
      <w:r w:rsidRPr="0014152F" w:rsidR="00656F5A">
        <w:rPr>
          <w:rFonts w:ascii="Verdana" w:hAnsi="Verdana"/>
          <w:sz w:val="18"/>
          <w:szCs w:val="18"/>
        </w:rPr>
        <w:t xml:space="preserve">, </w:t>
      </w:r>
      <w:r>
        <w:fldChar w:fldCharType="begin"/>
      </w:r>
      <w:r>
        <w:instrText xml:space="preserve"> HYPERLINK "https://caj.org.uk/publications/reports/equal-task-investigative-powers-effective-enforcement-section-75-equality-duty-jan-2018/" </w:instrText>
      </w:r>
      <w:r>
        <w:fldChar w:fldCharType="separate"/>
      </w:r>
      <w:r w:rsidRPr="0014152F" w:rsidR="00656F5A">
        <w:rPr>
          <w:rStyle w:val="Hyperlink"/>
          <w:rFonts w:ascii="Verdana" w:hAnsi="Verdana"/>
          <w:sz w:val="18"/>
          <w:szCs w:val="18"/>
        </w:rPr>
        <w:t>https://caj.org.uk/publications/reports/equal-task-investigative-powers-effective-enforcement-section-75-equality-duty-jan-2018/</w:t>
      </w:r>
      <w:r>
        <w:fldChar w:fldCharType="end"/>
      </w:r>
      <w:r w:rsidRPr="0014152F" w:rsidR="00656F5A">
        <w:rPr>
          <w:rFonts w:ascii="Verdana" w:hAnsi="Verdana"/>
          <w:sz w:val="18"/>
          <w:szCs w:val="18"/>
        </w:rPr>
        <w:t xml:space="preserve"> </w:t>
      </w:r>
      <w:r w:rsidRPr="0014152F">
        <w:rPr>
          <w:rFonts w:ascii="Verdana" w:hAnsi="Verdana"/>
          <w:sz w:val="18"/>
          <w:szCs w:val="18"/>
        </w:rPr>
        <w:t xml:space="preserve"> </w:t>
      </w:r>
    </w:p>
  </w:footnote>
  <w:footnote w:id="10">
    <w:p w:rsidR="00F00ADB"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0113C3">
        <w:rPr>
          <w:rFonts w:ascii="Verdana" w:hAnsi="Verdana"/>
          <w:sz w:val="18"/>
          <w:szCs w:val="18"/>
        </w:rPr>
        <w:t xml:space="preserve">Gaps in Northern Ireland equality legislation, Equality Commission for Northern Ireland, </w:t>
      </w:r>
      <w:r w:rsidRPr="0014152F" w:rsidR="00982083">
        <w:rPr>
          <w:rFonts w:ascii="Verdana" w:hAnsi="Verdana"/>
          <w:sz w:val="18"/>
          <w:szCs w:val="18"/>
        </w:rPr>
        <w:t xml:space="preserve">September 2024 </w:t>
      </w:r>
      <w:r>
        <w:fldChar w:fldCharType="begin"/>
      </w:r>
      <w:r>
        <w:instrText xml:space="preserve"> HYPERLINK "https://equalityni.org/our-work/policy/law-reform/gaps-in-ni-equality-legislation" </w:instrText>
      </w:r>
      <w:r>
        <w:fldChar w:fldCharType="separate"/>
      </w:r>
      <w:r w:rsidRPr="0014152F" w:rsidR="009E49E4">
        <w:rPr>
          <w:rStyle w:val="Hyperlink"/>
          <w:rFonts w:ascii="Verdana" w:hAnsi="Verdana"/>
          <w:sz w:val="18"/>
          <w:szCs w:val="18"/>
        </w:rPr>
        <w:t>https://equalityni.org/our-work/policy/law-reform/gaps-in-ni-equality-legislation</w:t>
      </w:r>
      <w:r>
        <w:fldChar w:fldCharType="end"/>
      </w:r>
      <w:r w:rsidRPr="0014152F">
        <w:rPr>
          <w:rFonts w:ascii="Verdana" w:hAnsi="Verdana"/>
          <w:sz w:val="18"/>
          <w:szCs w:val="18"/>
        </w:rPr>
        <w:t xml:space="preserve"> </w:t>
      </w:r>
    </w:p>
  </w:footnote>
  <w:footnote w:id="11">
    <w:p w:rsidR="00714309" w:rsidRPr="0014152F" w:rsidP="00714309">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A BILL OF Rights for North</w:t>
      </w:r>
      <w:r w:rsidRPr="0014152F" w:rsidR="00F80B92">
        <w:rPr>
          <w:rFonts w:ascii="Verdana" w:hAnsi="Verdana"/>
          <w:sz w:val="18"/>
          <w:szCs w:val="18"/>
        </w:rPr>
        <w:t>e</w:t>
      </w:r>
      <w:r w:rsidRPr="0014152F">
        <w:rPr>
          <w:rFonts w:ascii="Verdana" w:hAnsi="Verdana"/>
          <w:sz w:val="18"/>
          <w:szCs w:val="18"/>
        </w:rPr>
        <w:t>rn Ireland</w:t>
      </w:r>
      <w:r w:rsidRPr="0014152F" w:rsidR="0003210F">
        <w:rPr>
          <w:rFonts w:ascii="Verdana" w:hAnsi="Verdana"/>
          <w:sz w:val="18"/>
          <w:szCs w:val="18"/>
        </w:rPr>
        <w:t>: Next Steps</w:t>
      </w:r>
      <w:r w:rsidRPr="0014152F" w:rsidR="00E5732C">
        <w:rPr>
          <w:rFonts w:ascii="Verdana" w:hAnsi="Verdana"/>
          <w:sz w:val="18"/>
          <w:szCs w:val="18"/>
        </w:rPr>
        <w:t xml:space="preserve">, </w:t>
      </w:r>
      <w:r w:rsidRPr="0014152F">
        <w:rPr>
          <w:rFonts w:ascii="Verdana" w:hAnsi="Verdana"/>
          <w:sz w:val="18"/>
          <w:szCs w:val="18"/>
        </w:rPr>
        <w:t>Response to the Northern Ireland Office</w:t>
      </w:r>
      <w:r w:rsidRPr="0014152F" w:rsidR="00E5732C">
        <w:rPr>
          <w:rFonts w:ascii="Verdana" w:hAnsi="Verdana"/>
          <w:sz w:val="18"/>
          <w:szCs w:val="18"/>
        </w:rPr>
        <w:t xml:space="preserve">, NIHRC, February 2010 </w:t>
      </w:r>
      <w:r>
        <w:fldChar w:fldCharType="begin"/>
      </w:r>
      <w:r>
        <w:instrText xml:space="preserve"> HYPERLINK "https://www.niassembly.gov.uk/globalassets/documents/committees/2017-2022/ad-hoc-bill-of-rights/other-documents/agenda-item-8d-next-steps-2010.pdf" </w:instrText>
      </w:r>
      <w:r>
        <w:fldChar w:fldCharType="separate"/>
      </w:r>
      <w:r w:rsidRPr="0014152F" w:rsidR="00F80B92">
        <w:rPr>
          <w:rStyle w:val="Hyperlink"/>
          <w:rFonts w:ascii="Verdana" w:hAnsi="Verdana"/>
          <w:sz w:val="18"/>
          <w:szCs w:val="18"/>
        </w:rPr>
        <w:t>https://www.niassembly.gov.uk/globalassets/documents/committees/2017-2022/ad-hoc-bill-of-rights/other-documents/agenda-item-8d-next-steps-2010.pdf</w:t>
      </w:r>
      <w:r>
        <w:fldChar w:fldCharType="end"/>
      </w:r>
      <w:r w:rsidRPr="0014152F" w:rsidR="00F80B92">
        <w:rPr>
          <w:rFonts w:ascii="Verdana" w:hAnsi="Verdana"/>
          <w:sz w:val="18"/>
          <w:szCs w:val="18"/>
        </w:rPr>
        <w:t xml:space="preserve"> </w:t>
      </w:r>
    </w:p>
  </w:footnote>
  <w:footnote w:id="12">
    <w:p w:rsidR="00482E37">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Northern Ireland ‘in dark ages’ on equality laws, commissioner tells MPs, October 2021, </w:t>
      </w:r>
      <w:r>
        <w:fldChar w:fldCharType="begin"/>
      </w:r>
      <w:r>
        <w:instrText xml:space="preserve"> HYPERLINK "https://www.belfasttelegraph.co.uk/news/northern-ireland/northern-ireland-in-dark-ages-on-equality-laws-commissioner-tells-mps/a/115697964.html" </w:instrText>
      </w:r>
      <w:r>
        <w:fldChar w:fldCharType="separate"/>
      </w:r>
      <w:r w:rsidRPr="0014152F" w:rsidR="00C3760B">
        <w:rPr>
          <w:rStyle w:val="Hyperlink"/>
          <w:rFonts w:ascii="Verdana" w:hAnsi="Verdana"/>
          <w:sz w:val="18"/>
          <w:szCs w:val="18"/>
        </w:rPr>
        <w:t>https://www.belfasttelegraph.co.uk/news/northern-ireland/northern-ireland-in-dark-ages-on-equality-laws-commissioner-tells-mps/a/115697964.html</w:t>
      </w:r>
      <w:r>
        <w:fldChar w:fldCharType="end"/>
      </w:r>
      <w:r w:rsidR="00C3760B">
        <w:t xml:space="preserve"> </w:t>
      </w:r>
    </w:p>
  </w:footnote>
  <w:footnote w:id="13">
    <w:p w:rsidR="001F3834"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sidR="005D3530">
        <w:rPr>
          <w:rFonts w:ascii="Verdana" w:hAnsi="Verdana"/>
          <w:sz w:val="18"/>
          <w:szCs w:val="18"/>
        </w:rPr>
        <w:t xml:space="preserve"> </w:t>
      </w:r>
      <w:r w:rsidRPr="0014152F">
        <w:rPr>
          <w:rFonts w:ascii="Verdana" w:hAnsi="Verdana"/>
          <w:sz w:val="18"/>
          <w:szCs w:val="18"/>
        </w:rPr>
        <w:t>Rights at Risk, Brexit, Human Rights and Northern Ireland</w:t>
      </w:r>
      <w:r w:rsidRPr="0014152F" w:rsidR="005D3530">
        <w:rPr>
          <w:rFonts w:ascii="Verdana" w:hAnsi="Verdana"/>
          <w:sz w:val="18"/>
          <w:szCs w:val="18"/>
        </w:rPr>
        <w:t xml:space="preserve">, January 2018 </w:t>
      </w:r>
      <w:r w:rsidRPr="0014152F">
        <w:rPr>
          <w:rFonts w:ascii="Verdana" w:hAnsi="Verdana"/>
          <w:sz w:val="18"/>
          <w:szCs w:val="18"/>
        </w:rPr>
        <w:t xml:space="preserve"> </w:t>
      </w:r>
      <w:r>
        <w:fldChar w:fldCharType="begin"/>
      </w:r>
      <w:r>
        <w:instrText xml:space="preserve"> HYPERLINK "https://www.humanrightsconsortium.org/wp-content/uploads/2018/01/RIGHTS-AT-RISK-Final.pdf" </w:instrText>
      </w:r>
      <w:r>
        <w:fldChar w:fldCharType="separate"/>
      </w:r>
      <w:r w:rsidRPr="0014152F">
        <w:rPr>
          <w:rStyle w:val="Hyperlink"/>
          <w:rFonts w:ascii="Verdana" w:hAnsi="Verdana"/>
          <w:sz w:val="18"/>
          <w:szCs w:val="18"/>
        </w:rPr>
        <w:t>https://www.humanrightsconsortium.org/wp-content/uploads/2018/01/RIGHTS-AT-RISK-Final.pdf</w:t>
      </w:r>
      <w:r>
        <w:fldChar w:fldCharType="end"/>
      </w:r>
      <w:r w:rsidRPr="0014152F">
        <w:rPr>
          <w:rFonts w:ascii="Verdana" w:hAnsi="Verdana"/>
          <w:sz w:val="18"/>
          <w:szCs w:val="18"/>
        </w:rPr>
        <w:t xml:space="preserve"> </w:t>
      </w:r>
    </w:p>
  </w:footnote>
  <w:footnote w:id="14">
    <w:p w:rsidR="003F26BF">
      <w:pPr>
        <w:pStyle w:val="FootnoteText"/>
      </w:pPr>
      <w:r w:rsidRPr="0014152F">
        <w:rPr>
          <w:rStyle w:val="FootnoteReference"/>
          <w:rFonts w:ascii="Verdana" w:hAnsi="Verdana"/>
          <w:sz w:val="18"/>
          <w:szCs w:val="18"/>
        </w:rPr>
        <w:footnoteRef/>
      </w:r>
      <w:r w:rsidRPr="0014152F" w:rsidR="00D91B1C">
        <w:rPr>
          <w:rFonts w:ascii="Verdana" w:hAnsi="Verdana"/>
          <w:sz w:val="18"/>
          <w:szCs w:val="18"/>
        </w:rPr>
        <w:t xml:space="preserve"> 11 Tory Brexiteers Opposed </w:t>
      </w:r>
      <w:r w:rsidRPr="0014152F" w:rsidR="00FD3FDA">
        <w:rPr>
          <w:rFonts w:ascii="Verdana" w:hAnsi="Verdana"/>
          <w:sz w:val="18"/>
          <w:szCs w:val="18"/>
        </w:rPr>
        <w:t>to</w:t>
      </w:r>
      <w:r w:rsidRPr="0014152F" w:rsidR="00D91B1C">
        <w:rPr>
          <w:rFonts w:ascii="Verdana" w:hAnsi="Verdana"/>
          <w:sz w:val="18"/>
          <w:szCs w:val="18"/>
        </w:rPr>
        <w:t xml:space="preserve"> </w:t>
      </w:r>
      <w:r w:rsidRPr="0014152F" w:rsidR="00FD3FDA">
        <w:rPr>
          <w:rFonts w:ascii="Verdana" w:hAnsi="Verdana"/>
          <w:sz w:val="18"/>
          <w:szCs w:val="18"/>
        </w:rPr>
        <w:t>t</w:t>
      </w:r>
      <w:r w:rsidRPr="0014152F" w:rsidR="00D91B1C">
        <w:rPr>
          <w:rFonts w:ascii="Verdana" w:hAnsi="Verdana"/>
          <w:sz w:val="18"/>
          <w:szCs w:val="18"/>
        </w:rPr>
        <w:t xml:space="preserve">he Working Time Directive, December 2017, </w:t>
      </w:r>
      <w:r w:rsidRPr="0014152F">
        <w:rPr>
          <w:rFonts w:ascii="Verdana" w:hAnsi="Verdana"/>
          <w:sz w:val="18"/>
          <w:szCs w:val="18"/>
        </w:rPr>
        <w:t xml:space="preserve"> </w:t>
      </w:r>
      <w:r>
        <w:fldChar w:fldCharType="begin"/>
      </w:r>
      <w:r>
        <w:instrText xml:space="preserve"> HYPERLINK "https://www.huffingtonpost.co.uk/entry/working-time-directive_uk_5a38f926e4b0860bf4aaee7f?_guc_consent_skip=1563271201" </w:instrText>
      </w:r>
      <w:r>
        <w:fldChar w:fldCharType="separate"/>
      </w:r>
      <w:r w:rsidRPr="0014152F">
        <w:rPr>
          <w:rStyle w:val="Hyperlink"/>
          <w:rFonts w:ascii="Verdana" w:hAnsi="Verdana"/>
          <w:sz w:val="18"/>
          <w:szCs w:val="18"/>
        </w:rPr>
        <w:t>https://www.huffingtonpost.co.uk/entry/working-time-directive_uk_5a38f926e4b0860bf4aaee7f?_guc_consent_skip=1563271201</w:t>
      </w:r>
      <w:r>
        <w:fldChar w:fldCharType="end"/>
      </w:r>
      <w:r>
        <w:t xml:space="preserve"> </w:t>
      </w:r>
    </w:p>
  </w:footnote>
  <w:footnote w:id="15">
    <w:p w:rsidR="00FD6F9B"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sidR="00573552">
        <w:rPr>
          <w:rFonts w:ascii="Verdana" w:hAnsi="Verdana"/>
          <w:sz w:val="18"/>
          <w:szCs w:val="18"/>
        </w:rPr>
        <w:t xml:space="preserve"> [2024] NIKB 11</w:t>
      </w:r>
      <w:r w:rsidRPr="0014152F">
        <w:rPr>
          <w:rFonts w:ascii="Verdana" w:hAnsi="Verdana"/>
          <w:sz w:val="18"/>
          <w:szCs w:val="18"/>
        </w:rPr>
        <w:t xml:space="preserve"> </w:t>
      </w:r>
      <w:r>
        <w:fldChar w:fldCharType="begin"/>
      </w:r>
      <w:r>
        <w:instrText xml:space="preserve"> HYPERLINK "https://www.judiciaryni.uk/files/judiciaryni/2024-03/Dillon%2C%20McEvoy%2C%20McManus%2C%20Hughes%2C%20Jordan%2C%20Gilvary%2C%20and%20Fitzsimmons%20Application.pdf" </w:instrText>
      </w:r>
      <w:r>
        <w:fldChar w:fldCharType="separate"/>
      </w:r>
      <w:r w:rsidRPr="0014152F">
        <w:rPr>
          <w:rStyle w:val="Hyperlink"/>
          <w:rFonts w:ascii="Verdana" w:hAnsi="Verdana"/>
          <w:sz w:val="18"/>
          <w:szCs w:val="18"/>
        </w:rPr>
        <w:t>https://www.judiciaryni.uk/files/judiciaryni/2024-03/Dillon%2C%20McEvoy%2C%20McManus%2C%20Hughes%2C%20Jordan%2C%20Gilvary%2C%20and%20Fitzsimmons%20Application.pdf</w:t>
      </w:r>
      <w:r>
        <w:fldChar w:fldCharType="end"/>
      </w:r>
      <w:r w:rsidRPr="0014152F">
        <w:rPr>
          <w:rFonts w:ascii="Verdana" w:hAnsi="Verdana"/>
          <w:sz w:val="18"/>
          <w:szCs w:val="18"/>
        </w:rPr>
        <w:t xml:space="preserve"> </w:t>
      </w:r>
    </w:p>
  </w:footnote>
  <w:footnote w:id="16">
    <w:p w:rsidR="008F316A">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The UK Government produced an Explainer document </w:t>
      </w:r>
      <w:r w:rsidRPr="0014152F" w:rsidR="00700608">
        <w:rPr>
          <w:rFonts w:ascii="Verdana" w:hAnsi="Verdana"/>
          <w:sz w:val="18"/>
          <w:szCs w:val="18"/>
        </w:rPr>
        <w:t xml:space="preserve">sharing these perspectives on </w:t>
      </w:r>
      <w:r w:rsidRPr="0014152F" w:rsidR="00C56DB2">
        <w:rPr>
          <w:rFonts w:ascii="Verdana" w:hAnsi="Verdana"/>
          <w:sz w:val="18"/>
          <w:szCs w:val="18"/>
        </w:rPr>
        <w:t>Article 2 that was withdrawn from its website on the day after the Dillon judgment at the supreme court.</w:t>
      </w:r>
      <w:r w:rsidR="00C56DB2">
        <w:t xml:space="preserve"> </w:t>
      </w:r>
    </w:p>
  </w:footnote>
  <w:footnote w:id="17">
    <w:p w:rsidR="00714282" w:rsidRPr="0014152F" w:rsidP="00714282">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Pr>
          <w:rFonts w:ascii="Verdana" w:hAnsi="Verdana"/>
          <w:sz w:val="18"/>
          <w:szCs w:val="18"/>
        </w:rPr>
        <w:t xml:space="preserve">In the matter of an application by Martina Dillon, John McEvoy, Brigid Hughes and Lynda McManus </w:t>
      </w:r>
    </w:p>
    <w:p w:rsidR="00D86755" w:rsidRPr="0014152F" w:rsidP="00714282">
      <w:pPr>
        <w:pStyle w:val="FootnoteText"/>
        <w:rPr>
          <w:rFonts w:ascii="Verdana" w:hAnsi="Verdana"/>
          <w:sz w:val="18"/>
          <w:szCs w:val="18"/>
        </w:rPr>
      </w:pPr>
      <w:r w:rsidRPr="0014152F">
        <w:rPr>
          <w:rFonts w:ascii="Verdana" w:hAnsi="Verdana"/>
          <w:sz w:val="18"/>
          <w:szCs w:val="18"/>
        </w:rPr>
        <w:t xml:space="preserve">for Judicial Review (Respondents); In the matter of an application by Martina Dillon, John McEvoy, Brigid Hughes and Lynda McManus for Judicial Review (Appellants) No 2, Para 118.  </w:t>
      </w:r>
      <w:r>
        <w:fldChar w:fldCharType="begin"/>
      </w:r>
      <w:r>
        <w:instrText xml:space="preserve"> HYPERLINK "https://supremecourt.uk/uploads/uksc_2025_0013_0013_A_judgment_8710a48910.pdf" </w:instrText>
      </w:r>
      <w:r>
        <w:fldChar w:fldCharType="separate"/>
      </w:r>
      <w:r w:rsidRPr="0014152F">
        <w:rPr>
          <w:rStyle w:val="Hyperlink"/>
          <w:rFonts w:ascii="Verdana" w:hAnsi="Verdana"/>
          <w:sz w:val="18"/>
          <w:szCs w:val="18"/>
        </w:rPr>
        <w:t>https://supremecourt.uk/uploads/uksc_2025_0013_0013_A_judgment_8710a48910.pdf</w:t>
      </w:r>
      <w:r>
        <w:fldChar w:fldCharType="end"/>
      </w:r>
      <w:r w:rsidRPr="0014152F">
        <w:rPr>
          <w:rFonts w:ascii="Verdana" w:hAnsi="Verdana"/>
          <w:sz w:val="18"/>
          <w:szCs w:val="18"/>
        </w:rPr>
        <w:t xml:space="preserve"> </w:t>
      </w:r>
    </w:p>
  </w:footnote>
  <w:footnote w:id="18">
    <w:p w:rsidR="00EA1F22"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Appellant</w:t>
      </w:r>
      <w:r w:rsidRPr="0014152F" w:rsidR="00CE5CD5">
        <w:rPr>
          <w:rFonts w:ascii="Verdana" w:hAnsi="Verdana"/>
          <w:sz w:val="18"/>
          <w:szCs w:val="18"/>
        </w:rPr>
        <w:t>’s written case, Secretary of State, 13</w:t>
      </w:r>
      <w:r w:rsidRPr="0014152F" w:rsidR="00CE5CD5">
        <w:rPr>
          <w:rFonts w:ascii="Verdana" w:hAnsi="Verdana"/>
          <w:sz w:val="18"/>
          <w:szCs w:val="18"/>
          <w:vertAlign w:val="superscript"/>
        </w:rPr>
        <w:t>th</w:t>
      </w:r>
      <w:r w:rsidRPr="0014152F" w:rsidR="00CE5CD5">
        <w:rPr>
          <w:rFonts w:ascii="Verdana" w:hAnsi="Verdana"/>
          <w:sz w:val="18"/>
          <w:szCs w:val="18"/>
        </w:rPr>
        <w:t xml:space="preserve"> October 2025, </w:t>
      </w:r>
      <w:r>
        <w:fldChar w:fldCharType="begin"/>
      </w:r>
      <w:r>
        <w:instrText xml:space="preserve"> HYPERLINK "https://www.supremecourt.uk/cases/uksc-2025-0013" </w:instrText>
      </w:r>
      <w:r>
        <w:fldChar w:fldCharType="separate"/>
      </w:r>
      <w:r w:rsidRPr="0014152F" w:rsidR="00CE5CD5">
        <w:rPr>
          <w:rStyle w:val="Hyperlink"/>
          <w:rFonts w:ascii="Verdana" w:hAnsi="Verdana"/>
          <w:sz w:val="18"/>
          <w:szCs w:val="18"/>
        </w:rPr>
        <w:t>https://www.supremecourt.uk/cases/uksc-2025-0013</w:t>
      </w:r>
      <w:r>
        <w:fldChar w:fldCharType="end"/>
      </w:r>
      <w:r w:rsidRPr="0014152F">
        <w:rPr>
          <w:rFonts w:ascii="Verdana" w:hAnsi="Verdana"/>
          <w:sz w:val="18"/>
          <w:szCs w:val="18"/>
        </w:rPr>
        <w:t xml:space="preserve"> </w:t>
      </w:r>
    </w:p>
  </w:footnote>
  <w:footnote w:id="19">
    <w:p w:rsidR="00CE63D5">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B80A86">
        <w:rPr>
          <w:rFonts w:ascii="Verdana" w:hAnsi="Verdana"/>
          <w:sz w:val="18"/>
          <w:szCs w:val="18"/>
        </w:rPr>
        <w:t>[2022] NIQB 9, 8</w:t>
      </w:r>
      <w:r w:rsidRPr="0014152F" w:rsidR="00B80A86">
        <w:rPr>
          <w:rFonts w:ascii="Verdana" w:hAnsi="Verdana"/>
          <w:sz w:val="18"/>
          <w:szCs w:val="18"/>
          <w:vertAlign w:val="superscript"/>
        </w:rPr>
        <w:t xml:space="preserve"> </w:t>
      </w:r>
      <w:r w:rsidRPr="0014152F" w:rsidR="00B80A86">
        <w:rPr>
          <w:rFonts w:ascii="Verdana" w:hAnsi="Verdana"/>
          <w:sz w:val="18"/>
          <w:szCs w:val="18"/>
        </w:rPr>
        <w:t xml:space="preserve">February 2022   </w:t>
      </w:r>
      <w:r>
        <w:fldChar w:fldCharType="begin"/>
      </w:r>
      <w:r>
        <w:instrText xml:space="preserve"> HYPERLINK "https://www.judiciaryni.uk/files/judiciaryni/decisions/Spuc%20%28Society%20for%20the%20Protection%20of%20Unborn%20Children%29%20Pro%E2%80%93Life%20LTD%27s%20Application_0.pdf" </w:instrText>
      </w:r>
      <w:r>
        <w:fldChar w:fldCharType="separate"/>
      </w:r>
      <w:r w:rsidRPr="0014152F">
        <w:rPr>
          <w:rStyle w:val="Hyperlink"/>
          <w:rFonts w:ascii="Verdana" w:hAnsi="Verdana"/>
          <w:sz w:val="18"/>
          <w:szCs w:val="18"/>
        </w:rPr>
        <w:t>https://www.judiciaryni.uk/files/judiciaryni/decisions/Spuc%20%28Society%20for%20the%20Protection%20of%20Unborn%20Children%29%20Pro%E2%80%93Life%20LTD%27s%20Application_0.pdf</w:t>
      </w:r>
      <w:r>
        <w:fldChar w:fldCharType="end"/>
      </w:r>
      <w:r>
        <w:t xml:space="preserve"> </w:t>
      </w:r>
    </w:p>
  </w:footnote>
  <w:footnote w:id="20">
    <w:p w:rsidR="00E87382"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sidR="00B01D28">
        <w:rPr>
          <w:rFonts w:ascii="Verdana" w:hAnsi="Verdana"/>
          <w:sz w:val="18"/>
          <w:szCs w:val="18"/>
        </w:rPr>
        <w:t xml:space="preserve">The Belfast Agreement, 10 April 1998, </w:t>
      </w:r>
      <w:r w:rsidRPr="0014152F" w:rsidR="00792EF9">
        <w:rPr>
          <w:rFonts w:ascii="Verdana" w:hAnsi="Verdana"/>
          <w:sz w:val="18"/>
          <w:szCs w:val="18"/>
        </w:rPr>
        <w:t xml:space="preserve">Rights Safeguards and Equality of Opportunity, Para 1 </w:t>
      </w:r>
      <w:r w:rsidRPr="0014152F">
        <w:rPr>
          <w:rFonts w:ascii="Verdana" w:hAnsi="Verdana"/>
          <w:sz w:val="18"/>
          <w:szCs w:val="18"/>
        </w:rPr>
        <w:t xml:space="preserve"> </w:t>
      </w:r>
      <w:r>
        <w:fldChar w:fldCharType="begin"/>
      </w:r>
      <w:r>
        <w:instrText xml:space="preserve"> HYPERLINK "https://www.gov.uk/government/publications/the-belfast-agreement" </w:instrText>
      </w:r>
      <w:r>
        <w:fldChar w:fldCharType="separate"/>
      </w:r>
      <w:r w:rsidRPr="0014152F">
        <w:rPr>
          <w:rStyle w:val="Hyperlink"/>
          <w:rFonts w:ascii="Verdana" w:hAnsi="Verdana"/>
          <w:sz w:val="18"/>
          <w:szCs w:val="18"/>
        </w:rPr>
        <w:t>https://www.gov.uk/government/publications/the-belfast-agreement</w:t>
      </w:r>
      <w:r>
        <w:fldChar w:fldCharType="end"/>
      </w:r>
      <w:r w:rsidRPr="0014152F">
        <w:rPr>
          <w:rFonts w:ascii="Verdana" w:hAnsi="Verdana"/>
          <w:sz w:val="18"/>
          <w:szCs w:val="18"/>
        </w:rPr>
        <w:t xml:space="preserve"> </w:t>
      </w:r>
    </w:p>
  </w:footnote>
  <w:footnote w:id="21">
    <w:p w:rsidR="00E10DD1">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Dillon</w:t>
      </w:r>
      <w:r w:rsidRPr="0014152F" w:rsidR="00192370">
        <w:rPr>
          <w:rFonts w:ascii="Verdana" w:hAnsi="Verdana"/>
          <w:sz w:val="18"/>
          <w:szCs w:val="18"/>
        </w:rPr>
        <w:t xml:space="preserve"> Supreme Court</w:t>
      </w:r>
      <w:r w:rsidRPr="0014152F">
        <w:rPr>
          <w:rFonts w:ascii="Verdana" w:hAnsi="Verdana"/>
          <w:sz w:val="18"/>
          <w:szCs w:val="18"/>
        </w:rPr>
        <w:t xml:space="preserve"> Judgment</w:t>
      </w:r>
      <w:r w:rsidRPr="0014152F" w:rsidR="00192370">
        <w:rPr>
          <w:rFonts w:ascii="Verdana" w:hAnsi="Verdana"/>
          <w:sz w:val="18"/>
          <w:szCs w:val="18"/>
        </w:rPr>
        <w:t xml:space="preserve">, </w:t>
      </w:r>
      <w:r w:rsidRPr="0014152F" w:rsidR="00817D1B">
        <w:rPr>
          <w:rFonts w:ascii="Verdana" w:hAnsi="Verdana"/>
          <w:sz w:val="18"/>
          <w:szCs w:val="18"/>
        </w:rPr>
        <w:t xml:space="preserve">7 May 2026, </w:t>
      </w:r>
      <w:r w:rsidRPr="0014152F" w:rsidR="00192370">
        <w:rPr>
          <w:rFonts w:ascii="Verdana" w:hAnsi="Verdana"/>
          <w:sz w:val="18"/>
          <w:szCs w:val="18"/>
        </w:rPr>
        <w:t xml:space="preserve">Para 112 </w:t>
      </w:r>
      <w:r>
        <w:fldChar w:fldCharType="begin"/>
      </w:r>
      <w:r>
        <w:instrText xml:space="preserve"> HYPERLINK "https://supremecourt.uk/uploads/uksc_2025_0013_0013_A_judgment_8710a48910.pdf" </w:instrText>
      </w:r>
      <w:r>
        <w:fldChar w:fldCharType="separate"/>
      </w:r>
      <w:r w:rsidRPr="0014152F" w:rsidR="00192370">
        <w:rPr>
          <w:rStyle w:val="Hyperlink"/>
          <w:rFonts w:ascii="Verdana" w:hAnsi="Verdana"/>
          <w:sz w:val="18"/>
          <w:szCs w:val="18"/>
        </w:rPr>
        <w:t>https://supremecourt.uk/uploads/uksc_2025_0013_0013_A_judgment_8710a48910.pdf</w:t>
      </w:r>
      <w:r>
        <w:fldChar w:fldCharType="end"/>
      </w:r>
      <w:r w:rsidR="00192370">
        <w:t xml:space="preserve"> </w:t>
      </w:r>
    </w:p>
  </w:footnote>
  <w:footnote w:id="22">
    <w:p w:rsidR="004F5FFF" w:rsidRPr="0014152F" w:rsidP="00952C13">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952C13">
        <w:rPr>
          <w:rFonts w:ascii="Verdana" w:hAnsi="Verdana"/>
          <w:sz w:val="18"/>
          <w:szCs w:val="18"/>
        </w:rPr>
        <w:t xml:space="preserve">In the matter of </w:t>
      </w:r>
      <w:r w:rsidRPr="0014152F" w:rsidR="008070ED">
        <w:rPr>
          <w:rFonts w:ascii="Verdana" w:hAnsi="Verdana"/>
          <w:sz w:val="18"/>
          <w:szCs w:val="18"/>
        </w:rPr>
        <w:t xml:space="preserve">an Application by Martina Dillon, John McEvoy and Lynda McManus for </w:t>
      </w:r>
      <w:r w:rsidRPr="0014152F" w:rsidR="00E5655B">
        <w:rPr>
          <w:rFonts w:ascii="Verdana" w:hAnsi="Verdana"/>
          <w:sz w:val="18"/>
          <w:szCs w:val="18"/>
        </w:rPr>
        <w:t>Judicial</w:t>
      </w:r>
      <w:r w:rsidRPr="0014152F" w:rsidR="008070ED">
        <w:rPr>
          <w:rFonts w:ascii="Verdana" w:hAnsi="Verdana"/>
          <w:sz w:val="18"/>
          <w:szCs w:val="18"/>
        </w:rPr>
        <w:t xml:space="preserve"> Review</w:t>
      </w:r>
      <w:r w:rsidRPr="0014152F" w:rsidR="009C4E80">
        <w:rPr>
          <w:rFonts w:ascii="Verdana" w:hAnsi="Verdana"/>
          <w:sz w:val="18"/>
          <w:szCs w:val="18"/>
        </w:rPr>
        <w:t xml:space="preserve">, </w:t>
      </w:r>
      <w:r w:rsidRPr="0014152F" w:rsidR="00E5655B">
        <w:rPr>
          <w:rFonts w:ascii="Verdana" w:hAnsi="Verdana"/>
          <w:sz w:val="18"/>
          <w:szCs w:val="18"/>
        </w:rPr>
        <w:t xml:space="preserve">Belfast High Court, </w:t>
      </w:r>
      <w:r w:rsidRPr="0014152F" w:rsidR="009C4E80">
        <w:rPr>
          <w:rFonts w:ascii="Verdana" w:hAnsi="Verdana"/>
          <w:sz w:val="18"/>
          <w:szCs w:val="18"/>
        </w:rPr>
        <w:t>28 February 2024, Para 56</w:t>
      </w:r>
      <w:r w:rsidRPr="0014152F" w:rsidR="00E5655B">
        <w:rPr>
          <w:rFonts w:ascii="Verdana" w:hAnsi="Verdana"/>
          <w:sz w:val="18"/>
          <w:szCs w:val="18"/>
        </w:rPr>
        <w:t xml:space="preserve">1 </w:t>
      </w:r>
      <w:r>
        <w:fldChar w:fldCharType="begin"/>
      </w:r>
      <w:r>
        <w:instrText xml:space="preserve"> HYPERLINK "https://www.judiciaryni.uk/files/judiciaryni/2024-03/Dillon%2C%20McEvoy%2C%20McManus%2C%20Hughes%2C%20Jordan%2C%20Gilvary%2C%20and%20Fitzsimmons%20Application.pdf" </w:instrText>
      </w:r>
      <w:r>
        <w:fldChar w:fldCharType="separate"/>
      </w:r>
      <w:r w:rsidRPr="0014152F">
        <w:rPr>
          <w:rStyle w:val="Hyperlink"/>
          <w:rFonts w:ascii="Verdana" w:hAnsi="Verdana"/>
          <w:sz w:val="18"/>
          <w:szCs w:val="18"/>
        </w:rPr>
        <w:t>https://www.judiciaryni.uk/files/judiciaryni/2024-03/Dillon%2C%20McEvoy%2C%20McManus%2C%20Hughes%2C%20Jordan%2C%20Gilvary%2C%20and%20Fitzsimmons%20Application.pdf</w:t>
      </w:r>
      <w:r>
        <w:fldChar w:fldCharType="end"/>
      </w:r>
      <w:r w:rsidRPr="0014152F">
        <w:rPr>
          <w:rFonts w:ascii="Verdana" w:hAnsi="Verdana"/>
          <w:sz w:val="18"/>
          <w:szCs w:val="18"/>
        </w:rPr>
        <w:t xml:space="preserve"> </w:t>
      </w:r>
    </w:p>
  </w:footnote>
  <w:footnote w:id="23">
    <w:p w:rsidR="005529A0"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Pr>
          <w:rFonts w:ascii="Verdana" w:hAnsi="Verdana"/>
          <w:sz w:val="18"/>
          <w:szCs w:val="18"/>
        </w:rPr>
        <w:t xml:space="preserve">Dillon Supreme Court Judgment, 7 May 2026, Para 119 </w:t>
      </w:r>
      <w:r>
        <w:fldChar w:fldCharType="begin"/>
      </w:r>
      <w:r>
        <w:instrText xml:space="preserve"> HYPERLINK "https://supremecourt.uk/uploads/uksc_2025_0013_0013_A_judgment_8710a48910.pdf" </w:instrText>
      </w:r>
      <w:r>
        <w:fldChar w:fldCharType="separate"/>
      </w:r>
      <w:r w:rsidRPr="0014152F">
        <w:rPr>
          <w:rStyle w:val="Hyperlink"/>
          <w:rFonts w:ascii="Verdana" w:hAnsi="Verdana"/>
          <w:sz w:val="18"/>
          <w:szCs w:val="18"/>
        </w:rPr>
        <w:t>https://supremecourt.uk/uploads/uksc_2025_0013_0013_A_judgment_8710a48910.pdf</w:t>
      </w:r>
      <w:r>
        <w:fldChar w:fldCharType="end"/>
      </w:r>
    </w:p>
  </w:footnote>
  <w:footnote w:id="24">
    <w:p w:rsidR="00DD3FAA">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w:t>
      </w:r>
      <w:r w:rsidRPr="0014152F" w:rsidR="00470574">
        <w:rPr>
          <w:rFonts w:ascii="Verdana" w:hAnsi="Verdana"/>
          <w:sz w:val="18"/>
          <w:szCs w:val="18"/>
        </w:rPr>
        <w:t xml:space="preserve">Professor Colin Murray, </w:t>
      </w:r>
      <w:r w:rsidRPr="0014152F">
        <w:rPr>
          <w:rFonts w:ascii="Verdana" w:hAnsi="Verdana"/>
          <w:sz w:val="18"/>
          <w:szCs w:val="18"/>
        </w:rPr>
        <w:t xml:space="preserve">Hollowing out Northern Ireland’s Post-Brexit Rights Protections in Re Dillon [2026] UKSC 15, 14 May 2026, </w:t>
      </w:r>
      <w:r>
        <w:fldChar w:fldCharType="begin"/>
      </w:r>
      <w:r>
        <w:instrText xml:space="preserve"> HYPERLINK "https://ukconstitutionallaw.org/2026/05/14/colin-murray-hollowing-out-northern-irelands-post-brexit-rights-protections-in-re-dillon-2026-uksc-15/" </w:instrText>
      </w:r>
      <w:r>
        <w:fldChar w:fldCharType="separate"/>
      </w:r>
      <w:r w:rsidRPr="0014152F" w:rsidR="00C55469">
        <w:rPr>
          <w:rStyle w:val="Hyperlink"/>
          <w:rFonts w:ascii="Verdana" w:hAnsi="Verdana"/>
          <w:sz w:val="18"/>
          <w:szCs w:val="18"/>
        </w:rPr>
        <w:t>https://ukconstitutionallaw.org/2026/05/14/colin-murray-hollowing-out-northern-irelands-post-brexit-rights-protections-in-re-dillon-2026-uksc-15/</w:t>
      </w:r>
      <w:r>
        <w:fldChar w:fldCharType="end"/>
      </w:r>
      <w:r w:rsidR="00C55469">
        <w:t xml:space="preserve"> </w:t>
      </w:r>
    </w:p>
  </w:footnote>
  <w:footnote w:id="25">
    <w:p w:rsidR="005529A0"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The Belfast Agreement, 10 April 1998, Declaration of Support   </w:t>
      </w:r>
      <w:r>
        <w:fldChar w:fldCharType="begin"/>
      </w:r>
      <w:r>
        <w:instrText xml:space="preserve"> HYPERLINK "https://www.gov.uk/government/publications/the-belfast-agreement" </w:instrText>
      </w:r>
      <w:r>
        <w:fldChar w:fldCharType="separate"/>
      </w:r>
      <w:r w:rsidRPr="0014152F">
        <w:rPr>
          <w:rStyle w:val="Hyperlink"/>
          <w:rFonts w:ascii="Verdana" w:hAnsi="Verdana"/>
          <w:sz w:val="18"/>
          <w:szCs w:val="18"/>
        </w:rPr>
        <w:t>https://www.gov.uk/government/publications/the-belfast-agreement</w:t>
      </w:r>
      <w:r>
        <w:fldChar w:fldCharType="end"/>
      </w:r>
      <w:r w:rsidRPr="0014152F">
        <w:rPr>
          <w:rFonts w:ascii="Verdana" w:hAnsi="Verdana"/>
          <w:sz w:val="18"/>
          <w:szCs w:val="18"/>
        </w:rPr>
        <w:t xml:space="preserve"> </w:t>
      </w:r>
    </w:p>
  </w:footnote>
  <w:footnote w:id="26">
    <w:p w:rsidR="00E61EC5">
      <w:pPr>
        <w:pStyle w:val="FootnoteText"/>
      </w:pPr>
      <w:r w:rsidRPr="0014152F">
        <w:rPr>
          <w:rStyle w:val="FootnoteReference"/>
          <w:rFonts w:ascii="Verdana" w:hAnsi="Verdana"/>
          <w:sz w:val="18"/>
          <w:szCs w:val="18"/>
        </w:rPr>
        <w:footnoteRef/>
      </w:r>
      <w:r w:rsidRPr="0014152F">
        <w:rPr>
          <w:rFonts w:ascii="Verdana" w:hAnsi="Verdana"/>
          <w:sz w:val="18"/>
          <w:szCs w:val="18"/>
        </w:rPr>
        <w:t xml:space="preserve"> Dillon Supreme Court Judgment, 7 May 2026, Para 118 </w:t>
      </w:r>
      <w:r>
        <w:fldChar w:fldCharType="begin"/>
      </w:r>
      <w:r>
        <w:instrText xml:space="preserve"> HYPERLINK "https://supremecourt.uk/uploads/uksc_2025_0013_0013_A_judgment_8710a48910.pdf" </w:instrText>
      </w:r>
      <w:r>
        <w:fldChar w:fldCharType="separate"/>
      </w:r>
      <w:r w:rsidRPr="0014152F" w:rsidR="004902BE">
        <w:rPr>
          <w:rStyle w:val="Hyperlink"/>
          <w:rFonts w:ascii="Verdana" w:hAnsi="Verdana"/>
          <w:sz w:val="18"/>
          <w:szCs w:val="18"/>
        </w:rPr>
        <w:t>https://supremecourt.uk/uploads/uksc_2025_0013_0013_A_judgment_8710a48910.pdf</w:t>
      </w:r>
      <w:r>
        <w:fldChar w:fldCharType="end"/>
      </w:r>
      <w:r w:rsidR="004902BE">
        <w:t xml:space="preserve"> </w:t>
      </w:r>
    </w:p>
  </w:footnote>
  <w:footnote w:id="27">
    <w:p w:rsidR="00254E6B" w:rsidRPr="0014152F">
      <w:pPr>
        <w:pStyle w:val="FootnoteText"/>
        <w:rPr>
          <w:rFonts w:ascii="Verdana" w:hAnsi="Verdana"/>
          <w:sz w:val="18"/>
          <w:szCs w:val="18"/>
        </w:rPr>
      </w:pPr>
      <w:r w:rsidRPr="0014152F">
        <w:rPr>
          <w:rStyle w:val="FootnoteReference"/>
          <w:rFonts w:ascii="Verdana" w:hAnsi="Verdana"/>
          <w:sz w:val="18"/>
          <w:szCs w:val="18"/>
        </w:rPr>
        <w:footnoteRef/>
      </w:r>
      <w:r w:rsidRPr="0014152F">
        <w:rPr>
          <w:rFonts w:ascii="Verdana" w:hAnsi="Verdana"/>
          <w:sz w:val="18"/>
          <w:szCs w:val="18"/>
        </w:rPr>
        <w:t xml:space="preserve"> Hollowing out Northern Ireland’s Post-Brexit Rights Protections in Re Dillon [2026] UKSC 15, 14 May 2026, </w:t>
      </w:r>
      <w:r>
        <w:fldChar w:fldCharType="begin"/>
      </w:r>
      <w:r>
        <w:instrText xml:space="preserve"> HYPERLINK "https://ukconstitutionallaw.org/2026/05/14/colin-murray-hollowing-out-northern-irelands-post-brexit-rights-protections-in-re-dillon-2026-uksc-15/" </w:instrText>
      </w:r>
      <w:r>
        <w:fldChar w:fldCharType="separate"/>
      </w:r>
      <w:r w:rsidRPr="0014152F" w:rsidR="00417024">
        <w:rPr>
          <w:rStyle w:val="Hyperlink"/>
          <w:rFonts w:ascii="Verdana" w:hAnsi="Verdana"/>
          <w:sz w:val="18"/>
          <w:szCs w:val="18"/>
        </w:rPr>
        <w:t>https://ukconstitutionallaw.org/2026/05/14/colin-murray-hollowing-out-northern-irelands-post-brexit-rights-protections-in-re-dillon-2026-uksc-15/</w:t>
      </w:r>
      <w:r>
        <w:fldChar w:fldCharType="end"/>
      </w:r>
      <w:r w:rsidRPr="0014152F" w:rsidR="00417024">
        <w:rPr>
          <w:rFonts w:ascii="Verdana" w:hAnsi="Verdana"/>
          <w:sz w:val="18"/>
          <w:szCs w:val="18"/>
        </w:rPr>
        <w:t xml:space="preserve"> </w:t>
      </w:r>
    </w:p>
  </w:footnote>
  <w:footnote w:id="28">
    <w:p w:rsidR="00BF65C4" w:rsidRPr="0025417A">
      <w:pPr>
        <w:pStyle w:val="FootnoteText"/>
        <w:rPr>
          <w:rFonts w:ascii="Verdana" w:hAnsi="Verdana"/>
          <w:sz w:val="18"/>
          <w:szCs w:val="18"/>
        </w:rPr>
      </w:pPr>
      <w:r w:rsidRPr="0025417A">
        <w:rPr>
          <w:rStyle w:val="FootnoteReference"/>
          <w:rFonts w:ascii="Verdana" w:hAnsi="Verdana"/>
          <w:sz w:val="18"/>
          <w:szCs w:val="18"/>
        </w:rPr>
        <w:footnoteRef/>
      </w:r>
      <w:r w:rsidRPr="0025417A">
        <w:rPr>
          <w:rFonts w:ascii="Verdana" w:hAnsi="Verdana"/>
          <w:sz w:val="18"/>
          <w:szCs w:val="18"/>
        </w:rPr>
        <w:t xml:space="preserve"> Standards for equality bodies in the field of equal treatment and equal opportunities, </w:t>
      </w:r>
      <w:r>
        <w:fldChar w:fldCharType="begin"/>
      </w:r>
      <w:r>
        <w:instrText xml:space="preserve"> HYPERLINK "https://eur-lex.europa.eu/EN/legal-content/summary/standards-for-equality-bodies-in-the-field-of-equal-treatment-and-equal-opportunities.html" </w:instrText>
      </w:r>
      <w:r>
        <w:fldChar w:fldCharType="separate"/>
      </w:r>
      <w:r w:rsidRPr="0025417A" w:rsidR="00857068">
        <w:rPr>
          <w:rStyle w:val="Hyperlink"/>
          <w:rFonts w:ascii="Verdana" w:hAnsi="Verdana"/>
          <w:sz w:val="18"/>
          <w:szCs w:val="18"/>
        </w:rPr>
        <w:t>https://eur-lex.europa.eu/EN/legal-content/summary/standards-for-equality-bodies-in-the-field-of-equal-treatment-and-equal-opportunities.html</w:t>
      </w:r>
      <w:r>
        <w:fldChar w:fldCharType="end"/>
      </w:r>
      <w:r w:rsidRPr="0025417A" w:rsidR="00857068">
        <w:rPr>
          <w:rFonts w:ascii="Verdana" w:hAnsi="Verdana"/>
          <w:sz w:val="18"/>
          <w:szCs w:val="18"/>
        </w:rPr>
        <w:t xml:space="preserve"> </w:t>
      </w:r>
    </w:p>
  </w:footnote>
  <w:footnote w:id="29">
    <w:p w:rsidR="00435AA8" w:rsidRPr="0025417A">
      <w:pPr>
        <w:pStyle w:val="FootnoteText"/>
        <w:rPr>
          <w:rFonts w:ascii="Verdana" w:hAnsi="Verdana"/>
          <w:sz w:val="18"/>
          <w:szCs w:val="18"/>
        </w:rPr>
      </w:pPr>
      <w:r w:rsidRPr="0025417A">
        <w:rPr>
          <w:rStyle w:val="FootnoteReference"/>
          <w:rFonts w:ascii="Verdana" w:hAnsi="Verdana"/>
          <w:sz w:val="18"/>
          <w:szCs w:val="18"/>
        </w:rPr>
        <w:footnoteRef/>
      </w:r>
      <w:r w:rsidRPr="0025417A">
        <w:rPr>
          <w:rFonts w:ascii="Verdana" w:hAnsi="Verdana"/>
          <w:sz w:val="18"/>
          <w:szCs w:val="18"/>
        </w:rPr>
        <w:t xml:space="preserve"> EU Pay Transparency Directive</w:t>
      </w:r>
      <w:r w:rsidRPr="0025417A" w:rsidR="002416E8">
        <w:rPr>
          <w:rFonts w:ascii="Verdana" w:hAnsi="Verdana"/>
          <w:sz w:val="18"/>
          <w:szCs w:val="18"/>
        </w:rPr>
        <w:t xml:space="preserve">, </w:t>
      </w:r>
      <w:r>
        <w:fldChar w:fldCharType="begin"/>
      </w:r>
      <w:r>
        <w:instrText xml:space="preserve"> HYPERLINK "https://eur-lex.europa.eu/eli/dir/2023/970/oj/eng" </w:instrText>
      </w:r>
      <w:r>
        <w:fldChar w:fldCharType="separate"/>
      </w:r>
      <w:r w:rsidRPr="0025417A" w:rsidR="002416E8">
        <w:rPr>
          <w:rStyle w:val="Hyperlink"/>
          <w:rFonts w:ascii="Verdana" w:hAnsi="Verdana"/>
          <w:sz w:val="18"/>
          <w:szCs w:val="18"/>
        </w:rPr>
        <w:t>https://eur-lex.europa.eu/eli/dir/2023/970/oj/eng</w:t>
      </w:r>
      <w:r>
        <w:fldChar w:fldCharType="end"/>
      </w:r>
      <w:r w:rsidRPr="0025417A">
        <w:rPr>
          <w:rFonts w:ascii="Verdana" w:hAnsi="Verdana"/>
          <w:sz w:val="18"/>
          <w:szCs w:val="18"/>
        </w:rPr>
        <w:t xml:space="preserve"> </w:t>
      </w:r>
    </w:p>
  </w:footnote>
  <w:footnote w:id="30">
    <w:p w:rsidR="002335C0" w:rsidP="004B1F04">
      <w:pPr>
        <w:pStyle w:val="FootnoteText"/>
      </w:pPr>
      <w:r w:rsidRPr="0025417A">
        <w:rPr>
          <w:rStyle w:val="FootnoteReference"/>
          <w:rFonts w:ascii="Verdana" w:hAnsi="Verdana"/>
          <w:sz w:val="18"/>
          <w:szCs w:val="18"/>
        </w:rPr>
        <w:footnoteRef/>
      </w:r>
      <w:r w:rsidRPr="0025417A" w:rsidR="004B1F04">
        <w:rPr>
          <w:rFonts w:ascii="Verdana" w:hAnsi="Verdana"/>
          <w:sz w:val="18"/>
          <w:szCs w:val="18"/>
        </w:rPr>
        <w:t>ECNI and NIHRC Briefing Paper:  The EU Pay Transparency Directive:  The UK Government’s dynamic alignment obligations relating to Windsor Framework Article 2, March 2024</w:t>
      </w:r>
      <w:r w:rsidRPr="0025417A">
        <w:rPr>
          <w:rFonts w:ascii="Verdana" w:hAnsi="Verdana"/>
          <w:sz w:val="18"/>
          <w:szCs w:val="18"/>
        </w:rPr>
        <w:t xml:space="preserve"> </w:t>
      </w:r>
      <w:r>
        <w:fldChar w:fldCharType="begin"/>
      </w:r>
      <w:r>
        <w:instrText xml:space="preserve"> HYPERLINK "https://nihrc.org/assets/uploads/publications/ECNI_NIHRC_Briefing-paper_Pay-Transparency-Directive_4-March-2024.pdf" </w:instrText>
      </w:r>
      <w:r>
        <w:fldChar w:fldCharType="separate"/>
      </w:r>
      <w:r w:rsidRPr="0025417A">
        <w:rPr>
          <w:rStyle w:val="Hyperlink"/>
          <w:rFonts w:ascii="Verdana" w:hAnsi="Verdana"/>
          <w:sz w:val="18"/>
          <w:szCs w:val="18"/>
        </w:rPr>
        <w:t>https://nihrc.org/assets/uploads/publications/ECNI_NIHRC_Briefing-paper_Pay-Transparency-Directive_4-March-2024.pdf</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2D348F"/>
    <w:multiLevelType w:val="hybridMultilevel"/>
    <w:tmpl w:val="3A6492D4"/>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E7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4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4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4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4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4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4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4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4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4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4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4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4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4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40D"/>
    <w:rPr>
      <w:rFonts w:eastAsiaTheme="majorEastAsia" w:cstheme="majorBidi"/>
      <w:color w:val="272727" w:themeColor="text1" w:themeTint="D8"/>
    </w:rPr>
  </w:style>
  <w:style w:type="paragraph" w:styleId="Title">
    <w:name w:val="Title"/>
    <w:basedOn w:val="Normal"/>
    <w:next w:val="Normal"/>
    <w:link w:val="TitleChar"/>
    <w:uiPriority w:val="10"/>
    <w:qFormat/>
    <w:rsid w:val="00CE7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4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4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40D"/>
    <w:pPr>
      <w:spacing w:before="160"/>
      <w:jc w:val="center"/>
    </w:pPr>
    <w:rPr>
      <w:i/>
      <w:iCs/>
      <w:color w:val="404040" w:themeColor="text1" w:themeTint="BF"/>
    </w:rPr>
  </w:style>
  <w:style w:type="character" w:customStyle="1" w:styleId="QuoteChar">
    <w:name w:val="Quote Char"/>
    <w:basedOn w:val="DefaultParagraphFont"/>
    <w:link w:val="Quote"/>
    <w:uiPriority w:val="29"/>
    <w:rsid w:val="00CE740D"/>
    <w:rPr>
      <w:i/>
      <w:iCs/>
      <w:color w:val="404040" w:themeColor="text1" w:themeTint="BF"/>
    </w:rPr>
  </w:style>
  <w:style w:type="paragraph" w:styleId="ListParagraph">
    <w:name w:val="List Paragraph"/>
    <w:basedOn w:val="Normal"/>
    <w:uiPriority w:val="34"/>
    <w:qFormat/>
    <w:rsid w:val="00CE740D"/>
    <w:pPr>
      <w:ind w:left="720"/>
      <w:contextualSpacing/>
    </w:pPr>
  </w:style>
  <w:style w:type="character" w:styleId="IntenseEmphasis">
    <w:name w:val="Intense Emphasis"/>
    <w:basedOn w:val="DefaultParagraphFont"/>
    <w:uiPriority w:val="21"/>
    <w:qFormat/>
    <w:rsid w:val="00CE740D"/>
    <w:rPr>
      <w:i/>
      <w:iCs/>
      <w:color w:val="0F4761" w:themeColor="accent1" w:themeShade="BF"/>
    </w:rPr>
  </w:style>
  <w:style w:type="paragraph" w:styleId="IntenseQuote">
    <w:name w:val="Intense Quote"/>
    <w:basedOn w:val="Normal"/>
    <w:next w:val="Normal"/>
    <w:link w:val="IntenseQuoteChar"/>
    <w:uiPriority w:val="30"/>
    <w:qFormat/>
    <w:rsid w:val="00CE74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40D"/>
    <w:rPr>
      <w:i/>
      <w:iCs/>
      <w:color w:val="0F4761" w:themeColor="accent1" w:themeShade="BF"/>
    </w:rPr>
  </w:style>
  <w:style w:type="character" w:styleId="IntenseReference">
    <w:name w:val="Intense Reference"/>
    <w:basedOn w:val="DefaultParagraphFont"/>
    <w:uiPriority w:val="32"/>
    <w:qFormat/>
    <w:rsid w:val="00CE740D"/>
    <w:rPr>
      <w:b/>
      <w:bCs/>
      <w:smallCaps/>
      <w:color w:val="0F4761" w:themeColor="accent1" w:themeShade="BF"/>
      <w:spacing w:val="5"/>
    </w:rPr>
  </w:style>
  <w:style w:type="paragraph" w:styleId="FootnoteText">
    <w:name w:val="footnote text"/>
    <w:basedOn w:val="Normal"/>
    <w:link w:val="FootnoteTextChar"/>
    <w:uiPriority w:val="99"/>
    <w:unhideWhenUsed/>
    <w:rsid w:val="00271B96"/>
    <w:pPr>
      <w:spacing w:after="0" w:line="240" w:lineRule="auto"/>
    </w:pPr>
    <w:rPr>
      <w:sz w:val="20"/>
      <w:szCs w:val="20"/>
    </w:rPr>
  </w:style>
  <w:style w:type="character" w:customStyle="1" w:styleId="FootnoteTextChar">
    <w:name w:val="Footnote Text Char"/>
    <w:basedOn w:val="DefaultParagraphFont"/>
    <w:link w:val="FootnoteText"/>
    <w:uiPriority w:val="99"/>
    <w:rsid w:val="00271B96"/>
    <w:rPr>
      <w:sz w:val="20"/>
      <w:szCs w:val="20"/>
    </w:rPr>
  </w:style>
  <w:style w:type="character" w:styleId="FootnoteReference">
    <w:name w:val="footnote reference"/>
    <w:basedOn w:val="DefaultParagraphFont"/>
    <w:uiPriority w:val="99"/>
    <w:semiHidden/>
    <w:unhideWhenUsed/>
    <w:rsid w:val="00271B96"/>
    <w:rPr>
      <w:vertAlign w:val="superscript"/>
    </w:rPr>
  </w:style>
  <w:style w:type="paragraph" w:styleId="Header">
    <w:name w:val="header"/>
    <w:basedOn w:val="Normal"/>
    <w:link w:val="HeaderChar"/>
    <w:uiPriority w:val="99"/>
    <w:semiHidden/>
    <w:unhideWhenUsed/>
    <w:rsid w:val="00004EE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04EE7"/>
  </w:style>
  <w:style w:type="paragraph" w:styleId="Footer">
    <w:name w:val="footer"/>
    <w:basedOn w:val="Normal"/>
    <w:link w:val="FooterChar"/>
    <w:uiPriority w:val="99"/>
    <w:semiHidden/>
    <w:unhideWhenUsed/>
    <w:rsid w:val="00004EE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4EE7"/>
  </w:style>
  <w:style w:type="character" w:styleId="Hyperlink">
    <w:name w:val="Hyperlink"/>
    <w:basedOn w:val="DefaultParagraphFont"/>
    <w:uiPriority w:val="99"/>
    <w:unhideWhenUsed/>
    <w:rsid w:val="0000024B"/>
    <w:rPr>
      <w:color w:val="467886" w:themeColor="hyperlink"/>
      <w:u w:val="single"/>
    </w:rPr>
  </w:style>
  <w:style w:type="character" w:customStyle="1" w:styleId="UnresolvedMention">
    <w:name w:val="Unresolved Mention"/>
    <w:basedOn w:val="DefaultParagraphFont"/>
    <w:uiPriority w:val="99"/>
    <w:semiHidden/>
    <w:unhideWhenUsed/>
    <w:rsid w:val="0000024B"/>
    <w:rPr>
      <w:color w:val="605E5C"/>
      <w:shd w:val="clear" w:color="auto" w:fill="E1DFDD"/>
    </w:rPr>
  </w:style>
  <w:style w:type="paragraph" w:styleId="Revision">
    <w:name w:val="Revision"/>
    <w:hidden/>
    <w:uiPriority w:val="99"/>
    <w:semiHidden/>
    <w:rsid w:val="000858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27bd5c-e03e-4e6d-b5db-bbd73fd6319d">
      <Terms xmlns="http://schemas.microsoft.com/office/infopath/2007/PartnerControls"/>
    </lcf76f155ced4ddcb4097134ff3c332f>
    <TaxCatchAll xmlns="850c0991-af47-4ed7-8a90-2d805bf558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8F20FCC6C4A646993B7062CAF027F6" ma:contentTypeVersion="18" ma:contentTypeDescription="Create a new document." ma:contentTypeScope="" ma:versionID="1bc51f089ec872177742fc7bd63d60cb">
  <xsd:schema xmlns:xsd="http://www.w3.org/2001/XMLSchema" xmlns:xs="http://www.w3.org/2001/XMLSchema" xmlns:p="http://schemas.microsoft.com/office/2006/metadata/properties" xmlns:ns2="f827bd5c-e03e-4e6d-b5db-bbd73fd6319d" xmlns:ns3="850c0991-af47-4ed7-8a90-2d805bf55860" targetNamespace="http://schemas.microsoft.com/office/2006/metadata/properties" ma:root="true" ma:fieldsID="0640e7af3658a91096f7f7d793705b74" ns2:_="" ns3:_="">
    <xsd:import namespace="f827bd5c-e03e-4e6d-b5db-bbd73fd6319d"/>
    <xsd:import namespace="850c0991-af47-4ed7-8a90-2d805bf558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27bd5c-e03e-4e6d-b5db-bbd73fd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269ed7e-4c9c-4bd8-8968-24e5f638b1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c0991-af47-4ed7-8a90-2d805bf558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b36a4c-d761-4617-8834-4ba736e2429b}" ma:internalName="TaxCatchAll" ma:showField="CatchAllData" ma:web="850c0991-af47-4ed7-8a90-2d805bf55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967933-F247-48DB-9185-AE84DC15CA5B}">
  <ds:schemaRefs>
    <ds:schemaRef ds:uri="http://schemas.microsoft.com/sharepoint/v3/contenttype/forms"/>
  </ds:schemaRefs>
</ds:datastoreItem>
</file>

<file path=customXml/itemProps2.xml><?xml version="1.0" encoding="utf-8"?>
<ds:datastoreItem xmlns:ds="http://schemas.openxmlformats.org/officeDocument/2006/customXml" ds:itemID="{7A6B5E2A-4DC7-4F1C-B357-341A82C7C602}">
  <ds:schemaRefs>
    <ds:schemaRef ds:uri="http://schemas.openxmlformats.org/officeDocument/2006/bibliography"/>
  </ds:schemaRefs>
</ds:datastoreItem>
</file>

<file path=customXml/itemProps3.xml><?xml version="1.0" encoding="utf-8"?>
<ds:datastoreItem xmlns:ds="http://schemas.openxmlformats.org/officeDocument/2006/customXml" ds:itemID="{7D5C33F3-5731-4CED-984C-C668DDF3CAE3}">
  <ds:schemaRefs>
    <ds:schemaRef ds:uri="http://schemas.microsoft.com/office/2006/metadata/properties"/>
    <ds:schemaRef ds:uri="http://schemas.microsoft.com/office/infopath/2007/PartnerControls"/>
    <ds:schemaRef ds:uri="f827bd5c-e03e-4e6d-b5db-bbd73fd6319d"/>
    <ds:schemaRef ds:uri="850c0991-af47-4ed7-8a90-2d805bf55860"/>
  </ds:schemaRefs>
</ds:datastoreItem>
</file>

<file path=customXml/itemProps4.xml><?xml version="1.0" encoding="utf-8"?>
<ds:datastoreItem xmlns:ds="http://schemas.openxmlformats.org/officeDocument/2006/customXml" ds:itemID="{A78A8483-2266-4C3B-9A7B-B05B9F40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27bd5c-e03e-4e6d-b5db-bbd73fd6319d"/>
    <ds:schemaRef ds:uri="850c0991-af47-4ed7-8a90-2d805bf55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ART0015</dc:title>
  <cp:revision>0</cp:revision>
</cp:coreProperties>
</file>