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7EB1" w:rsidRPr="00007EB1" w:rsidP="00280D5F">
      <w:pPr>
        <w:spacing w:after="270" w:line="360" w:lineRule="auto"/>
        <w:rPr>
          <w:rFonts w:ascii="Verdana" w:eastAsia="Arial" w:hAnsi="Verdana" w:cs="Arial"/>
          <w:b/>
          <w:bCs/>
          <w:color w:val="000000" w:themeColor="text1"/>
          <w:sz w:val="28"/>
          <w:szCs w:val="28"/>
        </w:rPr>
      </w:pPr>
      <w:r w:rsidRPr="00007EB1">
        <w:rPr>
          <w:rFonts w:ascii="Verdana" w:eastAsia="Arial" w:hAnsi="Verdana" w:cs="Arial"/>
          <w:b/>
          <w:bCs/>
          <w:color w:val="000000" w:themeColor="text1"/>
          <w:sz w:val="28"/>
          <w:szCs w:val="28"/>
        </w:rPr>
        <w:t xml:space="preserve">Professor Rory O’Connell, Dr Sarah Craig and Dr Claire Lougarre </w:t>
      </w:r>
      <w:r>
        <w:rPr>
          <w:rFonts w:ascii="Verdana" w:eastAsia="Arial" w:hAnsi="Verdana" w:cs="Arial"/>
          <w:b/>
          <w:bCs/>
          <w:color w:val="000000" w:themeColor="text1"/>
          <w:sz w:val="28"/>
          <w:szCs w:val="28"/>
        </w:rPr>
        <w:t xml:space="preserve">– Written </w:t>
      </w:r>
      <w:r w:rsidR="007837C6">
        <w:rPr>
          <w:rFonts w:ascii="Verdana" w:eastAsia="Arial" w:hAnsi="Verdana" w:cs="Arial"/>
          <w:b/>
          <w:bCs/>
          <w:color w:val="000000" w:themeColor="text1"/>
          <w:sz w:val="28"/>
          <w:szCs w:val="28"/>
        </w:rPr>
        <w:t>evidence</w:t>
      </w:r>
      <w:r>
        <w:rPr>
          <w:rFonts w:ascii="Verdana" w:eastAsia="Arial" w:hAnsi="Verdana" w:cs="Arial"/>
          <w:b/>
          <w:bCs/>
          <w:color w:val="000000" w:themeColor="text1"/>
          <w:sz w:val="28"/>
          <w:szCs w:val="28"/>
        </w:rPr>
        <w:t xml:space="preserve"> (ART0012)</w:t>
      </w:r>
    </w:p>
    <w:p w:rsidR="00007EB1" w:rsidRPr="00007EB1" w:rsidP="00280D5F">
      <w:pPr>
        <w:spacing w:after="270" w:line="360" w:lineRule="auto"/>
        <w:jc w:val="center"/>
        <w:rPr>
          <w:rFonts w:ascii="Verdana" w:eastAsia="Arial" w:hAnsi="Verdana" w:cs="Arial"/>
          <w:b/>
          <w:bCs/>
          <w:color w:val="000000" w:themeColor="text1"/>
          <w:sz w:val="22"/>
          <w:szCs w:val="22"/>
        </w:rPr>
      </w:pPr>
    </w:p>
    <w:p w:rsidR="00C656DA" w:rsidRPr="00007EB1" w:rsidP="00280D5F">
      <w:pPr>
        <w:spacing w:after="270" w:line="360" w:lineRule="auto"/>
        <w:jc w:val="center"/>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House of Lords Northern Ireland Scrutiny Committee inquiry on Article 2 of the Protocol/Windsor Framework: Public Call for Written Evidence</w:t>
      </w:r>
    </w:p>
    <w:p w:rsidR="00C656DA" w:rsidRPr="00007EB1" w:rsidP="00280D5F">
      <w:pPr>
        <w:spacing w:after="270" w:line="360" w:lineRule="auto"/>
        <w:jc w:val="center"/>
        <w:rPr>
          <w:rFonts w:ascii="Verdana" w:eastAsia="Arial" w:hAnsi="Verdana" w:cs="Arial"/>
          <w:color w:val="000000" w:themeColor="text1"/>
          <w:sz w:val="22"/>
          <w:szCs w:val="22"/>
        </w:rPr>
      </w:pPr>
      <w:r w:rsidRPr="00007EB1">
        <w:rPr>
          <w:rFonts w:ascii="Verdana" w:eastAsia="Arial" w:hAnsi="Verdana" w:cs="Arial"/>
          <w:i/>
          <w:iCs/>
          <w:color w:val="000000" w:themeColor="text1"/>
          <w:sz w:val="22"/>
          <w:szCs w:val="22"/>
        </w:rPr>
        <w:t>Professor Rory O’Connell, Dr Sarah Craig and Dr Claire Lougarre</w:t>
      </w:r>
    </w:p>
    <w:p w:rsidR="00C656DA" w:rsidRPr="00007EB1" w:rsidP="00280D5F">
      <w:pPr>
        <w:spacing w:after="270" w:line="360" w:lineRule="auto"/>
        <w:jc w:val="center"/>
        <w:rPr>
          <w:rFonts w:ascii="Verdana" w:eastAsia="Arial" w:hAnsi="Verdana" w:cs="Arial"/>
          <w:color w:val="000000" w:themeColor="text1"/>
          <w:sz w:val="22"/>
          <w:szCs w:val="22"/>
        </w:rPr>
      </w:pPr>
      <w:r w:rsidRPr="00007EB1">
        <w:rPr>
          <w:rFonts w:ascii="Verdana" w:eastAsia="Arial" w:hAnsi="Verdana" w:cs="Arial"/>
          <w:i/>
          <w:iCs/>
          <w:color w:val="000000" w:themeColor="text1"/>
          <w:sz w:val="22"/>
          <w:szCs w:val="22"/>
        </w:rPr>
        <w:t>School of Law, Ulster University</w:t>
      </w:r>
    </w:p>
    <w:p w:rsidR="00C656DA" w:rsidRPr="00007EB1" w:rsidP="00280D5F">
      <w:pPr>
        <w:spacing w:before="120" w:after="120" w:line="240" w:lineRule="auto"/>
        <w:rPr>
          <w:rFonts w:ascii="Verdana" w:eastAsia="Arial" w:hAnsi="Verdana" w:cs="Arial"/>
          <w:color w:val="000000" w:themeColor="text1"/>
          <w:sz w:val="22"/>
          <w:szCs w:val="22"/>
        </w:rPr>
      </w:pPr>
      <w:r w:rsidRPr="00007EB1">
        <w:rPr>
          <w:rStyle w:val="normaltextrun"/>
          <w:rFonts w:ascii="Verdana" w:eastAsia="Arial" w:hAnsi="Verdana" w:cs="Arial"/>
          <w:b/>
          <w:bCs/>
          <w:color w:val="000000" w:themeColor="text1"/>
          <w:lang w:val="en-US"/>
        </w:rPr>
        <w:t xml:space="preserve">Authors: </w:t>
      </w:r>
      <w:r w:rsidRPr="00007EB1">
        <w:rPr>
          <w:rStyle w:val="normaltextrun"/>
          <w:rFonts w:ascii="Verdana" w:eastAsia="Arial" w:hAnsi="Verdana" w:cs="Arial"/>
          <w:color w:val="000000" w:themeColor="text1"/>
          <w:lang w:val="en-US"/>
        </w:rPr>
        <w:t xml:space="preserve">We are three researchers at Ulster University, School of Law and are responding to the House of Lords Northern Ireland Scrutiny Committee inquiry on Article 2 Windsor Framework.  </w:t>
      </w:r>
    </w:p>
    <w:p w:rsidR="00C656DA" w:rsidRPr="00007EB1" w:rsidP="00280D5F">
      <w:pPr>
        <w:spacing w:after="0" w:line="240" w:lineRule="auto"/>
        <w:rPr>
          <w:rStyle w:val="eop"/>
          <w:rFonts w:ascii="Verdana" w:eastAsia="Arial" w:hAnsi="Verdana" w:cs="Arial"/>
          <w:color w:val="000000" w:themeColor="text1"/>
        </w:rPr>
      </w:pPr>
      <w:r w:rsidRPr="00007EB1">
        <w:rPr>
          <w:rStyle w:val="normaltextrun"/>
          <w:rFonts w:ascii="Verdana" w:eastAsia="Arial" w:hAnsi="Verdana" w:cs="Arial"/>
          <w:b/>
          <w:bCs/>
          <w:color w:val="000000" w:themeColor="text1"/>
          <w:lang w:val="en-US"/>
        </w:rPr>
        <w:t>Professor Rory O’Connell</w:t>
      </w:r>
      <w:r w:rsidRPr="00007EB1">
        <w:rPr>
          <w:rStyle w:val="normaltextrun"/>
          <w:rFonts w:ascii="Verdana" w:eastAsia="Arial" w:hAnsi="Verdana" w:cs="Arial"/>
          <w:color w:val="000000" w:themeColor="text1"/>
          <w:lang w:val="en-US"/>
        </w:rPr>
        <w:t xml:space="preserve"> is Professor of Human Rights and Constitutional Law</w:t>
      </w:r>
      <w:r w:rsidRPr="00007EB1">
        <w:rPr>
          <w:rStyle w:val="normaltextrun"/>
          <w:rFonts w:ascii="Verdana" w:eastAsia="Arial" w:hAnsi="Verdana" w:cs="Arial"/>
          <w:color w:val="000000" w:themeColor="text1"/>
          <w:lang w:val="en-US"/>
        </w:rPr>
        <w:t>. He He has worked on several research projects for the Equality Commission for Northern Ireland (ECNI) on Brexit and Windsor Framework-related issues. He is a member of the executive for the Committee on the Administration of Justice (CAJ) and currently its chair. </w:t>
      </w:r>
      <w:r w:rsidRPr="00007EB1">
        <w:rPr>
          <w:rStyle w:val="eop"/>
          <w:rFonts w:ascii="Verdana" w:eastAsia="Arial" w:hAnsi="Verdana" w:cs="Arial"/>
          <w:color w:val="000000" w:themeColor="text1"/>
        </w:rPr>
        <w:t> </w:t>
      </w:r>
    </w:p>
    <w:p w:rsidR="00C656DA" w:rsidRPr="00007EB1" w:rsidP="00280D5F">
      <w:pPr>
        <w:spacing w:line="24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Dr Sarah Craig</w:t>
      </w:r>
      <w:r w:rsidRPr="00007EB1">
        <w:rPr>
          <w:rFonts w:ascii="Verdana" w:eastAsia="Arial" w:hAnsi="Verdana" w:cs="Arial"/>
          <w:color w:val="000000" w:themeColor="text1"/>
          <w:sz w:val="22"/>
          <w:szCs w:val="22"/>
        </w:rPr>
        <w:t xml:space="preserve"> joined Ulster University as a Lecturer in Law in 2023, having previously taught at Queen’s University Belfast (2019-2023). She has been an Interim Director of the Transitional Justice Institute (TJI) and received the </w:t>
      </w:r>
      <w:r w:rsidRPr="00007EB1">
        <w:rPr>
          <w:rFonts w:ascii="Verdana" w:eastAsia="Arial" w:hAnsi="Verdana" w:cs="Arial"/>
          <w:color w:val="000000" w:themeColor="text1"/>
          <w:sz w:val="22"/>
          <w:szCs w:val="22"/>
        </w:rPr>
        <w:t>Faculty</w:t>
      </w:r>
      <w:r w:rsidRPr="00007EB1">
        <w:rPr>
          <w:rFonts w:ascii="Verdana" w:eastAsia="Arial" w:hAnsi="Verdana" w:cs="Arial"/>
          <w:color w:val="000000" w:themeColor="text1"/>
          <w:sz w:val="22"/>
          <w:szCs w:val="22"/>
        </w:rPr>
        <w:t xml:space="preserve"> (AHSS) Future Research Leader Award in 2026. Her recent research has focused on collaborations with colleagues on the divergence of equality law and human rights post-Brexit and the implications of the Windsor Framework on rights protection in Northern Ireland.</w:t>
      </w:r>
    </w:p>
    <w:p w:rsidR="00C656DA" w:rsidRPr="00007EB1" w:rsidP="00280D5F">
      <w:pPr>
        <w:spacing w:after="0" w:line="240" w:lineRule="auto"/>
        <w:rPr>
          <w:rFonts w:ascii="Verdana" w:eastAsia="Arial" w:hAnsi="Verdana" w:cs="Arial"/>
          <w:color w:val="000000" w:themeColor="text1"/>
          <w:sz w:val="22"/>
          <w:szCs w:val="22"/>
        </w:rPr>
      </w:pPr>
      <w:r w:rsidRPr="00007EB1">
        <w:rPr>
          <w:rStyle w:val="normaltextrun"/>
          <w:rFonts w:ascii="Verdana" w:eastAsia="Arial" w:hAnsi="Verdana" w:cs="Arial"/>
          <w:b/>
          <w:bCs/>
          <w:color w:val="000000" w:themeColor="text1"/>
          <w:lang w:val="en-US"/>
        </w:rPr>
        <w:t>Dr Claire Lougarre</w:t>
      </w:r>
      <w:r w:rsidRPr="00007EB1">
        <w:rPr>
          <w:rStyle w:val="eop"/>
          <w:rFonts w:ascii="Verdana" w:eastAsia="Arial" w:hAnsi="Verdana" w:cs="Arial"/>
          <w:color w:val="000000" w:themeColor="text1"/>
        </w:rPr>
        <w:t xml:space="preserve"> is a Lecturer in Law and the Programme Director of </w:t>
      </w:r>
      <w:r w:rsidRPr="00007EB1">
        <w:rPr>
          <w:rStyle w:val="eop"/>
          <w:rFonts w:ascii="Verdana" w:eastAsia="Arial" w:hAnsi="Verdana" w:cs="Arial"/>
          <w:color w:val="000000" w:themeColor="text1"/>
        </w:rPr>
        <w:t>Masters in Law</w:t>
      </w:r>
      <w:r w:rsidRPr="00007EB1">
        <w:rPr>
          <w:rStyle w:val="eop"/>
          <w:rFonts w:ascii="Verdana" w:eastAsia="Arial" w:hAnsi="Verdana" w:cs="Arial"/>
          <w:color w:val="000000" w:themeColor="text1"/>
        </w:rPr>
        <w:t xml:space="preserve"> (LLM) in Human Rights. Claire’s research lies in international and European human rights law, especially health rights and gender equality. Claire has engaged with the UK and the NI Parliaments; and has provided consultancy services to the Council of Europe and the Equality Commission for Northern Ireland (notably, on Brexit and the Windsor Framework).</w:t>
      </w:r>
    </w:p>
    <w:p w:rsidR="00C656DA" w:rsidRPr="00007EB1" w:rsidP="00280D5F">
      <w:pPr>
        <w:tabs>
          <w:tab w:val="left" w:pos="3700"/>
        </w:tabs>
        <w:spacing w:before="120" w:after="120" w:line="240" w:lineRule="auto"/>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 xml:space="preserve">All authors have undertaken commissioned work for the Equality Commission for Northern Ireland and are also in the process of ongoing commissioned research. </w:t>
      </w:r>
      <w:r w:rsidRPr="00007EB1">
        <w:rPr>
          <w:rStyle w:val="normaltextrun"/>
          <w:rFonts w:ascii="Verdana" w:eastAsia="Arial" w:hAnsi="Verdana" w:cs="Arial"/>
          <w:color w:val="000000" w:themeColor="text1"/>
          <w:lang w:val="en-US"/>
        </w:rPr>
        <w:t>All three researchers wrote the ECNI report: </w:t>
      </w:r>
      <w:r w:rsidRPr="00007EB1">
        <w:rPr>
          <w:rStyle w:val="normaltextrun"/>
          <w:rFonts w:ascii="Verdana" w:eastAsia="Arial" w:hAnsi="Verdana" w:cs="Arial"/>
          <w:i/>
          <w:iCs/>
          <w:color w:val="000000" w:themeColor="text1"/>
        </w:rPr>
        <w:t>EU Developments in Equality and Human Rights: Impact of Brexit on the Divergence of Rights and Best Practice on the Island of Ireland: Update Paper on Developments post January 2022</w:t>
      </w:r>
      <w:r w:rsidRPr="00007EB1">
        <w:rPr>
          <w:rStyle w:val="apple-converted-space"/>
          <w:rFonts w:ascii="Verdana" w:eastAsia="Arial" w:hAnsi="Verdana" w:cs="Arial"/>
          <w:color w:val="000000" w:themeColor="text1"/>
        </w:rPr>
        <w:t> and are currently involved in writing two further reports for the ECNI as part of its Windsor Framework programme.  One author (Dr Craig) also contributed to the first ECNI-commissioned report on Divergence.</w:t>
      </w:r>
      <w:r w:rsidRPr="00007EB1">
        <w:rPr>
          <w:rFonts w:ascii="Verdana" w:hAnsi="Verdana" w:cs="Arial"/>
          <w:color w:val="000000" w:themeColor="text1"/>
          <w:sz w:val="22"/>
          <w:szCs w:val="22"/>
        </w:rPr>
        <w:t xml:space="preserve"> </w:t>
      </w:r>
      <w:r>
        <w:rPr>
          <w:rStyle w:val="FootnoteReference"/>
          <w:rFonts w:ascii="Verdana" w:hAnsi="Verdana" w:cs="Arial"/>
          <w:color w:val="000000" w:themeColor="text1"/>
          <w:sz w:val="22"/>
          <w:szCs w:val="22"/>
        </w:rPr>
        <w:footnoteReference w:id="2"/>
      </w:r>
    </w:p>
    <w:p w:rsidR="00C656DA" w:rsidP="00280D5F">
      <w:pPr>
        <w:tabs>
          <w:tab w:val="left" w:pos="3700"/>
        </w:tabs>
        <w:spacing w:before="120" w:after="120" w:line="240" w:lineRule="auto"/>
        <w:rPr>
          <w:rStyle w:val="eop"/>
          <w:rFonts w:ascii="Verdana" w:eastAsia="Arial" w:hAnsi="Verdana" w:cs="Arial"/>
          <w:color w:val="000000" w:themeColor="text1"/>
        </w:rPr>
      </w:pPr>
      <w:r w:rsidRPr="00007EB1">
        <w:rPr>
          <w:rStyle w:val="normaltextrun"/>
          <w:rFonts w:ascii="Verdana" w:eastAsia="Arial" w:hAnsi="Verdana" w:cs="Arial"/>
          <w:color w:val="000000" w:themeColor="text1"/>
          <w:lang w:val="en-US"/>
        </w:rPr>
        <w:t>This submission reflects the views of the authors as academic researchers and should not be taken as representing the views of the Equality Commission or any other organisation the researchers have partnered with in any way. </w:t>
      </w:r>
      <w:r w:rsidRPr="00007EB1">
        <w:rPr>
          <w:rStyle w:val="eop"/>
          <w:rFonts w:ascii="Verdana" w:eastAsia="Arial" w:hAnsi="Verdana" w:cs="Arial"/>
          <w:color w:val="000000" w:themeColor="text1"/>
        </w:rPr>
        <w:t> </w:t>
      </w:r>
    </w:p>
    <w:p w:rsidR="00007EB1" w:rsidRPr="00007EB1" w:rsidP="00280D5F">
      <w:pPr>
        <w:tabs>
          <w:tab w:val="left" w:pos="3700"/>
        </w:tabs>
        <w:spacing w:before="120" w:after="120" w:line="240" w:lineRule="auto"/>
        <w:rPr>
          <w:rFonts w:ascii="Verdana" w:hAnsi="Verdana"/>
          <w:color w:val="000000" w:themeColor="text1"/>
          <w:sz w:val="22"/>
          <w:szCs w:val="22"/>
        </w:rPr>
      </w:pPr>
    </w:p>
    <w:p w:rsidR="00C656DA" w:rsidRPr="00007EB1" w:rsidP="00280D5F">
      <w:pPr>
        <w:pStyle w:val="Heading1"/>
        <w:spacing w:before="240" w:after="240"/>
        <w:rPr>
          <w:rFonts w:ascii="Verdana" w:eastAsia="Arial" w:hAnsi="Verdana" w:cs="Arial"/>
          <w:b/>
          <w:bCs/>
          <w:color w:val="000000" w:themeColor="text1"/>
          <w:sz w:val="22"/>
          <w:szCs w:val="22"/>
        </w:rPr>
      </w:pPr>
      <w:r w:rsidRPr="00007EB1">
        <w:rPr>
          <w:rFonts w:ascii="Verdana" w:eastAsia="Arial" w:hAnsi="Verdana" w:cs="Arial"/>
          <w:b/>
          <w:bCs/>
          <w:color w:val="000000" w:themeColor="text1"/>
          <w:sz w:val="22"/>
          <w:szCs w:val="22"/>
          <w:u w:val="single"/>
        </w:rPr>
        <w:t>EXECUTIVE SUMMARY</w:t>
      </w:r>
    </w:p>
    <w:p w:rsidR="00C656DA" w:rsidRPr="00007EB1" w:rsidP="00280D5F">
      <w:pPr>
        <w:spacing w:before="240" w:after="240" w:line="360" w:lineRule="auto"/>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 xml:space="preserve">This submission to the House of Lords Northern Ireland Scrutiny Committee call for evidence provides a detailed legal analysis of Article 2 of the Windsor Framework (WF) in relation to specific questions addressed below. The overarching argument that we put forward is the significance of the protections created within the Withdrawal Agreement and through Article 2 WF specifically. We put forward six overarching points: </w:t>
      </w:r>
    </w:p>
    <w:p w:rsidR="00C656DA" w:rsidRPr="00007EB1" w:rsidP="00280D5F">
      <w:pPr>
        <w:pStyle w:val="ListParagraph"/>
        <w:numPr>
          <w:ilvl w:val="0"/>
          <w:numId w:val="7"/>
        </w:numPr>
        <w:spacing w:before="120" w:after="120" w:line="360" w:lineRule="auto"/>
        <w:ind w:left="714" w:hanging="357"/>
        <w:contextualSpacing w:val="0"/>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Article 2 WF was created with the protection of the 1998 Belfast/Good Friday Agreement in mind</w:t>
      </w:r>
      <w:r w:rsidRPr="00007EB1">
        <w:rPr>
          <w:rFonts w:ascii="Verdana" w:eastAsia="Arial" w:hAnsi="Verdana" w:cs="Arial"/>
          <w:color w:val="000000" w:themeColor="text1"/>
          <w:sz w:val="22"/>
          <w:szCs w:val="22"/>
        </w:rPr>
        <w:t>. The UK and EU recognised that Brexit threatened the legal framework supporting the Rights, Safeguards and Equality of Opportunity provisions of the Belfast/Good Friday Agreement. Prior to Brexit, many of these protections were underpinned by EU law. Removing the UK from the EU therefore risked weakening rights protection and creating divergence between Northern Ireland and Ireland. Article 2 WF was negotiated specifically to prevent this outcome by creating a legally binding obligation that Brexit must no</w:t>
      </w:r>
      <w:r w:rsidRPr="00007EB1">
        <w:rPr>
          <w:rFonts w:ascii="Verdana" w:eastAsia="Arial" w:hAnsi="Verdana" w:cs="Arial"/>
          <w:color w:val="000000" w:themeColor="text1"/>
          <w:sz w:val="22"/>
          <w:szCs w:val="22"/>
        </w:rPr>
        <w:t>t diminish these rights.</w:t>
      </w:r>
    </w:p>
    <w:p w:rsidR="00C656DA" w:rsidRPr="00007EB1" w:rsidP="00280D5F">
      <w:pPr>
        <w:pStyle w:val="ListParagraph"/>
        <w:numPr>
          <w:ilvl w:val="0"/>
          <w:numId w:val="7"/>
        </w:numPr>
        <w:spacing w:before="120" w:after="120" w:line="360" w:lineRule="auto"/>
        <w:ind w:left="714" w:hanging="357"/>
        <w:contextualSpacing w:val="0"/>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Article 2 WF creates a non-diminution protection through two complementary obligations</w:t>
      </w:r>
      <w:r w:rsidRPr="00007EB1">
        <w:rPr>
          <w:rFonts w:ascii="Verdana" w:eastAsia="Arial" w:hAnsi="Verdana" w:cs="Arial"/>
          <w:color w:val="000000" w:themeColor="text1"/>
          <w:sz w:val="22"/>
          <w:szCs w:val="22"/>
        </w:rPr>
        <w:t>. Dynamic alignment requires Northern Ireland law to keep pace with future amendments to the six equality directives listed in Annex 1 of the Windsor Framework. Static alignment prevents the UK from reducing the level of protection afforded by EU-derived rights that underpinned the Rights, Safeguards and Equality of Opportunity provisions at the end of the Brexit transition period.</w:t>
      </w:r>
    </w:p>
    <w:p w:rsidR="00C656DA" w:rsidRPr="00007EB1" w:rsidP="00280D5F">
      <w:pPr>
        <w:pStyle w:val="ListParagraph"/>
        <w:numPr>
          <w:ilvl w:val="0"/>
          <w:numId w:val="7"/>
        </w:numPr>
        <w:spacing w:before="120" w:after="120" w:line="360" w:lineRule="auto"/>
        <w:ind w:left="714" w:hanging="357"/>
        <w:contextualSpacing w:val="0"/>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 xml:space="preserve">One of our strongest concerns is regarding the striking shift in the UK Government’s position from its 2020 Explainer Document on no-diminution compared with its position in the </w:t>
      </w:r>
      <w:r w:rsidRPr="00007EB1">
        <w:rPr>
          <w:rFonts w:ascii="Verdana" w:eastAsia="Arial" w:hAnsi="Verdana" w:cs="Arial"/>
          <w:b/>
          <w:bCs/>
          <w:i/>
          <w:iCs/>
          <w:color w:val="000000" w:themeColor="text1"/>
          <w:sz w:val="22"/>
          <w:szCs w:val="22"/>
        </w:rPr>
        <w:t>Dillon</w:t>
      </w:r>
      <w:r w:rsidRPr="00007EB1">
        <w:rPr>
          <w:rFonts w:ascii="Verdana" w:eastAsia="Arial" w:hAnsi="Verdana" w:cs="Arial"/>
          <w:b/>
          <w:bCs/>
          <w:color w:val="000000" w:themeColor="text1"/>
          <w:sz w:val="22"/>
          <w:szCs w:val="22"/>
        </w:rPr>
        <w:t xml:space="preserve"> litigation</w:t>
      </w:r>
      <w:r w:rsidRPr="00007EB1">
        <w:rPr>
          <w:rFonts w:ascii="Verdana" w:eastAsia="Arial" w:hAnsi="Verdana" w:cs="Arial"/>
          <w:color w:val="000000" w:themeColor="text1"/>
          <w:sz w:val="22"/>
          <w:szCs w:val="22"/>
        </w:rPr>
        <w:t xml:space="preserve">. </w:t>
      </w:r>
      <w:r w:rsidRPr="00007EB1">
        <w:rPr>
          <w:rFonts w:ascii="Verdana" w:eastAsia="Arial" w:hAnsi="Verdana" w:cs="Arial"/>
          <w:color w:val="000000" w:themeColor="text1"/>
          <w:sz w:val="22"/>
          <w:szCs w:val="22"/>
        </w:rPr>
        <w:t xml:space="preserve">The explainer document put forward a broad interpretation of Article 2 WF, with protection beyond the Annex 1 Directives whilst the position in </w:t>
      </w:r>
      <w:r w:rsidRPr="00007EB1">
        <w:rPr>
          <w:rFonts w:ascii="Verdana" w:eastAsia="Arial" w:hAnsi="Verdana" w:cs="Arial"/>
          <w:i/>
          <w:iCs/>
          <w:color w:val="000000" w:themeColor="text1"/>
          <w:sz w:val="22"/>
          <w:szCs w:val="22"/>
        </w:rPr>
        <w:t xml:space="preserve">Dillon </w:t>
      </w:r>
      <w:r w:rsidRPr="00007EB1">
        <w:rPr>
          <w:rFonts w:ascii="Verdana" w:eastAsia="Arial" w:hAnsi="Verdana" w:cs="Arial"/>
          <w:color w:val="000000" w:themeColor="text1"/>
          <w:sz w:val="22"/>
          <w:szCs w:val="22"/>
        </w:rPr>
        <w:t>advocated for a narrow interpretation. This creates uncertainty about the Government's future commitment to Article 2 WF's original objectives.</w:t>
      </w:r>
    </w:p>
    <w:p w:rsidR="00C656DA" w:rsidRPr="00007EB1" w:rsidP="00280D5F">
      <w:pPr>
        <w:pStyle w:val="ListParagraph"/>
        <w:numPr>
          <w:ilvl w:val="0"/>
          <w:numId w:val="7"/>
        </w:numPr>
        <w:spacing w:before="120" w:after="120" w:line="360" w:lineRule="auto"/>
        <w:ind w:left="714" w:hanging="357"/>
        <w:contextualSpacing w:val="0"/>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 xml:space="preserve">Prior to the uncertainty generated by the Supreme Court in </w:t>
      </w:r>
      <w:r w:rsidRPr="00007EB1">
        <w:rPr>
          <w:rFonts w:ascii="Verdana" w:eastAsia="Arial" w:hAnsi="Verdana" w:cs="Arial"/>
          <w:b/>
          <w:bCs/>
          <w:i/>
          <w:iCs/>
          <w:color w:val="000000" w:themeColor="text1"/>
          <w:sz w:val="22"/>
          <w:szCs w:val="22"/>
        </w:rPr>
        <w:t>Dillon</w:t>
      </w:r>
      <w:r w:rsidRPr="00007EB1">
        <w:rPr>
          <w:rFonts w:ascii="Verdana" w:eastAsia="Arial" w:hAnsi="Verdana" w:cs="Arial"/>
          <w:b/>
          <w:bCs/>
          <w:color w:val="000000" w:themeColor="text1"/>
          <w:sz w:val="22"/>
          <w:szCs w:val="22"/>
        </w:rPr>
        <w:t>, Article 2 WF has already made a significant contribution to rights protection in Northern Ireland</w:t>
      </w:r>
      <w:r w:rsidRPr="00007EB1">
        <w:rPr>
          <w:rFonts w:ascii="Verdana" w:eastAsia="Arial" w:hAnsi="Verdana" w:cs="Arial"/>
          <w:color w:val="000000" w:themeColor="text1"/>
          <w:sz w:val="22"/>
          <w:szCs w:val="22"/>
        </w:rPr>
        <w:t>. Prior to the Supreme Court judgment, the Northern Ireland courts developed a coherent body of jurisprudence that established practical tests for determining diminution, recognised the availability of effective remedies—including the disapplication of incompatible legislation—and confirmed that Article 2 WF extended into areas such as victims' rights and aspects of asylum law and protected the rights of everyone in the community. In brief, Article 2 WF is an innovative constitutional mechanism to provide m</w:t>
      </w:r>
      <w:r w:rsidRPr="00007EB1">
        <w:rPr>
          <w:rFonts w:ascii="Verdana" w:eastAsia="Arial" w:hAnsi="Verdana" w:cs="Arial"/>
          <w:color w:val="000000" w:themeColor="text1"/>
          <w:sz w:val="22"/>
          <w:szCs w:val="22"/>
        </w:rPr>
        <w:t>eaningful judicial oversight of post-Brexit rights protection.</w:t>
      </w:r>
    </w:p>
    <w:p w:rsidR="00C656DA" w:rsidRPr="00007EB1" w:rsidP="00280D5F">
      <w:pPr>
        <w:pStyle w:val="ListParagraph"/>
        <w:numPr>
          <w:ilvl w:val="0"/>
          <w:numId w:val="7"/>
        </w:numPr>
        <w:spacing w:before="120" w:after="120" w:line="360" w:lineRule="auto"/>
        <w:contextualSpacing w:val="0"/>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The Supreme Court judgment in Dillon creates some uncertainty.</w:t>
      </w:r>
      <w:r w:rsidRPr="00007EB1">
        <w:rPr>
          <w:rFonts w:ascii="Verdana" w:eastAsia="Arial" w:hAnsi="Verdana" w:cs="Arial"/>
          <w:color w:val="000000" w:themeColor="text1"/>
          <w:sz w:val="22"/>
          <w:szCs w:val="22"/>
        </w:rPr>
        <w:t xml:space="preserve"> At its core the judgment rests on a narrow issue about the meaning of the Victims’ Directive. The Supreme Court judgment addresses many other issues concerning Article 2 WF and at the least some of the language is likely to give rise to more litigation on the meaning of Article 2.</w:t>
      </w:r>
    </w:p>
    <w:p w:rsidR="00C656DA" w:rsidRPr="00007EB1" w:rsidP="00280D5F">
      <w:pPr>
        <w:pStyle w:val="ListParagraph"/>
        <w:numPr>
          <w:ilvl w:val="0"/>
          <w:numId w:val="7"/>
        </w:numPr>
        <w:spacing w:after="27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Article 2 remains an indispensable safeguard within the post-Brexit constitutional framework, but its long-term effectiveness cannot be assumed.</w:t>
      </w:r>
      <w:r w:rsidRPr="00007EB1">
        <w:rPr>
          <w:rFonts w:ascii="Verdana" w:eastAsia="Arial" w:hAnsi="Verdana" w:cs="Arial"/>
          <w:color w:val="000000" w:themeColor="text1"/>
          <w:sz w:val="22"/>
          <w:szCs w:val="22"/>
        </w:rPr>
        <w:t xml:space="preserve"> In often divisive settings and highly fragmented approaches that often threaten to erode core equality and human rights protections, it is often worth bringing the discussion back to the fundamentals. The success of Article 2 is not purely an academic exercise but rather one which decides our vision of a post-Brexit Northern Ireland for all. </w:t>
      </w:r>
    </w:p>
    <w:p w:rsidR="00C656DA" w:rsidRPr="00007EB1" w:rsidP="00280D5F">
      <w:pPr>
        <w:spacing w:line="360" w:lineRule="auto"/>
        <w:rPr>
          <w:rFonts w:ascii="Verdana" w:eastAsia="Arial" w:hAnsi="Verdana" w:cs="Arial"/>
          <w:color w:val="000000" w:themeColor="text1"/>
          <w:sz w:val="22"/>
          <w:szCs w:val="22"/>
        </w:rPr>
      </w:pPr>
    </w:p>
    <w:p w:rsidR="00C656DA" w:rsidRPr="00007EB1" w:rsidP="00280D5F">
      <w:pPr>
        <w:spacing w:before="120" w:after="120" w:line="360" w:lineRule="auto"/>
        <w:ind w:left="360"/>
        <w:rPr>
          <w:rFonts w:ascii="Verdana" w:eastAsia="Arial" w:hAnsi="Verdana" w:cs="Arial"/>
          <w:b/>
          <w:bCs/>
          <w:color w:val="000000" w:themeColor="text1"/>
          <w:sz w:val="22"/>
          <w:szCs w:val="22"/>
          <w:u w:val="single"/>
        </w:rPr>
      </w:pPr>
    </w:p>
    <w:p w:rsidR="00C656DA" w:rsidRPr="00007EB1" w:rsidP="00280D5F">
      <w:pPr>
        <w:rPr>
          <w:rFonts w:ascii="Verdana" w:hAnsi="Verdana"/>
          <w:color w:val="000000" w:themeColor="text1"/>
          <w:sz w:val="22"/>
          <w:szCs w:val="22"/>
        </w:rPr>
      </w:pPr>
      <w:r w:rsidRPr="00007EB1">
        <w:rPr>
          <w:rFonts w:ascii="Verdana" w:hAnsi="Verdana"/>
          <w:color w:val="000000" w:themeColor="text1"/>
          <w:sz w:val="22"/>
          <w:szCs w:val="22"/>
        </w:rPr>
        <w:br w:type="page"/>
      </w:r>
    </w:p>
    <w:p w:rsidR="00C656DA" w:rsidRPr="00007EB1" w:rsidP="00280D5F">
      <w:pPr>
        <w:spacing w:before="120" w:after="120" w:line="360" w:lineRule="auto"/>
        <w:ind w:left="360"/>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u w:val="single"/>
        </w:rPr>
        <w:t>QUESTIONS</w:t>
      </w: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i/>
          <w:iCs/>
          <w:color w:val="000000" w:themeColor="text1"/>
          <w:sz w:val="22"/>
          <w:szCs w:val="22"/>
        </w:rPr>
        <w:t xml:space="preserve">NB: we specifically address questions 1-9 and 13-14 in this written submission. </w:t>
      </w:r>
    </w:p>
    <w:p w:rsidR="00C656DA" w:rsidRPr="00007EB1" w:rsidP="00280D5F">
      <w:pPr>
        <w:spacing w:line="360" w:lineRule="auto"/>
        <w:rPr>
          <w:rFonts w:ascii="Verdana" w:eastAsia="Arial" w:hAnsi="Verdana" w:cs="Arial"/>
          <w:color w:val="000000" w:themeColor="text1"/>
          <w:sz w:val="22"/>
          <w:szCs w:val="22"/>
        </w:rPr>
      </w:pP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u w:val="single"/>
        </w:rPr>
        <w:t>Origins and Obligations of Article 2 WF (Questions 1 – 4)</w:t>
      </w:r>
    </w:p>
    <w:p w:rsidR="00C656DA" w:rsidRPr="00007EB1" w:rsidP="00280D5F">
      <w:pPr>
        <w:spacing w:before="120" w:after="120" w:line="360" w:lineRule="auto"/>
        <w:rPr>
          <w:rFonts w:ascii="Verdana" w:eastAsia="Arial" w:hAnsi="Verdana" w:cs="Arial"/>
          <w:color w:val="000000" w:themeColor="text1"/>
          <w:sz w:val="22"/>
          <w:szCs w:val="22"/>
        </w:rPr>
      </w:pPr>
    </w:p>
    <w:p w:rsidR="00C656DA" w:rsidRPr="00007EB1" w:rsidP="00280D5F">
      <w:pPr>
        <w:spacing w:before="120" w:after="120" w:line="360" w:lineRule="auto"/>
        <w:ind w:left="360"/>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 xml:space="preserve">Q1 </w:t>
      </w:r>
      <w:r w:rsidRPr="00007EB1">
        <w:rPr>
          <w:rFonts w:ascii="Verdana" w:eastAsia="Arial" w:hAnsi="Verdana" w:cs="Arial"/>
          <w:b/>
          <w:bCs/>
          <w:color w:val="000000" w:themeColor="text1"/>
          <w:sz w:val="22"/>
          <w:szCs w:val="22"/>
        </w:rPr>
        <w:t>Why did the UK and EU negotiate and include Article 2 WF in the Protocol/ Windsor Framework? How does Article 2 WF relate to the Belfast/ Good Friday Agreement?</w:t>
      </w: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The Rights, Safeguards and Equality of Opportunity (RSEO) provisions of the 1998 Belfast/Good Friday Agreement (BGFA)</w:t>
      </w:r>
      <w:r>
        <w:rPr>
          <w:rStyle w:val="FootnoteReference"/>
          <w:rFonts w:ascii="Verdana" w:hAnsi="Verdana" w:cs="Arial"/>
          <w:color w:val="000000" w:themeColor="text1"/>
          <w:sz w:val="22"/>
          <w:szCs w:val="22"/>
        </w:rPr>
        <w:footnoteReference w:id="3"/>
      </w:r>
      <w:r w:rsidRPr="00007EB1">
        <w:rPr>
          <w:rFonts w:ascii="Verdana" w:hAnsi="Verdana" w:cs="Arial"/>
          <w:color w:val="000000" w:themeColor="text1"/>
          <w:sz w:val="22"/>
          <w:szCs w:val="22"/>
        </w:rPr>
        <w:t xml:space="preserve"> </w:t>
      </w:r>
      <w:r w:rsidRPr="00007EB1">
        <w:rPr>
          <w:rFonts w:ascii="Verdana" w:eastAsia="Arial" w:hAnsi="Verdana" w:cs="Arial"/>
          <w:color w:val="000000" w:themeColor="text1"/>
          <w:sz w:val="22"/>
          <w:szCs w:val="22"/>
        </w:rPr>
        <w:t xml:space="preserve"> establish a carefully balanced framework for the protection of rights in Northern Ireland. Acknowledging the importance of maintaining this framework, with rights protection being central to the peace agreement, parties to the Brexit negotiations agreed that the continued protection of human rights guaranteed through European Union (EU) law should form a central element of the Protocol on Ireland/Northern Ireland annexed to the Withdrawal Agreement.</w:t>
      </w:r>
      <w:r w:rsidRPr="00007EB1">
        <w:rPr>
          <w:rFonts w:ascii="Verdana" w:hAnsi="Verdana" w:cs="Arial"/>
          <w:color w:val="000000" w:themeColor="text1"/>
          <w:sz w:val="22"/>
          <w:szCs w:val="22"/>
        </w:rPr>
        <w:t xml:space="preserve"> </w:t>
      </w:r>
      <w:r>
        <w:rPr>
          <w:rStyle w:val="FootnoteReference"/>
          <w:rFonts w:ascii="Verdana" w:hAnsi="Verdana" w:cs="Arial"/>
          <w:color w:val="000000" w:themeColor="text1"/>
          <w:sz w:val="22"/>
          <w:szCs w:val="22"/>
        </w:rPr>
        <w:footnoteReference w:id="4"/>
      </w: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Early in the negotiations</w:t>
      </w:r>
      <w:r w:rsidRPr="00007EB1">
        <w:rPr>
          <w:rFonts w:ascii="Verdana" w:eastAsia="Arial" w:hAnsi="Verdana" w:cs="Arial"/>
          <w:b/>
          <w:bCs/>
          <w:color w:val="000000" w:themeColor="text1"/>
          <w:sz w:val="22"/>
          <w:szCs w:val="22"/>
        </w:rPr>
        <w:t>, the Joint Report of the EU and UK negotiators (2017)</w:t>
      </w:r>
      <w:r w:rsidRPr="00007EB1">
        <w:rPr>
          <w:rFonts w:ascii="Verdana" w:eastAsia="Arial" w:hAnsi="Verdana" w:cs="Arial"/>
          <w:color w:val="000000" w:themeColor="text1"/>
          <w:sz w:val="22"/>
          <w:szCs w:val="22"/>
        </w:rPr>
        <w:t xml:space="preserve"> outlined the significance of the BGFA and unequivocally stated that ‘it must be protected in all its parts’</w:t>
      </w:r>
      <w:r>
        <w:rPr>
          <w:rStyle w:val="FootnoteReference"/>
          <w:rFonts w:ascii="Verdana" w:hAnsi="Verdana" w:cs="Arial"/>
          <w:color w:val="000000" w:themeColor="text1"/>
          <w:sz w:val="22"/>
          <w:szCs w:val="22"/>
        </w:rPr>
        <w:footnoteReference w:id="5"/>
      </w:r>
      <w:r w:rsidRPr="00007EB1">
        <w:rPr>
          <w:rFonts w:ascii="Verdana" w:hAnsi="Verdana" w:cs="Arial"/>
          <w:color w:val="000000" w:themeColor="text1"/>
          <w:sz w:val="22"/>
          <w:szCs w:val="22"/>
        </w:rPr>
        <w:t xml:space="preserve">  </w:t>
      </w:r>
      <w:r w:rsidRPr="00007EB1">
        <w:rPr>
          <w:rFonts w:ascii="Verdana" w:eastAsia="Arial" w:hAnsi="Verdana" w:cs="Arial"/>
          <w:color w:val="000000" w:themeColor="text1"/>
          <w:sz w:val="22"/>
          <w:szCs w:val="22"/>
        </w:rPr>
        <w:t>insofar as the UK’s withdrawal from the EU ‘presents a significant and unique challenge in relation to the island of Ireland’.</w:t>
      </w:r>
      <w:r>
        <w:rPr>
          <w:rStyle w:val="FootnoteReference"/>
          <w:rFonts w:ascii="Verdana" w:hAnsi="Verdana" w:cs="Arial"/>
          <w:color w:val="000000" w:themeColor="text1"/>
          <w:sz w:val="22"/>
          <w:szCs w:val="22"/>
        </w:rPr>
        <w:footnoteReference w:id="6"/>
      </w:r>
      <w:r w:rsidRPr="00007EB1">
        <w:rPr>
          <w:rFonts w:ascii="Verdana" w:hAnsi="Verdana" w:cs="Arial"/>
          <w:color w:val="000000" w:themeColor="text1"/>
          <w:sz w:val="22"/>
          <w:szCs w:val="22"/>
        </w:rPr>
        <w:t xml:space="preserve"> </w:t>
      </w:r>
      <w:r w:rsidRPr="00007EB1">
        <w:rPr>
          <w:rFonts w:ascii="Verdana" w:eastAsia="Arial" w:hAnsi="Verdana" w:cs="Arial"/>
          <w:color w:val="000000" w:themeColor="text1"/>
          <w:sz w:val="22"/>
          <w:szCs w:val="22"/>
        </w:rPr>
        <w:t xml:space="preserve"> It further specified:</w:t>
      </w:r>
    </w:p>
    <w:p w:rsidR="00C656DA" w:rsidRPr="00007EB1" w:rsidP="00280D5F">
      <w:pPr>
        <w:spacing w:after="270" w:line="360" w:lineRule="auto"/>
        <w:ind w:left="567" w:right="567"/>
        <w:rPr>
          <w:rFonts w:ascii="Verdana" w:eastAsia="Arial" w:hAnsi="Verdana" w:cs="Arial"/>
          <w:color w:val="000000" w:themeColor="text1"/>
          <w:sz w:val="22"/>
          <w:szCs w:val="22"/>
        </w:rPr>
      </w:pPr>
      <w:r w:rsidRPr="00007EB1">
        <w:rPr>
          <w:rFonts w:ascii="Verdana" w:eastAsia="Arial" w:hAnsi="Verdana" w:cs="Arial"/>
          <w:i/>
          <w:iCs/>
          <w:color w:val="000000" w:themeColor="text1"/>
          <w:sz w:val="22"/>
          <w:szCs w:val="22"/>
        </w:rPr>
        <w:t xml:space="preserve">The 1998 Agreement also includes important provisions on Rights, Safeguards and Equality of Opportunity for which EU law and practice has provided a supporting framework in Northern Ireland and across the island of Ireland. The United Kingdom commits to ensuring that no diminution of rights is caused by its departure from the European Union, including </w:t>
      </w:r>
      <w:r w:rsidRPr="00007EB1">
        <w:rPr>
          <w:rFonts w:ascii="Verdana" w:eastAsia="Arial" w:hAnsi="Verdana" w:cs="Arial"/>
          <w:i/>
          <w:iCs/>
          <w:color w:val="000000" w:themeColor="text1"/>
          <w:sz w:val="22"/>
          <w:szCs w:val="22"/>
        </w:rPr>
        <w:t>in the area of</w:t>
      </w:r>
      <w:r w:rsidRPr="00007EB1">
        <w:rPr>
          <w:rFonts w:ascii="Verdana" w:eastAsia="Arial" w:hAnsi="Verdana" w:cs="Arial"/>
          <w:i/>
          <w:iCs/>
          <w:color w:val="000000" w:themeColor="text1"/>
          <w:sz w:val="22"/>
          <w:szCs w:val="22"/>
        </w:rPr>
        <w:t xml:space="preserve"> protection against forms of </w:t>
      </w:r>
      <w:r w:rsidRPr="00007EB1">
        <w:rPr>
          <w:rFonts w:ascii="Verdana" w:eastAsia="Arial" w:hAnsi="Verdana" w:cs="Arial"/>
          <w:i/>
          <w:iCs/>
          <w:color w:val="000000" w:themeColor="text1"/>
          <w:sz w:val="22"/>
          <w:szCs w:val="22"/>
        </w:rPr>
        <w:t>discrimination enshrined in EU law. The United Kingdom commits to facilitating the related work of the institutions and bodies, established by the 1998 Agreement, in upholding human rights and equality standards</w:t>
      </w:r>
      <w:r w:rsidRPr="00007EB1">
        <w:rPr>
          <w:rFonts w:ascii="Verdana" w:hAnsi="Verdana" w:cs="Arial"/>
          <w:i/>
          <w:iCs/>
          <w:color w:val="000000" w:themeColor="text1"/>
          <w:sz w:val="22"/>
          <w:szCs w:val="22"/>
        </w:rPr>
        <w:t>.</w:t>
      </w:r>
      <w:r>
        <w:rPr>
          <w:rStyle w:val="FootnoteReference"/>
          <w:rFonts w:ascii="Verdana" w:hAnsi="Verdana" w:cs="Arial"/>
          <w:color w:val="000000" w:themeColor="text1"/>
          <w:sz w:val="22"/>
          <w:szCs w:val="22"/>
        </w:rPr>
        <w:footnoteReference w:id="7"/>
      </w:r>
    </w:p>
    <w:p w:rsidR="00C656DA" w:rsidRPr="00007EB1" w:rsidP="00280D5F">
      <w:pPr>
        <w:spacing w:before="240" w:after="120" w:line="360" w:lineRule="auto"/>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lang w:val="en-US"/>
        </w:rPr>
        <w:t xml:space="preserve">One year later, </w:t>
      </w:r>
      <w:r w:rsidRPr="00007EB1">
        <w:rPr>
          <w:rFonts w:ascii="Verdana" w:eastAsia="Arial" w:hAnsi="Verdana" w:cs="Arial"/>
          <w:color w:val="000000" w:themeColor="text1"/>
          <w:sz w:val="22"/>
          <w:szCs w:val="22"/>
          <w:lang w:val="en-US"/>
        </w:rPr>
        <w:t xml:space="preserve">the </w:t>
      </w:r>
      <w:r w:rsidRPr="00007EB1">
        <w:rPr>
          <w:rFonts w:ascii="Verdana" w:eastAsia="Arial" w:hAnsi="Verdana" w:cs="Arial"/>
          <w:b/>
          <w:bCs/>
          <w:color w:val="000000" w:themeColor="text1"/>
          <w:sz w:val="22"/>
          <w:szCs w:val="22"/>
          <w:lang w:val="en-US"/>
        </w:rPr>
        <w:t xml:space="preserve"> Draft</w:t>
      </w:r>
      <w:r w:rsidRPr="00007EB1">
        <w:rPr>
          <w:rFonts w:ascii="Verdana" w:eastAsia="Arial" w:hAnsi="Verdana" w:cs="Arial"/>
          <w:b/>
          <w:bCs/>
          <w:color w:val="000000" w:themeColor="text1"/>
          <w:sz w:val="22"/>
          <w:szCs w:val="22"/>
          <w:lang w:val="en-US"/>
        </w:rPr>
        <w:t xml:space="preserve"> Withdrawal Agreement</w:t>
      </w:r>
      <w:r w:rsidRPr="00007EB1">
        <w:rPr>
          <w:rFonts w:ascii="Verdana" w:eastAsia="Arial" w:hAnsi="Verdana" w:cs="Arial"/>
          <w:color w:val="000000" w:themeColor="text1"/>
          <w:sz w:val="22"/>
          <w:szCs w:val="22"/>
          <w:lang w:val="en-US"/>
        </w:rPr>
        <w:t xml:space="preserve"> (</w:t>
      </w:r>
      <w:r w:rsidRPr="00007EB1">
        <w:rPr>
          <w:rFonts w:ascii="Verdana" w:eastAsia="Arial" w:hAnsi="Verdana" w:cs="Arial"/>
          <w:b/>
          <w:bCs/>
          <w:color w:val="000000" w:themeColor="text1"/>
          <w:sz w:val="22"/>
          <w:szCs w:val="22"/>
          <w:lang w:val="en-US"/>
        </w:rPr>
        <w:t>2018)</w:t>
      </w:r>
      <w:r w:rsidRPr="00007EB1">
        <w:rPr>
          <w:rFonts w:ascii="Verdana" w:eastAsia="Arial" w:hAnsi="Verdana" w:cs="Arial"/>
          <w:color w:val="000000" w:themeColor="text1"/>
          <w:sz w:val="22"/>
          <w:szCs w:val="22"/>
          <w:lang w:val="en-US"/>
        </w:rPr>
        <w:t xml:space="preserve"> included a provision in Article 4 on the rights of individuals.</w:t>
      </w:r>
      <w:r w:rsidRPr="00007EB1">
        <w:rPr>
          <w:rFonts w:ascii="Verdana" w:hAnsi="Verdana" w:cs="Arial"/>
          <w:sz w:val="22"/>
          <w:szCs w:val="22"/>
        </w:rPr>
        <w:t xml:space="preserve"> </w:t>
      </w:r>
      <w:r>
        <w:rPr>
          <w:rStyle w:val="FootnoteReference"/>
          <w:rFonts w:ascii="Verdana" w:hAnsi="Verdana" w:cs="Arial"/>
          <w:sz w:val="22"/>
          <w:szCs w:val="22"/>
        </w:rPr>
        <w:footnoteReference w:id="8"/>
      </w:r>
      <w:r w:rsidRPr="00007EB1">
        <w:rPr>
          <w:rFonts w:ascii="Verdana" w:hAnsi="Verdana" w:cs="Arial"/>
          <w:sz w:val="22"/>
          <w:szCs w:val="22"/>
        </w:rPr>
        <w:t xml:space="preserve"> </w:t>
      </w:r>
      <w:r w:rsidRPr="00007EB1">
        <w:rPr>
          <w:rFonts w:ascii="Verdana" w:eastAsia="Arial" w:hAnsi="Verdana" w:cs="Arial"/>
          <w:color w:val="000000" w:themeColor="text1"/>
          <w:sz w:val="22"/>
          <w:szCs w:val="22"/>
          <w:lang w:val="en-US"/>
        </w:rPr>
        <w:t xml:space="preserve">According to an EU Explainer Document </w:t>
      </w:r>
      <w:r w:rsidRPr="00007EB1">
        <w:rPr>
          <w:rFonts w:ascii="Verdana" w:eastAsia="Arial" w:hAnsi="Verdana" w:cs="Arial"/>
          <w:color w:val="000000" w:themeColor="text1"/>
          <w:sz w:val="22"/>
          <w:szCs w:val="22"/>
          <w:lang w:val="en-US"/>
        </w:rPr>
        <w:t>from</w:t>
      </w:r>
      <w:r w:rsidRPr="00007EB1">
        <w:rPr>
          <w:rFonts w:ascii="Verdana" w:eastAsia="Arial" w:hAnsi="Verdana" w:cs="Arial"/>
          <w:color w:val="000000" w:themeColor="text1"/>
          <w:sz w:val="22"/>
          <w:szCs w:val="22"/>
          <w:lang w:val="en-US"/>
        </w:rPr>
        <w:t xml:space="preserve"> November 2018:</w:t>
      </w:r>
    </w:p>
    <w:p w:rsidR="00C656DA" w:rsidRPr="00007EB1" w:rsidP="00280D5F">
      <w:pPr>
        <w:pStyle w:val="Quote"/>
        <w:spacing w:before="120" w:after="120" w:line="360" w:lineRule="auto"/>
        <w:ind w:left="567" w:right="567"/>
        <w:jc w:val="left"/>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 xml:space="preserve">The UK has confirmed its commitment to ensure no diminution of the rights, safeguards and equality of opportunity set out in the Good Friday (Belfast) Agreement. This includes a commitment to no diminution in rights </w:t>
      </w:r>
      <w:r w:rsidRPr="00007EB1">
        <w:rPr>
          <w:rFonts w:ascii="Verdana" w:eastAsia="Arial" w:hAnsi="Verdana" w:cs="Arial"/>
          <w:color w:val="000000" w:themeColor="text1"/>
          <w:sz w:val="22"/>
          <w:szCs w:val="22"/>
        </w:rPr>
        <w:t>in the area of</w:t>
      </w:r>
      <w:r w:rsidRPr="00007EB1">
        <w:rPr>
          <w:rFonts w:ascii="Verdana" w:eastAsia="Arial" w:hAnsi="Verdana" w:cs="Arial"/>
          <w:color w:val="000000" w:themeColor="text1"/>
          <w:sz w:val="22"/>
          <w:szCs w:val="22"/>
        </w:rPr>
        <w:t xml:space="preserve"> non-discrimination at the time of or following its withdrawal from the European Union and Annex 1 lists the existing EU Directives that have been adopted by the European Union in this area. The commitment to no diminution applies further to all rights, safeguards and equality of opportunity concepts set out in the Good Friday/Belfast Agreement.</w:t>
      </w:r>
      <w:r w:rsidRPr="00007EB1">
        <w:rPr>
          <w:rFonts w:ascii="Verdana" w:hAnsi="Verdana" w:cs="Arial"/>
          <w:i w:val="0"/>
          <w:color w:val="000000" w:themeColor="text1"/>
          <w:sz w:val="22"/>
          <w:szCs w:val="22"/>
        </w:rPr>
        <w:t xml:space="preserve"> </w:t>
      </w:r>
      <w:r>
        <w:rPr>
          <w:rStyle w:val="FootnoteReference"/>
          <w:rFonts w:ascii="Verdana" w:hAnsi="Verdana" w:cs="Arial"/>
          <w:i w:val="0"/>
          <w:color w:val="000000" w:themeColor="text1"/>
          <w:sz w:val="22"/>
          <w:szCs w:val="22"/>
        </w:rPr>
        <w:footnoteReference w:id="9"/>
      </w: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The Preamble to the Protocol on Ireland/Northern Ireland (2020), amended and supplemented by the Windsor Framework (2023)</w:t>
      </w:r>
      <w:r w:rsidRPr="00007EB1">
        <w:rPr>
          <w:rFonts w:ascii="Verdana" w:eastAsia="Arial" w:hAnsi="Verdana" w:cs="Arial"/>
          <w:color w:val="000000" w:themeColor="text1"/>
          <w:sz w:val="22"/>
          <w:szCs w:val="22"/>
        </w:rPr>
        <w:t xml:space="preserve"> (WF), reflects the centrality of ensuring continued human rights and equality standards in Northern Ireland post-Brexit. It affirms that the BGFA </w:t>
      </w:r>
      <w:r w:rsidRPr="00007EB1">
        <w:rPr>
          <w:rFonts w:ascii="Verdana" w:eastAsia="Arial" w:hAnsi="Verdana" w:cs="Arial"/>
          <w:i/>
          <w:iCs/>
          <w:color w:val="000000" w:themeColor="text1"/>
          <w:sz w:val="22"/>
          <w:szCs w:val="22"/>
        </w:rPr>
        <w:t xml:space="preserve">‘should be protected in all its </w:t>
      </w:r>
      <w:r w:rsidRPr="00007EB1">
        <w:rPr>
          <w:rFonts w:ascii="Verdana" w:eastAsia="Arial" w:hAnsi="Verdana" w:cs="Arial"/>
          <w:i/>
          <w:iCs/>
          <w:color w:val="000000" w:themeColor="text1"/>
          <w:sz w:val="22"/>
          <w:szCs w:val="22"/>
        </w:rPr>
        <w:t>parts</w:t>
      </w:r>
      <w:r w:rsidRPr="00007EB1">
        <w:rPr>
          <w:rFonts w:ascii="Verdana" w:eastAsia="Arial" w:hAnsi="Verdana" w:cs="Arial"/>
          <w:color w:val="000000" w:themeColor="text1"/>
          <w:sz w:val="22"/>
          <w:szCs w:val="22"/>
        </w:rPr>
        <w:t>’</w:t>
      </w:r>
      <w:r w:rsidRPr="00007EB1">
        <w:rPr>
          <w:rFonts w:ascii="Verdana" w:eastAsia="Arial" w:hAnsi="Verdana" w:cs="Arial"/>
          <w:color w:val="000000" w:themeColor="text1"/>
          <w:sz w:val="22"/>
          <w:szCs w:val="22"/>
        </w:rPr>
        <w:t xml:space="preserve"> and notes that ‘</w:t>
      </w:r>
      <w:r w:rsidRPr="00007EB1">
        <w:rPr>
          <w:rFonts w:ascii="Verdana" w:eastAsia="Arial" w:hAnsi="Verdana" w:cs="Arial"/>
          <w:i/>
          <w:iCs/>
          <w:color w:val="000000" w:themeColor="text1"/>
          <w:sz w:val="22"/>
          <w:szCs w:val="22"/>
        </w:rPr>
        <w:t>Union law has provided a supporting framework for the provisions on Rights, Safeguards and Equality of Opportunity of the 1998 Agreement</w:t>
      </w:r>
      <w:r w:rsidRPr="00007EB1">
        <w:rPr>
          <w:rFonts w:ascii="Verdana" w:eastAsia="Arial" w:hAnsi="Verdana" w:cs="Arial"/>
          <w:color w:val="000000" w:themeColor="text1"/>
          <w:sz w:val="22"/>
          <w:szCs w:val="22"/>
        </w:rPr>
        <w:t xml:space="preserve">’. More specifically, </w:t>
      </w:r>
      <w:r w:rsidRPr="00007EB1">
        <w:rPr>
          <w:rFonts w:ascii="Verdana" w:eastAsia="Arial" w:hAnsi="Verdana" w:cs="Arial"/>
          <w:b/>
          <w:bCs/>
          <w:color w:val="000000" w:themeColor="text1"/>
          <w:sz w:val="22"/>
          <w:szCs w:val="22"/>
        </w:rPr>
        <w:t xml:space="preserve">Article 2(1) </w:t>
      </w:r>
      <w:r w:rsidRPr="00007EB1">
        <w:rPr>
          <w:rFonts w:ascii="Verdana" w:eastAsia="Arial" w:hAnsi="Verdana" w:cs="Arial"/>
          <w:b/>
          <w:bCs/>
          <w:color w:val="000000" w:themeColor="text1"/>
          <w:sz w:val="22"/>
          <w:szCs w:val="22"/>
        </w:rPr>
        <w:t xml:space="preserve">WF  </w:t>
      </w:r>
      <w:r w:rsidRPr="00007EB1">
        <w:rPr>
          <w:rFonts w:ascii="Verdana" w:eastAsia="Arial" w:hAnsi="Verdana" w:cs="Arial"/>
          <w:color w:val="000000" w:themeColor="text1"/>
          <w:sz w:val="22"/>
          <w:szCs w:val="22"/>
        </w:rPr>
        <w:t>places</w:t>
      </w:r>
      <w:r w:rsidRPr="00007EB1">
        <w:rPr>
          <w:rFonts w:ascii="Verdana" w:eastAsia="Arial" w:hAnsi="Verdana" w:cs="Arial"/>
          <w:color w:val="000000" w:themeColor="text1"/>
          <w:sz w:val="22"/>
          <w:szCs w:val="22"/>
        </w:rPr>
        <w:t xml:space="preserve"> an obligation on the UK to ensure there is no diminution of rights, safeguards or equality of opportunity as set out in said provisions of the BGFA </w:t>
      </w:r>
      <w:r w:rsidRPr="00007EB1">
        <w:rPr>
          <w:rFonts w:ascii="Verdana" w:eastAsia="Arial" w:hAnsi="Verdana" w:cs="Arial"/>
          <w:color w:val="000000" w:themeColor="text1"/>
          <w:sz w:val="22"/>
          <w:szCs w:val="22"/>
        </w:rPr>
        <w:t>as a result of</w:t>
      </w:r>
      <w:r w:rsidRPr="00007EB1">
        <w:rPr>
          <w:rFonts w:ascii="Verdana" w:eastAsia="Arial" w:hAnsi="Verdana" w:cs="Arial"/>
          <w:color w:val="000000" w:themeColor="text1"/>
          <w:sz w:val="22"/>
          <w:szCs w:val="22"/>
        </w:rPr>
        <w:t xml:space="preserve"> the UK’s exit from the EU. This provides significant rights protections for the people of Northern Ireland. </w:t>
      </w:r>
    </w:p>
    <w:p w:rsidR="00C656DA" w:rsidRPr="00007EB1" w:rsidP="00280D5F">
      <w:pPr>
        <w:keepNext/>
        <w:spacing w:after="270" w:line="360" w:lineRule="auto"/>
        <w:ind w:left="567" w:right="567"/>
        <w:rPr>
          <w:rFonts w:ascii="Verdana" w:eastAsia="Arial" w:hAnsi="Verdana" w:cs="Arial"/>
          <w:color w:val="000000" w:themeColor="text1"/>
          <w:sz w:val="22"/>
          <w:szCs w:val="22"/>
        </w:rPr>
      </w:pPr>
      <w:r w:rsidRPr="00007EB1">
        <w:rPr>
          <w:rFonts w:ascii="Verdana" w:eastAsia="Arial" w:hAnsi="Verdana" w:cs="Arial"/>
          <w:i/>
          <w:iCs/>
          <w:color w:val="000000" w:themeColor="text1"/>
          <w:sz w:val="22"/>
          <w:szCs w:val="22"/>
        </w:rPr>
        <w:t xml:space="preserve">Article 2 Rights of individuals </w:t>
      </w:r>
    </w:p>
    <w:p w:rsidR="00C656DA" w:rsidRPr="00007EB1" w:rsidP="00280D5F">
      <w:pPr>
        <w:spacing w:after="270" w:line="360" w:lineRule="auto"/>
        <w:ind w:left="567" w:right="567"/>
        <w:rPr>
          <w:rFonts w:ascii="Verdana" w:eastAsia="Arial" w:hAnsi="Verdana" w:cs="Arial"/>
          <w:color w:val="000000" w:themeColor="text1"/>
          <w:sz w:val="22"/>
          <w:szCs w:val="22"/>
        </w:rPr>
      </w:pPr>
      <w:r w:rsidRPr="00007EB1">
        <w:rPr>
          <w:rFonts w:ascii="Verdana" w:eastAsia="Arial" w:hAnsi="Verdana" w:cs="Arial"/>
          <w:i/>
          <w:iCs/>
          <w:color w:val="000000" w:themeColor="text1"/>
          <w:sz w:val="22"/>
          <w:szCs w:val="22"/>
        </w:rPr>
        <w:t xml:space="preserve">1. The United Kingdom shall ensure that no diminution of rights, safeguards or equality of opportunity, as set out in that part of the </w:t>
      </w:r>
      <w:r w:rsidRPr="00007EB1">
        <w:rPr>
          <w:rFonts w:ascii="Verdana" w:eastAsia="Arial" w:hAnsi="Verdana" w:cs="Arial"/>
          <w:i/>
          <w:iCs/>
          <w:color w:val="000000" w:themeColor="text1"/>
          <w:sz w:val="22"/>
          <w:szCs w:val="22"/>
        </w:rPr>
        <w:t xml:space="preserve">1998 Agreement entitled Rights, Safeguards and Equality of Opportunity results from its withdrawal from the Union, including in the area of protection against discrimination, as enshrined in the provisions of Union law listed in Annex 1 to this Protocol, and shall implement this paragraph through dedicated mechanisms. </w:t>
      </w:r>
    </w:p>
    <w:p w:rsidR="00C656DA" w:rsidRPr="00007EB1" w:rsidP="00280D5F">
      <w:pPr>
        <w:spacing w:after="270" w:line="360" w:lineRule="auto"/>
        <w:ind w:right="567"/>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 xml:space="preserve">The safeguarding of the 1998 Agreement was also confirmed in a </w:t>
      </w:r>
      <w:r w:rsidRPr="00007EB1">
        <w:rPr>
          <w:rFonts w:ascii="Verdana" w:eastAsia="Arial" w:hAnsi="Verdana" w:cs="Arial"/>
          <w:b/>
          <w:bCs/>
          <w:color w:val="000000" w:themeColor="text1"/>
          <w:sz w:val="22"/>
          <w:szCs w:val="22"/>
        </w:rPr>
        <w:t>UK Explainer Document (2020)</w:t>
      </w:r>
      <w:r w:rsidRPr="00007EB1">
        <w:rPr>
          <w:rFonts w:ascii="Verdana" w:hAnsi="Verdana" w:cs="Arial"/>
          <w:color w:val="000000" w:themeColor="text1"/>
          <w:sz w:val="22"/>
          <w:szCs w:val="22"/>
        </w:rPr>
        <w:t xml:space="preserve"> </w:t>
      </w:r>
      <w:r>
        <w:rPr>
          <w:rStyle w:val="FootnoteReference"/>
          <w:rFonts w:ascii="Verdana" w:hAnsi="Verdana" w:cs="Arial"/>
          <w:color w:val="000000" w:themeColor="text1"/>
          <w:sz w:val="22"/>
          <w:szCs w:val="22"/>
        </w:rPr>
        <w:footnoteReference w:id="10"/>
      </w:r>
      <w:r w:rsidRPr="00007EB1">
        <w:rPr>
          <w:rFonts w:ascii="Verdana" w:hAnsi="Verdana" w:cs="Arial"/>
          <w:color w:val="000000" w:themeColor="text1"/>
          <w:sz w:val="22"/>
          <w:szCs w:val="22"/>
        </w:rPr>
        <w:t xml:space="preserve"> </w:t>
      </w:r>
      <w:r w:rsidRPr="00007EB1">
        <w:rPr>
          <w:rFonts w:ascii="Verdana" w:eastAsia="Arial" w:hAnsi="Verdana" w:cs="Arial"/>
          <w:color w:val="000000" w:themeColor="text1"/>
          <w:sz w:val="22"/>
          <w:szCs w:val="22"/>
        </w:rPr>
        <w:t xml:space="preserve">(removed from the UK government website following the </w:t>
      </w:r>
      <w:r w:rsidRPr="00007EB1">
        <w:rPr>
          <w:rFonts w:ascii="Verdana" w:eastAsia="Arial" w:hAnsi="Verdana" w:cs="Arial"/>
          <w:i/>
          <w:iCs/>
          <w:color w:val="000000" w:themeColor="text1"/>
          <w:sz w:val="22"/>
          <w:szCs w:val="22"/>
        </w:rPr>
        <w:t>Dillon</w:t>
      </w:r>
      <w:r w:rsidRPr="00007EB1">
        <w:rPr>
          <w:rFonts w:ascii="Verdana" w:eastAsia="Arial" w:hAnsi="Verdana" w:cs="Arial"/>
          <w:color w:val="000000" w:themeColor="text1"/>
          <w:sz w:val="22"/>
          <w:szCs w:val="22"/>
        </w:rPr>
        <w:t xml:space="preserve"> judgment), which stated: </w:t>
      </w:r>
    </w:p>
    <w:p w:rsidR="00C656DA" w:rsidRPr="00007EB1" w:rsidP="00280D5F">
      <w:pPr>
        <w:spacing w:after="270" w:line="360" w:lineRule="auto"/>
        <w:ind w:left="567" w:right="567"/>
        <w:rPr>
          <w:rFonts w:ascii="Verdana" w:eastAsia="Arial" w:hAnsi="Verdana" w:cs="Arial"/>
          <w:color w:val="000000" w:themeColor="text1"/>
          <w:sz w:val="22"/>
          <w:szCs w:val="22"/>
        </w:rPr>
      </w:pPr>
      <w:r w:rsidRPr="00007EB1">
        <w:rPr>
          <w:rFonts w:ascii="Verdana" w:eastAsia="Arial" w:hAnsi="Verdana" w:cs="Arial"/>
          <w:i/>
          <w:iCs/>
          <w:color w:val="000000" w:themeColor="text1"/>
          <w:sz w:val="22"/>
          <w:szCs w:val="22"/>
        </w:rPr>
        <w:t>The UK Government’s approach to withdrawal from the European Union (EU) has been underpinned by our steadfast commitment to upholding the Belfast (‘Good Friday’) Agreement (“the Agreement”) in all its parts. This includes its provisions on citizenship and identity. We acknowledge the importance of the rights and equality protections set out in the Agreement, which recognise the unique circumstances of Northern Ireland’s history and the need to put rights and equality central to creating a peaceful and share</w:t>
      </w:r>
      <w:r w:rsidRPr="00007EB1">
        <w:rPr>
          <w:rFonts w:ascii="Verdana" w:eastAsia="Arial" w:hAnsi="Verdana" w:cs="Arial"/>
          <w:i/>
          <w:iCs/>
          <w:color w:val="000000" w:themeColor="text1"/>
          <w:sz w:val="22"/>
          <w:szCs w:val="22"/>
        </w:rPr>
        <w:t>d future in Northern Ireland.</w:t>
      </w:r>
      <w:r w:rsidRPr="00007EB1">
        <w:rPr>
          <w:rFonts w:ascii="Verdana" w:hAnsi="Verdana" w:cs="Arial"/>
          <w:i/>
          <w:iCs/>
          <w:color w:val="000000" w:themeColor="text1"/>
          <w:sz w:val="22"/>
          <w:szCs w:val="22"/>
        </w:rPr>
        <w:t xml:space="preserve"> </w:t>
      </w:r>
      <w:r>
        <w:rPr>
          <w:rStyle w:val="FootnoteReference"/>
          <w:rFonts w:ascii="Verdana" w:hAnsi="Verdana" w:cs="Arial"/>
          <w:i/>
          <w:iCs/>
          <w:color w:val="000000" w:themeColor="text1"/>
          <w:sz w:val="22"/>
          <w:szCs w:val="22"/>
        </w:rPr>
        <w:footnoteReference w:id="11"/>
      </w: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lang w:val="en-US"/>
        </w:rPr>
        <w:t>6. The UK Explainer Document 2020 further clarifies what ‘no diminution’ means, by stating that ‘</w:t>
      </w:r>
      <w:r w:rsidRPr="00007EB1">
        <w:rPr>
          <w:rFonts w:ascii="Verdana" w:eastAsia="Arial" w:hAnsi="Verdana" w:cs="Arial"/>
          <w:i/>
          <w:iCs/>
          <w:color w:val="000000" w:themeColor="text1"/>
          <w:sz w:val="22"/>
          <w:szCs w:val="22"/>
          <w:lang w:val="en-US"/>
        </w:rPr>
        <w:t>the UK Government must ensure that the protections currently in place in Northern Ireland for the rights, safeguards and equality of opportunity provisions set out in the relevant chapter of the Agreement are not diminished as a result of the UK leaving the EU’</w:t>
      </w:r>
      <w:r w:rsidRPr="00007EB1">
        <w:rPr>
          <w:rFonts w:ascii="Verdana" w:eastAsia="Arial" w:hAnsi="Verdana" w:cs="Arial"/>
          <w:color w:val="000000" w:themeColor="text1"/>
          <w:sz w:val="22"/>
          <w:szCs w:val="22"/>
          <w:lang w:val="en-US"/>
        </w:rPr>
        <w:t>.</w:t>
      </w:r>
      <w:r w:rsidRPr="00007EB1">
        <w:rPr>
          <w:rFonts w:ascii="Verdana" w:hAnsi="Verdana" w:cs="Arial"/>
          <w:sz w:val="22"/>
          <w:szCs w:val="22"/>
        </w:rPr>
        <w:t xml:space="preserve"> </w:t>
      </w:r>
      <w:r>
        <w:rPr>
          <w:rStyle w:val="FootnoteReference"/>
          <w:rFonts w:ascii="Verdana" w:hAnsi="Verdana" w:cs="Arial"/>
          <w:sz w:val="22"/>
          <w:szCs w:val="22"/>
        </w:rPr>
        <w:footnoteReference w:id="12"/>
      </w:r>
      <w:r w:rsidRPr="00007EB1">
        <w:rPr>
          <w:rFonts w:ascii="Verdana" w:hAnsi="Verdana" w:cs="Arial"/>
          <w:sz w:val="22"/>
          <w:szCs w:val="22"/>
        </w:rPr>
        <w:t xml:space="preserve"> </w:t>
      </w:r>
      <w:r w:rsidRPr="00007EB1">
        <w:rPr>
          <w:rFonts w:ascii="Verdana" w:eastAsia="Arial" w:hAnsi="Verdana" w:cs="Arial"/>
          <w:color w:val="000000" w:themeColor="text1"/>
          <w:sz w:val="22"/>
          <w:szCs w:val="22"/>
          <w:lang w:val="en-US"/>
        </w:rPr>
        <w:t>It specifies that the non-diminution requirement represents a ‘</w:t>
      </w:r>
      <w:r w:rsidRPr="00007EB1">
        <w:rPr>
          <w:rFonts w:ascii="Verdana" w:eastAsia="Arial" w:hAnsi="Verdana" w:cs="Arial"/>
          <w:i/>
          <w:iCs/>
          <w:color w:val="000000" w:themeColor="text1"/>
          <w:sz w:val="22"/>
          <w:szCs w:val="22"/>
          <w:lang w:val="en-US"/>
        </w:rPr>
        <w:t xml:space="preserve">legally binding safeguard’ </w:t>
      </w:r>
      <w:r w:rsidRPr="00007EB1">
        <w:rPr>
          <w:rFonts w:ascii="Verdana" w:eastAsia="Arial" w:hAnsi="Verdana" w:cs="Arial"/>
          <w:color w:val="000000" w:themeColor="text1"/>
          <w:sz w:val="22"/>
          <w:szCs w:val="22"/>
          <w:lang w:val="en-US"/>
        </w:rPr>
        <w:t>and that as a result ‘</w:t>
      </w:r>
      <w:r w:rsidRPr="00007EB1">
        <w:rPr>
          <w:rFonts w:ascii="Verdana" w:eastAsia="Arial" w:hAnsi="Verdana" w:cs="Arial"/>
          <w:i/>
          <w:iCs/>
          <w:color w:val="000000" w:themeColor="text1"/>
          <w:sz w:val="22"/>
          <w:szCs w:val="22"/>
          <w:lang w:val="en-US"/>
        </w:rPr>
        <w:t>holders of the relevant rights (must be) able to bring challenges before the domestic courts and, should their challenges be upheld, (...) appropriate remedies (must be) available’</w:t>
      </w:r>
      <w:r w:rsidRPr="00007EB1">
        <w:rPr>
          <w:rFonts w:ascii="Verdana" w:eastAsia="Arial" w:hAnsi="Verdana" w:cs="Arial"/>
          <w:color w:val="000000" w:themeColor="text1"/>
          <w:sz w:val="22"/>
          <w:szCs w:val="22"/>
          <w:lang w:val="en-US"/>
        </w:rPr>
        <w:t>.</w:t>
      </w:r>
      <w:r w:rsidRPr="00007EB1">
        <w:rPr>
          <w:rFonts w:ascii="Verdana" w:hAnsi="Verdana" w:cs="Arial"/>
          <w:sz w:val="22"/>
          <w:szCs w:val="22"/>
        </w:rPr>
        <w:t xml:space="preserve"> </w:t>
      </w:r>
      <w:r>
        <w:rPr>
          <w:rStyle w:val="FootnoteReference"/>
          <w:rFonts w:ascii="Verdana" w:hAnsi="Verdana" w:cs="Arial"/>
          <w:sz w:val="22"/>
          <w:szCs w:val="22"/>
        </w:rPr>
        <w:footnoteReference w:id="13"/>
      </w:r>
    </w:p>
    <w:p w:rsidR="00C656DA" w:rsidRPr="00007EB1" w:rsidP="00280D5F">
      <w:pPr>
        <w:spacing w:before="120" w:after="120" w:line="360" w:lineRule="auto"/>
        <w:ind w:right="567"/>
        <w:rPr>
          <w:rFonts w:ascii="Verdana" w:eastAsia="Arial" w:hAnsi="Verdana" w:cs="Arial"/>
          <w:color w:val="000000" w:themeColor="text1"/>
          <w:sz w:val="22"/>
          <w:szCs w:val="22"/>
        </w:rPr>
      </w:pPr>
    </w:p>
    <w:p w:rsidR="00C656DA" w:rsidRPr="00007EB1" w:rsidP="00280D5F">
      <w:pPr>
        <w:pStyle w:val="ListParagraph"/>
        <w:spacing w:before="120" w:after="12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Q2 Prior to Brexit, how were the rights, safeguards, and equality of opportunity (RSEO) provisions of the Belfast/ Good Friday Agreement protected?</w:t>
      </w:r>
    </w:p>
    <w:p w:rsidR="00C656DA" w:rsidRPr="00007EB1" w:rsidP="00280D5F">
      <w:pPr>
        <w:spacing w:before="120" w:after="120" w:line="360" w:lineRule="auto"/>
        <w:ind w:left="360"/>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 xml:space="preserve">The RSEO provisions within the BGFA detail overarching rights and equality commitments in the context of a post-conflict society. </w:t>
      </w:r>
      <w:r w:rsidRPr="00007EB1">
        <w:rPr>
          <w:rFonts w:ascii="Verdana" w:eastAsia="Arial" w:hAnsi="Verdana" w:cs="Arial"/>
          <w:b/>
          <w:bCs/>
          <w:color w:val="000000" w:themeColor="text1"/>
          <w:sz w:val="22"/>
          <w:szCs w:val="22"/>
        </w:rPr>
        <w:t>Prior to Brexit</w:t>
      </w:r>
      <w:r w:rsidRPr="00007EB1">
        <w:rPr>
          <w:rFonts w:ascii="Verdana" w:eastAsia="Arial" w:hAnsi="Verdana" w:cs="Arial"/>
          <w:color w:val="000000" w:themeColor="text1"/>
          <w:sz w:val="22"/>
          <w:szCs w:val="22"/>
        </w:rPr>
        <w:t>, such provisions were protected within a tapestry of legal frameworks inclusive of domestic law, the European Convention on Human Rights and EU law, though some parts of the RSEO commitments have never been delivered (notably a Bill of Rights for Northern Ireland). In line with UK legal practice, the BGFA was not directly enforceable in UK law, though it could be used to help interpret UK law. Significant protections for the rights, safeguards and equality of opportunity in the Agreement included:</w:t>
      </w:r>
    </w:p>
    <w:p w:rsidR="00C656DA" w:rsidRPr="00007EB1" w:rsidP="00280D5F">
      <w:pPr>
        <w:pStyle w:val="ListParagraph"/>
        <w:numPr>
          <w:ilvl w:val="0"/>
          <w:numId w:val="5"/>
        </w:numPr>
        <w:spacing w:after="270" w:line="360" w:lineRule="auto"/>
        <w:rPr>
          <w:rFonts w:ascii="Verdana" w:eastAsia="Arial" w:hAnsi="Verdana" w:cs="Arial"/>
          <w:color w:val="000000" w:themeColor="text1"/>
          <w:sz w:val="22"/>
          <w:szCs w:val="22"/>
        </w:rPr>
      </w:pPr>
      <w:r w:rsidRPr="00007EB1">
        <w:rPr>
          <w:rFonts w:ascii="Verdana" w:eastAsia="Arial" w:hAnsi="Verdana" w:cs="Arial"/>
          <w:b/>
          <w:bCs/>
          <w:i/>
          <w:iCs/>
          <w:color w:val="000000" w:themeColor="text1"/>
          <w:sz w:val="22"/>
          <w:szCs w:val="22"/>
        </w:rPr>
        <w:t>The Northern Ireland Act 1998</w:t>
      </w:r>
      <w:r w:rsidRPr="00007EB1">
        <w:rPr>
          <w:rFonts w:ascii="Verdana" w:eastAsia="Arial" w:hAnsi="Verdana" w:cs="Arial"/>
          <w:color w:val="000000" w:themeColor="text1"/>
          <w:sz w:val="22"/>
          <w:szCs w:val="22"/>
        </w:rPr>
        <w:t>, including: specific equality provisions contained within section 75 (‘Statutory duty on public authorities’); section 76 (‘Discrimination by public authorities’</w:t>
      </w:r>
      <w:r w:rsidRPr="00007EB1">
        <w:rPr>
          <w:rFonts w:ascii="Verdana" w:eastAsia="Arial" w:hAnsi="Verdana" w:cs="Arial"/>
          <w:color w:val="000000" w:themeColor="text1"/>
          <w:sz w:val="22"/>
          <w:szCs w:val="22"/>
        </w:rPr>
        <w:t>);  provisions</w:t>
      </w:r>
      <w:r w:rsidRPr="00007EB1">
        <w:rPr>
          <w:rFonts w:ascii="Verdana" w:eastAsia="Arial" w:hAnsi="Verdana" w:cs="Arial"/>
          <w:color w:val="000000" w:themeColor="text1"/>
          <w:sz w:val="22"/>
          <w:szCs w:val="22"/>
        </w:rPr>
        <w:t xml:space="preserve"> on legislative and executive competence in sections 6 and 24 and creation of the Northern Ireland Human Rights Commission and Equality Commission for Northern Ireland in sections 68 to 78; </w:t>
      </w:r>
    </w:p>
    <w:p w:rsidR="00C656DA" w:rsidRPr="00007EB1" w:rsidP="00280D5F">
      <w:pPr>
        <w:pStyle w:val="ListParagraph"/>
        <w:numPr>
          <w:ilvl w:val="0"/>
          <w:numId w:val="5"/>
        </w:numPr>
        <w:spacing w:after="270" w:line="360" w:lineRule="auto"/>
        <w:rPr>
          <w:rFonts w:ascii="Verdana" w:eastAsia="Arial" w:hAnsi="Verdana" w:cs="Arial"/>
          <w:color w:val="000000" w:themeColor="text1"/>
          <w:sz w:val="22"/>
          <w:szCs w:val="22"/>
        </w:rPr>
      </w:pPr>
      <w:r w:rsidRPr="00007EB1">
        <w:rPr>
          <w:rFonts w:ascii="Verdana" w:eastAsia="Arial" w:hAnsi="Verdana" w:cs="Arial"/>
          <w:b/>
          <w:bCs/>
          <w:i/>
          <w:iCs/>
          <w:color w:val="000000" w:themeColor="text1"/>
          <w:sz w:val="22"/>
          <w:szCs w:val="22"/>
        </w:rPr>
        <w:t>The Human Rights Act 1998</w:t>
      </w:r>
    </w:p>
    <w:p w:rsidR="00C656DA" w:rsidRPr="00007EB1" w:rsidP="00280D5F">
      <w:pPr>
        <w:pStyle w:val="ListParagraph"/>
        <w:numPr>
          <w:ilvl w:val="0"/>
          <w:numId w:val="5"/>
        </w:numPr>
        <w:spacing w:after="270" w:line="360" w:lineRule="auto"/>
        <w:rPr>
          <w:rFonts w:ascii="Verdana" w:eastAsia="Arial" w:hAnsi="Verdana" w:cs="Arial"/>
          <w:color w:val="000000" w:themeColor="text1"/>
          <w:sz w:val="22"/>
          <w:szCs w:val="22"/>
        </w:rPr>
      </w:pPr>
      <w:r w:rsidRPr="00007EB1">
        <w:rPr>
          <w:rFonts w:ascii="Verdana" w:eastAsia="Arial" w:hAnsi="Verdana" w:cs="Arial"/>
          <w:b/>
          <w:bCs/>
          <w:i/>
          <w:iCs/>
          <w:color w:val="000000" w:themeColor="text1"/>
          <w:sz w:val="22"/>
          <w:szCs w:val="22"/>
        </w:rPr>
        <w:t>The European Convention on Human Rights</w:t>
      </w:r>
      <w:r w:rsidRPr="00007EB1">
        <w:rPr>
          <w:rFonts w:ascii="Verdana" w:eastAsia="Arial" w:hAnsi="Verdana" w:cs="Arial"/>
          <w:color w:val="000000" w:themeColor="text1"/>
          <w:sz w:val="22"/>
          <w:szCs w:val="22"/>
        </w:rPr>
        <w:t xml:space="preserve"> 1950, which is significantly incorporated into domestic law through the Human Rights Act 1998;</w:t>
      </w:r>
    </w:p>
    <w:p w:rsidR="00C656DA" w:rsidRPr="00007EB1" w:rsidP="00280D5F">
      <w:pPr>
        <w:pStyle w:val="ListParagraph"/>
        <w:numPr>
          <w:ilvl w:val="0"/>
          <w:numId w:val="5"/>
        </w:numPr>
        <w:spacing w:line="360" w:lineRule="auto"/>
        <w:rPr>
          <w:rFonts w:ascii="Verdana" w:eastAsia="Arial" w:hAnsi="Verdana" w:cs="Arial"/>
          <w:color w:val="000000" w:themeColor="text1"/>
          <w:sz w:val="22"/>
          <w:szCs w:val="22"/>
        </w:rPr>
      </w:pPr>
      <w:r w:rsidRPr="00007EB1">
        <w:rPr>
          <w:rFonts w:ascii="Verdana" w:eastAsia="Arial" w:hAnsi="Verdana" w:cs="Arial"/>
          <w:b/>
          <w:bCs/>
          <w:i/>
          <w:iCs/>
          <w:color w:val="000000" w:themeColor="text1"/>
          <w:sz w:val="22"/>
          <w:szCs w:val="22"/>
        </w:rPr>
        <w:t>Different elements of EU law</w:t>
      </w:r>
      <w:r w:rsidRPr="00007EB1">
        <w:rPr>
          <w:rFonts w:ascii="Verdana" w:eastAsia="Arial" w:hAnsi="Verdana" w:cs="Arial"/>
          <w:color w:val="000000" w:themeColor="text1"/>
          <w:sz w:val="22"/>
          <w:szCs w:val="22"/>
        </w:rPr>
        <w:t xml:space="preserve">, most notably equality directives but also EU primary law such as the Charter of Fundamental Rights, general principles of law, and other EU secondary law. EU law was a significant underpinning of equality law in Northern Ireland before Brexit. </w:t>
      </w: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lang w:val="en-US"/>
        </w:rPr>
        <w:t>Following Brexit</w:t>
      </w:r>
      <w:r w:rsidRPr="00007EB1">
        <w:rPr>
          <w:rFonts w:ascii="Verdana" w:eastAsia="Arial" w:hAnsi="Verdana" w:cs="Arial"/>
          <w:color w:val="000000" w:themeColor="text1"/>
          <w:sz w:val="22"/>
          <w:szCs w:val="22"/>
          <w:lang w:val="en-US"/>
        </w:rPr>
        <w:t>, the UK and the EU agreed that specific EU legal standards regarding gender discrimination, racial discrimination, and discrimination in the workplace should continue to apply to NI (see the six EU Directives listed in Annex 1 of the Windsor Framework). Most of these directives were adopted after the adoption of the BGFA, highlighting that EU law adopted up until the UK’s exit from the EU provided underpinning for the RSEO provisions and should be protected after exit. The RSEO provisions underpinned by EU</w:t>
      </w:r>
      <w:r w:rsidRPr="00007EB1">
        <w:rPr>
          <w:rFonts w:ascii="Verdana" w:eastAsia="Arial" w:hAnsi="Verdana" w:cs="Arial"/>
          <w:color w:val="000000" w:themeColor="text1"/>
          <w:sz w:val="22"/>
          <w:szCs w:val="22"/>
          <w:lang w:val="en-US"/>
        </w:rPr>
        <w:t xml:space="preserve"> law, and the </w:t>
      </w:r>
      <w:r w:rsidRPr="00007EB1">
        <w:rPr>
          <w:rFonts w:ascii="Verdana" w:eastAsia="Arial" w:hAnsi="Verdana" w:cs="Arial"/>
          <w:color w:val="000000" w:themeColor="text1"/>
          <w:sz w:val="22"/>
          <w:szCs w:val="22"/>
          <w:lang w:val="en-US"/>
        </w:rPr>
        <w:t xml:space="preserve">general non-diminution (static alignment) obligation, are not limited to the list of topics embraced by Annex 1 Directives. </w:t>
      </w:r>
    </w:p>
    <w:p w:rsidR="00C656DA" w:rsidRPr="00007EB1" w:rsidP="00280D5F">
      <w:pPr>
        <w:spacing w:before="120" w:after="120" w:line="360" w:lineRule="auto"/>
        <w:rPr>
          <w:rFonts w:ascii="Verdana" w:eastAsia="Arial" w:hAnsi="Verdana" w:cs="Arial"/>
          <w:color w:val="000000" w:themeColor="text1"/>
          <w:sz w:val="22"/>
          <w:szCs w:val="22"/>
        </w:rPr>
      </w:pPr>
    </w:p>
    <w:p w:rsidR="00C656DA" w:rsidRPr="00007EB1" w:rsidP="00280D5F">
      <w:pPr>
        <w:pStyle w:val="ListParagraph"/>
        <w:spacing w:before="120" w:after="120" w:line="360" w:lineRule="auto"/>
        <w:contextualSpacing w:val="0"/>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Q3 What is your view as to the inclusion of Article 2 WF in the Protocol/ Windsor Framework?</w:t>
      </w: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 xml:space="preserve">Mindful that the UK’s exit from the EU could reduce or weaken the protections for human rights and equality in Northern Ireland and generate a potential divergence of rights protection between Northern Ireland and Ireland, Article 2 WF constitutes a vital safeguard against those concerns. </w:t>
      </w:r>
    </w:p>
    <w:p w:rsidR="00C656DA" w:rsidRPr="00007EB1" w:rsidP="00280D5F">
      <w:pPr>
        <w:spacing w:after="27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The EU protections for rights and equality had acquired considerable importance in Northern Ireland for several reasons</w:t>
      </w:r>
      <w:r w:rsidRPr="00007EB1">
        <w:rPr>
          <w:rFonts w:ascii="Verdana" w:eastAsia="Arial" w:hAnsi="Verdana" w:cs="Arial"/>
          <w:color w:val="000000" w:themeColor="text1"/>
          <w:sz w:val="22"/>
          <w:szCs w:val="22"/>
        </w:rPr>
        <w:t>:</w:t>
      </w:r>
    </w:p>
    <w:p w:rsidR="00C656DA" w:rsidRPr="00007EB1" w:rsidP="00280D5F">
      <w:pPr>
        <w:spacing w:after="270" w:line="360" w:lineRule="auto"/>
        <w:ind w:left="567"/>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w:t>
      </w:r>
      <w:r w:rsidRPr="00007EB1">
        <w:rPr>
          <w:rFonts w:ascii="Verdana" w:hAnsi="Verdana"/>
          <w:sz w:val="22"/>
          <w:szCs w:val="22"/>
        </w:rPr>
        <w:tab/>
      </w:r>
      <w:r w:rsidRPr="00007EB1">
        <w:rPr>
          <w:rFonts w:ascii="Verdana" w:eastAsia="Arial" w:hAnsi="Verdana" w:cs="Arial"/>
          <w:color w:val="000000" w:themeColor="text1"/>
          <w:sz w:val="22"/>
          <w:szCs w:val="22"/>
        </w:rPr>
        <w:t>The periods of suspension or effective suspension of the Northern Ireland institutions meant that EU law was often the most important catalyst for legal protection of human rights.</w:t>
      </w:r>
    </w:p>
    <w:p w:rsidR="00C656DA" w:rsidRPr="00007EB1" w:rsidP="00280D5F">
      <w:pPr>
        <w:spacing w:after="270" w:line="360" w:lineRule="auto"/>
        <w:ind w:left="567"/>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w:t>
      </w:r>
      <w:r w:rsidRPr="00007EB1">
        <w:rPr>
          <w:rFonts w:ascii="Verdana" w:hAnsi="Verdana"/>
          <w:sz w:val="22"/>
          <w:szCs w:val="22"/>
        </w:rPr>
        <w:tab/>
      </w:r>
      <w:r w:rsidRPr="00007EB1">
        <w:rPr>
          <w:rFonts w:ascii="Verdana" w:eastAsia="Arial" w:hAnsi="Verdana" w:cs="Arial"/>
          <w:color w:val="000000" w:themeColor="text1"/>
          <w:sz w:val="22"/>
          <w:szCs w:val="22"/>
        </w:rPr>
        <w:t xml:space="preserve">The cross-community nature of the Northern Ireland institutions meant that, even when they were operational, it was difficult for the institutions to develop policy on matters of equality and human rights. In that context, EU law was a driver for change. </w:t>
      </w:r>
    </w:p>
    <w:p w:rsidR="00C656DA" w:rsidRPr="00007EB1" w:rsidP="00280D5F">
      <w:pPr>
        <w:spacing w:after="270" w:line="360" w:lineRule="auto"/>
        <w:ind w:left="567"/>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w:t>
      </w:r>
      <w:r w:rsidRPr="00007EB1">
        <w:rPr>
          <w:rFonts w:ascii="Verdana" w:hAnsi="Verdana"/>
          <w:sz w:val="22"/>
          <w:szCs w:val="22"/>
        </w:rPr>
        <w:tab/>
      </w:r>
      <w:r w:rsidRPr="00007EB1">
        <w:rPr>
          <w:rFonts w:ascii="Verdana" w:eastAsia="Arial" w:hAnsi="Verdana" w:cs="Arial"/>
          <w:color w:val="000000" w:themeColor="text1"/>
          <w:sz w:val="22"/>
          <w:szCs w:val="22"/>
        </w:rPr>
        <w:t xml:space="preserve">The EU law provisions, including the Charter of Fundamental Rights, provided protections in the absence of a Bill of Rights for Northern Ireland that went beyond the rights in the European Convention on Human Rights. </w:t>
      </w:r>
    </w:p>
    <w:p w:rsidR="00C656DA" w:rsidRPr="00007EB1" w:rsidP="00280D5F">
      <w:pPr>
        <w:spacing w:after="270" w:line="360" w:lineRule="auto"/>
        <w:ind w:left="567"/>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w:t>
      </w:r>
      <w:r w:rsidRPr="00007EB1">
        <w:rPr>
          <w:rFonts w:ascii="Verdana" w:hAnsi="Verdana"/>
          <w:sz w:val="22"/>
          <w:szCs w:val="22"/>
        </w:rPr>
        <w:tab/>
      </w:r>
      <w:r w:rsidRPr="00007EB1">
        <w:rPr>
          <w:rFonts w:ascii="Verdana" w:eastAsia="Arial" w:hAnsi="Verdana" w:cs="Arial"/>
          <w:color w:val="000000" w:themeColor="text1"/>
          <w:sz w:val="22"/>
          <w:szCs w:val="22"/>
        </w:rPr>
        <w:t>The nature of EU law meant that EU law rights provided equivalent levels of protection of rights and equality on the island of Ireland.</w:t>
      </w:r>
    </w:p>
    <w:p w:rsidR="00C656DA" w:rsidRPr="00007EB1" w:rsidP="00280D5F">
      <w:pPr>
        <w:spacing w:after="270" w:line="360" w:lineRule="auto"/>
        <w:ind w:left="567"/>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w:t>
      </w:r>
      <w:r w:rsidRPr="00007EB1">
        <w:rPr>
          <w:rFonts w:ascii="Verdana" w:hAnsi="Verdana"/>
          <w:sz w:val="22"/>
          <w:szCs w:val="22"/>
        </w:rPr>
        <w:tab/>
      </w:r>
      <w:r w:rsidRPr="00007EB1">
        <w:rPr>
          <w:rFonts w:ascii="Verdana" w:eastAsia="Arial" w:hAnsi="Verdana" w:cs="Arial"/>
          <w:color w:val="000000" w:themeColor="text1"/>
          <w:sz w:val="22"/>
          <w:szCs w:val="22"/>
        </w:rPr>
        <w:t>The level of integration of EU human rights law in domestic legal systems being stronger than any other supranational framework, it increased the chance for concepts echoed in the RSEO provisions of the BGFA to be enforceable (e.g., via the EU principles of supremacy, direct effect and state liability, as well as CJEU preliminary references and infringement proceedings).</w:t>
      </w:r>
    </w:p>
    <w:p w:rsidR="00C656DA" w:rsidRPr="00007EB1" w:rsidP="00280D5F">
      <w:pPr>
        <w:spacing w:after="270" w:line="360" w:lineRule="auto"/>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 xml:space="preserve">In this context, the UK and EU negotiators agreed that a mechanism to protect the EU contributions to rights and equality in Northern Ireland was appropriate, as discussed under question 1. </w:t>
      </w:r>
      <w:r w:rsidRPr="00007EB1">
        <w:rPr>
          <w:rFonts w:ascii="Verdana" w:eastAsia="Arial" w:hAnsi="Verdana" w:cs="Arial"/>
          <w:b/>
          <w:bCs/>
          <w:color w:val="000000" w:themeColor="text1"/>
          <w:sz w:val="22"/>
          <w:szCs w:val="22"/>
        </w:rPr>
        <w:t>In many ways, Article 2 WF was a commitment to futureproof rights protections in Northern Ireland against possible erosion or backsliding on rights commitments post-Brexit.</w:t>
      </w:r>
      <w:r w:rsidRPr="00007EB1">
        <w:rPr>
          <w:rFonts w:ascii="Verdana" w:eastAsia="Arial" w:hAnsi="Verdana" w:cs="Arial"/>
          <w:color w:val="000000" w:themeColor="text1"/>
          <w:sz w:val="22"/>
          <w:szCs w:val="22"/>
        </w:rPr>
        <w:t xml:space="preserve"> Indeed, we note various attempts by government officials to roll back the scope of Article 2 protections in recent years, including in the </w:t>
      </w:r>
      <w:r w:rsidRPr="00007EB1">
        <w:rPr>
          <w:rFonts w:ascii="Verdana" w:eastAsia="Arial" w:hAnsi="Verdana" w:cs="Arial"/>
          <w:i/>
          <w:iCs/>
          <w:color w:val="000000" w:themeColor="text1"/>
          <w:sz w:val="22"/>
          <w:szCs w:val="22"/>
        </w:rPr>
        <w:t xml:space="preserve">Dillon </w:t>
      </w:r>
      <w:r w:rsidRPr="00007EB1">
        <w:rPr>
          <w:rFonts w:ascii="Verdana" w:eastAsia="Arial" w:hAnsi="Verdana" w:cs="Arial"/>
          <w:color w:val="000000" w:themeColor="text1"/>
          <w:sz w:val="22"/>
          <w:szCs w:val="22"/>
        </w:rPr>
        <w:t>case. In the 2026 Dillon case held by the Supreme Court, the Secretary of State for NI submitted that not all aspects of Article 2(1) WF had direct effect, including when applied to the BGFA, and argued the Court of Appeal was thus, incorrect in that respect.</w:t>
      </w:r>
      <w:r>
        <w:rPr>
          <w:rStyle w:val="FootnoteReference"/>
          <w:rFonts w:ascii="Verdana" w:eastAsia="Times New Roman" w:hAnsi="Verdana" w:cs="Arial"/>
          <w:color w:val="000000" w:themeColor="text1"/>
          <w:sz w:val="22"/>
          <w:szCs w:val="22"/>
        </w:rPr>
        <w:footnoteReference w:id="14"/>
      </w:r>
      <w:r w:rsidRPr="00007EB1">
        <w:rPr>
          <w:rFonts w:ascii="Verdana" w:eastAsia="Arial" w:hAnsi="Verdana" w:cs="Arial"/>
          <w:color w:val="000000" w:themeColor="text1"/>
          <w:sz w:val="22"/>
          <w:szCs w:val="22"/>
        </w:rPr>
        <w:t xml:space="preserve"> It specifically mentioned that the 2024 judgment promoted an approach that ‘</w:t>
      </w:r>
      <w:r w:rsidRPr="00007EB1">
        <w:rPr>
          <w:rFonts w:ascii="Verdana" w:eastAsia="Arial" w:hAnsi="Verdana" w:cs="Arial"/>
          <w:i/>
          <w:iCs/>
          <w:color w:val="000000" w:themeColor="text1"/>
          <w:sz w:val="22"/>
          <w:szCs w:val="22"/>
        </w:rPr>
        <w:t>significantly undercuts the proper application of, and constitutional balances inherent in, s.4 of the Human Rights Act 1998</w:t>
      </w:r>
      <w:r w:rsidRPr="00007EB1">
        <w:rPr>
          <w:rFonts w:ascii="Verdana" w:eastAsia="Arial" w:hAnsi="Verdana" w:cs="Arial"/>
          <w:color w:val="000000" w:themeColor="text1"/>
          <w:sz w:val="22"/>
          <w:szCs w:val="22"/>
        </w:rPr>
        <w:t>’ (on declarations of incompatibility), and that it was ‘</w:t>
      </w:r>
      <w:r w:rsidRPr="00007EB1">
        <w:rPr>
          <w:rFonts w:ascii="Verdana" w:eastAsia="Arial" w:hAnsi="Verdana" w:cs="Arial"/>
          <w:i/>
          <w:iCs/>
          <w:color w:val="000000" w:themeColor="text1"/>
          <w:sz w:val="22"/>
          <w:szCs w:val="22"/>
        </w:rPr>
        <w:t>used to seek to interpret the GFA in an expansive manner so as to apply it to legal concepts it never addressed and specific legal regimes which did not even exist in 1998</w:t>
      </w:r>
      <w:r w:rsidRPr="00007EB1">
        <w:rPr>
          <w:rFonts w:ascii="Verdana" w:eastAsia="Arial" w:hAnsi="Verdana" w:cs="Arial"/>
          <w:color w:val="000000" w:themeColor="text1"/>
          <w:sz w:val="22"/>
          <w:szCs w:val="22"/>
        </w:rPr>
        <w:t>’.</w:t>
      </w:r>
      <w:r w:rsidRPr="00007EB1">
        <w:rPr>
          <w:rFonts w:ascii="Verdana" w:eastAsia="Times New Roman" w:hAnsi="Verdana" w:cs="Arial"/>
          <w:color w:val="000000" w:themeColor="text1"/>
          <w:sz w:val="22"/>
          <w:szCs w:val="22"/>
          <w:lang w:eastAsia="en-GB"/>
        </w:rPr>
        <w:t xml:space="preserve"> </w:t>
      </w:r>
      <w:r>
        <w:rPr>
          <w:rStyle w:val="FootnoteReference"/>
          <w:rFonts w:ascii="Verdana" w:eastAsia="Times New Roman" w:hAnsi="Verdana" w:cs="Arial"/>
          <w:color w:val="000000" w:themeColor="text1"/>
          <w:sz w:val="22"/>
          <w:szCs w:val="22"/>
          <w:lang w:eastAsia="en-GB"/>
        </w:rPr>
        <w:footnoteReference w:id="15"/>
      </w: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However, Article 2 WF is crucial to the protection of equality and human rights in Northern Ireland, not least to minimise the risk of rights protection divergence with Ireland. Furthermore, Article 2 WF is not subject to the Article 18 WF mechanism, which allows the Northern Ireland Assembly to periodically vote on whether Articles 5–10 of the Windsor Framework should continue to apply. Finally, the ‘Stormont brake’ mechanism (according to which Members of the NI Assembly can object to new or updated EU la</w:t>
      </w:r>
      <w:r w:rsidRPr="00007EB1">
        <w:rPr>
          <w:rFonts w:ascii="Verdana" w:eastAsia="Arial" w:hAnsi="Verdana" w:cs="Arial"/>
          <w:color w:val="000000" w:themeColor="text1"/>
          <w:sz w:val="22"/>
          <w:szCs w:val="22"/>
        </w:rPr>
        <w:t xml:space="preserve">ws that would otherwise automatically apply to Northern Ireland) does not apply to EU legislation amending or replacing the Annex 1 directives.  </w:t>
      </w:r>
    </w:p>
    <w:p w:rsidR="00C656DA" w:rsidRPr="00007EB1" w:rsidP="00280D5F">
      <w:pPr>
        <w:spacing w:before="120" w:after="120" w:line="360" w:lineRule="auto"/>
        <w:rPr>
          <w:rFonts w:ascii="Verdana" w:eastAsia="Arial" w:hAnsi="Verdana" w:cs="Arial"/>
          <w:color w:val="000000" w:themeColor="text1"/>
          <w:sz w:val="22"/>
          <w:szCs w:val="22"/>
        </w:rPr>
      </w:pPr>
    </w:p>
    <w:p w:rsidR="00C656DA" w:rsidRPr="00007EB1" w:rsidP="00280D5F">
      <w:pPr>
        <w:pStyle w:val="ListParagraph"/>
        <w:spacing w:before="120" w:after="120" w:line="360" w:lineRule="auto"/>
        <w:contextualSpacing w:val="0"/>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Q4 What obligation is imposed on the UK Government by Article 2 WF? What is the significance of this obligation for Northern Ireland, and for the UK Government?</w:t>
      </w: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 xml:space="preserve">Article 2 WF notably requires the UK to ensure there is </w:t>
      </w:r>
      <w:r w:rsidRPr="00007EB1">
        <w:rPr>
          <w:rFonts w:ascii="Verdana" w:eastAsia="Arial" w:hAnsi="Verdana" w:cs="Arial"/>
          <w:b/>
          <w:bCs/>
          <w:color w:val="000000" w:themeColor="text1"/>
          <w:sz w:val="22"/>
          <w:szCs w:val="22"/>
        </w:rPr>
        <w:t>no diminution of rights, safeguards or equality of opportunity as set out in the BGFA</w:t>
      </w:r>
      <w:r w:rsidRPr="00007EB1">
        <w:rPr>
          <w:rFonts w:ascii="Verdana" w:eastAsia="Arial" w:hAnsi="Verdana" w:cs="Arial"/>
          <w:color w:val="000000" w:themeColor="text1"/>
          <w:sz w:val="22"/>
          <w:szCs w:val="22"/>
        </w:rPr>
        <w:t xml:space="preserve"> following the UK’s exit from the EU. This non-diminution requirement takes on two distinct, but complementary forms; dynamic alignment (often also referred to as ‘the keeping pace’ requirement) and static alignment. </w:t>
      </w:r>
    </w:p>
    <w:p w:rsidR="00C656DA" w:rsidRPr="00007EB1" w:rsidP="00280D5F">
      <w:pPr>
        <w:spacing w:after="27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Dynamic alignment</w:t>
      </w:r>
      <w:r w:rsidRPr="00007EB1">
        <w:rPr>
          <w:rFonts w:ascii="Verdana" w:eastAsia="Arial" w:hAnsi="Verdana" w:cs="Arial"/>
          <w:color w:val="000000" w:themeColor="text1"/>
          <w:sz w:val="22"/>
          <w:szCs w:val="22"/>
        </w:rPr>
        <w:t xml:space="preserve"> is the requirement to amend law in Northern Ireland to ensure it has the same effect as any amendments to or replacements of EU law under Article 2(1) WF. It applies to the six equality directives listed in Annex 1 WF, which prohibit discrimination on the grounds of sex, race or ethnic origin, disability, age, religion or belief, and sexual orientation. As specified by Article 13(3) WF, any reference to a “Union act” implies the act as amended or replaced. This means that if the EU amends or replaces these</w:t>
      </w:r>
      <w:r w:rsidRPr="00007EB1">
        <w:rPr>
          <w:rFonts w:ascii="Verdana" w:eastAsia="Arial" w:hAnsi="Verdana" w:cs="Arial"/>
          <w:color w:val="000000" w:themeColor="text1"/>
          <w:sz w:val="22"/>
          <w:szCs w:val="22"/>
        </w:rPr>
        <w:t xml:space="preserve"> directives in a manner that enhances the protection they afford, the UK must ensure that Northern Ireland law is amended accordingly so that equivalent substantive protections continue to apply. In this respect, Article 2 WF imposes an ongoing obligation to maintain equivalence in the specified areas of equality law.</w:t>
      </w:r>
    </w:p>
    <w:p w:rsidR="00C656DA" w:rsidRPr="00007EB1" w:rsidP="00280D5F">
      <w:pPr>
        <w:spacing w:after="27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Static alignment</w:t>
      </w:r>
      <w:r w:rsidRPr="00007EB1">
        <w:rPr>
          <w:rFonts w:ascii="Verdana" w:eastAsia="Arial" w:hAnsi="Verdana" w:cs="Arial"/>
          <w:color w:val="000000" w:themeColor="text1"/>
          <w:sz w:val="22"/>
          <w:szCs w:val="22"/>
        </w:rPr>
        <w:t xml:space="preserve"> is the requirement not to diminish the protections offered by certain EU laws in Northern Ireland as they existed prior to the end of the transition period. It applies more broadly to EU-derived rights that were in force in Northern Ireland at the end of the transition period and that underpinned the RSEO provisions of the BGFA. Unlike the dynamic obligation, this aspect of Article 2 WF does not require Northern Ireland law to evolve in line with subsequent developments in EU law. Instead, it prohibits the</w:t>
      </w:r>
      <w:r w:rsidRPr="00007EB1">
        <w:rPr>
          <w:rFonts w:ascii="Verdana" w:eastAsia="Arial" w:hAnsi="Verdana" w:cs="Arial"/>
          <w:color w:val="000000" w:themeColor="text1"/>
          <w:sz w:val="22"/>
          <w:szCs w:val="22"/>
        </w:rPr>
        <w:t xml:space="preserve"> UK from reducing or removing the level of protection afforded by the relevant body of retained EU law as it stood at the conclusion of the transition period. Accordingly, static alignment functions as a constitutional floor of rights protection, ensuring that Brexit cannot be used to weaken those EU-derived rights that formed part of the legal architecture supporting the 1998 Agreement prior to Brexit.  </w:t>
      </w:r>
    </w:p>
    <w:p w:rsidR="00C656DA" w:rsidRPr="00007EB1" w:rsidP="00280D5F">
      <w:pPr>
        <w:spacing w:after="27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The dynamic and static alignment principles concern primarily the application of the law in Northern Ireland, which include Northern Ireland Assembly legislation and UK Parliament legislation affecting Northern Ireland</w:t>
      </w:r>
      <w:r w:rsidRPr="00007EB1">
        <w:rPr>
          <w:rFonts w:ascii="Verdana" w:eastAsia="Arial" w:hAnsi="Verdana" w:cs="Arial"/>
          <w:color w:val="000000" w:themeColor="text1"/>
          <w:sz w:val="22"/>
          <w:szCs w:val="22"/>
        </w:rPr>
        <w:t xml:space="preserve">. In areas falling within the remit of Northern Ireland Assembly legislation, it is worth noting that should the NI authorities fail to </w:t>
      </w:r>
      <w:r w:rsidRPr="00007EB1">
        <w:rPr>
          <w:rFonts w:ascii="Verdana" w:eastAsia="Arial" w:hAnsi="Verdana" w:cs="Arial"/>
          <w:color w:val="000000" w:themeColor="text1"/>
          <w:sz w:val="22"/>
          <w:szCs w:val="22"/>
        </w:rPr>
        <w:t xml:space="preserve">comply with Article 2 WF, the UK Government would have to take steps to ensure compliance. </w:t>
      </w: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However, the position of the UK Government on the scope and implementation of Article 2 WF has significantly shifted in recent years</w:t>
      </w:r>
      <w:r w:rsidRPr="00007EB1">
        <w:rPr>
          <w:rFonts w:ascii="Verdana" w:eastAsia="Arial" w:hAnsi="Verdana" w:cs="Arial"/>
          <w:color w:val="000000" w:themeColor="text1"/>
          <w:sz w:val="22"/>
          <w:szCs w:val="22"/>
        </w:rPr>
        <w:t>. The UK Government's 2020 Explainer Document and the arguments it subsequently put forward in the</w:t>
      </w:r>
      <w:r w:rsidRPr="00007EB1">
        <w:rPr>
          <w:rFonts w:ascii="Verdana" w:eastAsia="Arial" w:hAnsi="Verdana" w:cs="Arial"/>
          <w:i/>
          <w:iCs/>
          <w:color w:val="000000" w:themeColor="text1"/>
          <w:sz w:val="22"/>
          <w:szCs w:val="22"/>
        </w:rPr>
        <w:t xml:space="preserve"> Dillon </w:t>
      </w:r>
      <w:r w:rsidRPr="00007EB1">
        <w:rPr>
          <w:rFonts w:ascii="Verdana" w:eastAsia="Arial" w:hAnsi="Verdana" w:cs="Arial"/>
          <w:color w:val="000000" w:themeColor="text1"/>
          <w:sz w:val="22"/>
          <w:szCs w:val="22"/>
        </w:rPr>
        <w:t xml:space="preserve">litigation articulate two significantly different conceptions of the scope of Article 2 WF. There is, arguably, evidence of significant backtracking on the scope of Article 2 by the UK Government in the </w:t>
      </w:r>
      <w:r w:rsidRPr="00007EB1">
        <w:rPr>
          <w:rFonts w:ascii="Verdana" w:eastAsia="Arial" w:hAnsi="Verdana" w:cs="Arial"/>
          <w:i/>
          <w:iCs/>
          <w:color w:val="000000" w:themeColor="text1"/>
          <w:sz w:val="22"/>
          <w:szCs w:val="22"/>
        </w:rPr>
        <w:t xml:space="preserve">Dillon </w:t>
      </w:r>
      <w:r w:rsidRPr="00007EB1">
        <w:rPr>
          <w:rFonts w:ascii="Verdana" w:eastAsia="Arial" w:hAnsi="Verdana" w:cs="Arial"/>
          <w:color w:val="000000" w:themeColor="text1"/>
          <w:sz w:val="22"/>
          <w:szCs w:val="22"/>
        </w:rPr>
        <w:t xml:space="preserve">litigation. </w:t>
      </w:r>
    </w:p>
    <w:p w:rsidR="00C656DA" w:rsidRPr="00007EB1" w:rsidP="00280D5F">
      <w:pPr>
        <w:spacing w:before="120" w:after="120" w:line="360" w:lineRule="auto"/>
        <w:rPr>
          <w:rFonts w:ascii="Verdana" w:eastAsia="Arial" w:hAnsi="Verdana" w:cs="Arial"/>
          <w:color w:val="000000" w:themeColor="text1"/>
          <w:sz w:val="22"/>
          <w:szCs w:val="22"/>
        </w:rPr>
      </w:pP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u w:val="single"/>
        </w:rPr>
        <w:t>Protection of Rights (Questions 5-9)</w:t>
      </w:r>
    </w:p>
    <w:p w:rsidR="00C656DA" w:rsidRPr="00007EB1" w:rsidP="00280D5F">
      <w:pPr>
        <w:spacing w:before="120" w:after="120" w:line="360" w:lineRule="auto"/>
        <w:rPr>
          <w:rFonts w:ascii="Verdana" w:eastAsia="Arial" w:hAnsi="Verdana" w:cs="Arial"/>
          <w:color w:val="000000" w:themeColor="text1"/>
          <w:sz w:val="22"/>
          <w:szCs w:val="22"/>
        </w:rPr>
      </w:pPr>
    </w:p>
    <w:p w:rsidR="00C656DA" w:rsidRPr="00007EB1" w:rsidP="00280D5F">
      <w:pPr>
        <w:pStyle w:val="ListParagraph"/>
        <w:spacing w:before="120" w:after="120" w:line="360" w:lineRule="auto"/>
        <w:contextualSpacing w:val="0"/>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 xml:space="preserve">Q5 </w:t>
      </w:r>
      <w:r w:rsidRPr="00007EB1">
        <w:rPr>
          <w:rFonts w:ascii="Verdana" w:eastAsia="Arial" w:hAnsi="Verdana" w:cs="Arial"/>
          <w:b/>
          <w:bCs/>
          <w:color w:val="000000" w:themeColor="text1"/>
          <w:sz w:val="22"/>
          <w:szCs w:val="22"/>
        </w:rPr>
        <w:t>The UK Supreme Court said in Dillon that Article 2(1) WF was directly effective in certain circumstances. What are those circumstances? And what rights are covered in these circumstances?</w:t>
      </w: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EU law on direct effect.</w:t>
      </w:r>
      <w:r w:rsidRPr="00007EB1">
        <w:rPr>
          <w:rFonts w:ascii="Verdana" w:eastAsia="Arial" w:hAnsi="Verdana" w:cs="Arial"/>
          <w:color w:val="000000" w:themeColor="text1"/>
          <w:sz w:val="22"/>
          <w:szCs w:val="22"/>
        </w:rPr>
        <w:t xml:space="preserve"> The EU doctrine of direct effect is a cornerstone of EU law that was established by the Court of Justice of the European Union (back then, the ‘European Court of Justice’) in the case </w:t>
      </w:r>
      <w:r w:rsidRPr="00007EB1">
        <w:rPr>
          <w:rFonts w:ascii="Verdana" w:eastAsia="Arial" w:hAnsi="Verdana" w:cs="Arial"/>
          <w:i/>
          <w:iCs/>
          <w:color w:val="000000" w:themeColor="text1"/>
          <w:sz w:val="22"/>
          <w:szCs w:val="22"/>
        </w:rPr>
        <w:t>Van Gend en Loos</w:t>
      </w:r>
      <w:r w:rsidRPr="00007EB1">
        <w:rPr>
          <w:rFonts w:ascii="Verdana" w:eastAsia="Arial" w:hAnsi="Verdana" w:cs="Arial"/>
          <w:color w:val="000000" w:themeColor="text1"/>
          <w:sz w:val="22"/>
          <w:szCs w:val="22"/>
        </w:rPr>
        <w:t>.</w:t>
      </w:r>
      <w:r w:rsidRPr="00007EB1">
        <w:rPr>
          <w:rFonts w:ascii="Verdana" w:eastAsia="Times New Roman" w:hAnsi="Verdana" w:cs="Arial"/>
          <w:color w:val="000000" w:themeColor="text1"/>
          <w:sz w:val="22"/>
          <w:szCs w:val="22"/>
        </w:rPr>
        <w:t xml:space="preserve"> </w:t>
      </w:r>
      <w:r>
        <w:rPr>
          <w:rStyle w:val="FootnoteReference"/>
          <w:rFonts w:ascii="Verdana" w:eastAsia="Times New Roman" w:hAnsi="Verdana" w:cs="Arial"/>
          <w:color w:val="000000" w:themeColor="text1"/>
          <w:sz w:val="22"/>
          <w:szCs w:val="22"/>
        </w:rPr>
        <w:footnoteReference w:id="16"/>
      </w:r>
      <w:r w:rsidRPr="00007EB1">
        <w:rPr>
          <w:rFonts w:ascii="Verdana" w:eastAsia="Arial" w:hAnsi="Verdana" w:cs="Arial"/>
          <w:color w:val="000000" w:themeColor="text1"/>
          <w:sz w:val="22"/>
          <w:szCs w:val="22"/>
        </w:rPr>
        <w:t xml:space="preserve"> It allows individuals to invoke EU law provisions directly before national courts, regardless of whether the Member State has implemented it, </w:t>
      </w:r>
      <w:r w:rsidRPr="00007EB1">
        <w:rPr>
          <w:rFonts w:ascii="Verdana" w:eastAsia="Arial" w:hAnsi="Verdana" w:cs="Arial"/>
          <w:color w:val="000000" w:themeColor="text1"/>
          <w:sz w:val="22"/>
          <w:szCs w:val="22"/>
        </w:rPr>
        <w:t>as long as</w:t>
      </w:r>
      <w:r w:rsidRPr="00007EB1">
        <w:rPr>
          <w:rFonts w:ascii="Verdana" w:eastAsia="Arial" w:hAnsi="Verdana" w:cs="Arial"/>
          <w:color w:val="000000" w:themeColor="text1"/>
          <w:sz w:val="22"/>
          <w:szCs w:val="22"/>
        </w:rPr>
        <w:t xml:space="preserve"> the EU law provision in question is clear, precise, and unconditional. In the case of </w:t>
      </w:r>
      <w:r w:rsidRPr="00007EB1">
        <w:rPr>
          <w:rFonts w:ascii="Verdana" w:eastAsia="Arial" w:hAnsi="Verdana" w:cs="Arial"/>
          <w:i/>
          <w:iCs/>
          <w:color w:val="000000" w:themeColor="text1"/>
          <w:sz w:val="22"/>
          <w:szCs w:val="22"/>
        </w:rPr>
        <w:t>Demirel</w:t>
      </w:r>
      <w:r w:rsidRPr="00007EB1">
        <w:rPr>
          <w:rFonts w:ascii="Verdana" w:eastAsia="Arial" w:hAnsi="Verdana" w:cs="Arial"/>
          <w:color w:val="000000" w:themeColor="text1"/>
          <w:sz w:val="22"/>
          <w:szCs w:val="22"/>
        </w:rPr>
        <w:t xml:space="preserve">, the Court specified that international agreements may also have direct effect in EU law if they meet the criteria as those identified in </w:t>
      </w:r>
      <w:r w:rsidRPr="00007EB1">
        <w:rPr>
          <w:rFonts w:ascii="Verdana" w:eastAsia="Arial" w:hAnsi="Verdana" w:cs="Arial"/>
          <w:i/>
          <w:iCs/>
          <w:color w:val="000000" w:themeColor="text1"/>
          <w:sz w:val="22"/>
          <w:szCs w:val="22"/>
        </w:rPr>
        <w:t>Van Gend en Loos</w:t>
      </w:r>
      <w:r w:rsidRPr="00007EB1">
        <w:rPr>
          <w:rFonts w:ascii="Verdana" w:eastAsia="Arial" w:hAnsi="Verdana" w:cs="Arial"/>
          <w:color w:val="000000" w:themeColor="text1"/>
          <w:sz w:val="22"/>
          <w:szCs w:val="22"/>
        </w:rPr>
        <w:t>: i.e., they must be clear, precise and unconditional (interpreted as not dependent upon the adoption of any subsequent measure).</w:t>
      </w:r>
      <w:r>
        <w:rPr>
          <w:rStyle w:val="FootnoteReference"/>
          <w:rFonts w:ascii="Verdana" w:eastAsia="Arial" w:hAnsi="Verdana" w:cs="Arial"/>
          <w:color w:val="000000" w:themeColor="text1"/>
          <w:sz w:val="22"/>
          <w:szCs w:val="22"/>
        </w:rPr>
        <w:footnoteReference w:id="17"/>
      </w:r>
      <w:r w:rsidRPr="00007EB1">
        <w:rPr>
          <w:rFonts w:ascii="Verdana" w:eastAsia="Arial" w:hAnsi="Verdana" w:cs="Arial"/>
          <w:color w:val="000000" w:themeColor="text1"/>
          <w:sz w:val="22"/>
          <w:szCs w:val="22"/>
        </w:rPr>
        <w:t xml:space="preserve">  The doctrine of direct effect may manifest itself ’vertically’ (individuals can invoke an EU law provision in relation to the State) or ’horizontally’ (individuals can invoke an EU law provision in relation to another individual). Therefore, direct effect is of paramount </w:t>
      </w:r>
      <w:r w:rsidRPr="00007EB1">
        <w:rPr>
          <w:rFonts w:ascii="Verdana" w:eastAsia="Arial" w:hAnsi="Verdana" w:cs="Arial"/>
          <w:color w:val="000000" w:themeColor="text1"/>
          <w:sz w:val="22"/>
          <w:szCs w:val="22"/>
        </w:rPr>
        <w:t xml:space="preserve">importance in the context of the </w:t>
      </w:r>
      <w:r w:rsidRPr="00007EB1">
        <w:rPr>
          <w:rFonts w:ascii="Verdana" w:eastAsia="Arial" w:hAnsi="Verdana" w:cs="Arial"/>
          <w:i/>
          <w:iCs/>
          <w:color w:val="000000" w:themeColor="text1"/>
          <w:sz w:val="22"/>
          <w:szCs w:val="22"/>
        </w:rPr>
        <w:t>Dillon</w:t>
      </w:r>
      <w:r w:rsidRPr="00007EB1">
        <w:rPr>
          <w:rFonts w:ascii="Verdana" w:eastAsia="Arial" w:hAnsi="Verdana" w:cs="Arial"/>
          <w:color w:val="000000" w:themeColor="text1"/>
          <w:sz w:val="22"/>
          <w:szCs w:val="22"/>
        </w:rPr>
        <w:t xml:space="preserve"> litigation, since it indicates the justiciability of Article 2(1) WF and more specifically, whether it may be invoked and enforced before UK courts. </w:t>
      </w: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NICA 2024.</w:t>
      </w:r>
      <w:r w:rsidRPr="00007EB1">
        <w:rPr>
          <w:rFonts w:ascii="Verdana" w:eastAsia="Arial" w:hAnsi="Verdana" w:cs="Arial"/>
          <w:color w:val="000000" w:themeColor="text1"/>
          <w:sz w:val="22"/>
          <w:szCs w:val="22"/>
        </w:rPr>
        <w:t xml:space="preserve"> The Northern Ireland Court of Appeal (NICA) held that Article 2(1) WF imposed an obligation that was sufficiently clear, precise and unconditional and that as a result, it had direct effect i.e., individuals could invoke it directly before UK courts.</w:t>
      </w:r>
      <w:r w:rsidRPr="00007EB1">
        <w:rPr>
          <w:rFonts w:ascii="Verdana" w:eastAsia="Times New Roman" w:hAnsi="Verdana" w:cs="Arial"/>
          <w:color w:val="000000" w:themeColor="text1"/>
          <w:sz w:val="22"/>
          <w:szCs w:val="22"/>
        </w:rPr>
        <w:t xml:space="preserve"> </w:t>
      </w:r>
      <w:r>
        <w:rPr>
          <w:rStyle w:val="FootnoteReference"/>
          <w:rFonts w:ascii="Verdana" w:eastAsia="Times New Roman" w:hAnsi="Verdana" w:cs="Arial"/>
          <w:color w:val="000000" w:themeColor="text1"/>
          <w:sz w:val="22"/>
          <w:szCs w:val="22"/>
        </w:rPr>
        <w:footnoteReference w:id="18"/>
      </w:r>
      <w:r w:rsidRPr="00007EB1">
        <w:rPr>
          <w:rFonts w:ascii="Verdana" w:eastAsia="Arial" w:hAnsi="Verdana" w:cs="Arial"/>
          <w:color w:val="000000" w:themeColor="text1"/>
          <w:sz w:val="22"/>
          <w:szCs w:val="22"/>
        </w:rPr>
        <w:t xml:space="preserve"> </w:t>
      </w: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 xml:space="preserve">When doing so, the NICA referred to Article 4 of the Withdrawal Agreement (see its paragraph 1 below, underlined emphasis added). </w:t>
      </w:r>
    </w:p>
    <w:p w:rsidR="00C656DA" w:rsidRPr="00007EB1" w:rsidP="00280D5F">
      <w:pPr>
        <w:pStyle w:val="Quote"/>
        <w:spacing w:before="120" w:after="120" w:line="360" w:lineRule="auto"/>
        <w:ind w:left="567" w:right="567"/>
        <w:jc w:val="left"/>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 xml:space="preserve">Article 4. Methods and principles relating to the effect, the implementation and the application of this Agreement </w:t>
      </w:r>
    </w:p>
    <w:p w:rsidR="00C656DA" w:rsidRPr="00007EB1" w:rsidP="00280D5F">
      <w:pPr>
        <w:pStyle w:val="Quote"/>
        <w:spacing w:before="120" w:after="120" w:line="360" w:lineRule="auto"/>
        <w:ind w:left="567" w:right="567"/>
        <w:jc w:val="left"/>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 xml:space="preserve">1. The provisions of this Agreement and the provisions of Union law made applicable by this Agreement shall produce in respect of and in the United Kingdom the same legal effects as those which they produce within the Union and its Member States. Accordingly, </w:t>
      </w:r>
      <w:r w:rsidRPr="00007EB1">
        <w:rPr>
          <w:rFonts w:ascii="Verdana" w:eastAsia="Arial" w:hAnsi="Verdana" w:cs="Arial"/>
          <w:color w:val="000000" w:themeColor="text1"/>
          <w:sz w:val="22"/>
          <w:szCs w:val="22"/>
          <w:u w:val="single"/>
        </w:rPr>
        <w:t xml:space="preserve">legal or natural persons shall </w:t>
      </w:r>
      <w:r w:rsidRPr="00007EB1">
        <w:rPr>
          <w:rFonts w:ascii="Verdana" w:eastAsia="Arial" w:hAnsi="Verdana" w:cs="Arial"/>
          <w:color w:val="000000" w:themeColor="text1"/>
          <w:sz w:val="22"/>
          <w:szCs w:val="22"/>
          <w:u w:val="single"/>
        </w:rPr>
        <w:t>in particular be</w:t>
      </w:r>
      <w:r w:rsidRPr="00007EB1">
        <w:rPr>
          <w:rFonts w:ascii="Verdana" w:eastAsia="Arial" w:hAnsi="Verdana" w:cs="Arial"/>
          <w:color w:val="000000" w:themeColor="text1"/>
          <w:sz w:val="22"/>
          <w:szCs w:val="22"/>
          <w:u w:val="single"/>
        </w:rPr>
        <w:t xml:space="preserve"> able to rely directly on the provisions contained or referred to in this Agreement which meet the conditions for direct effect under Union law</w:t>
      </w:r>
      <w:r w:rsidRPr="00007EB1">
        <w:rPr>
          <w:rFonts w:ascii="Verdana" w:eastAsia="Arial" w:hAnsi="Verdana" w:cs="Arial"/>
          <w:color w:val="000000" w:themeColor="text1"/>
          <w:sz w:val="22"/>
          <w:szCs w:val="22"/>
        </w:rPr>
        <w:t xml:space="preserve">. </w:t>
      </w:r>
    </w:p>
    <w:p w:rsidR="00C656DA" w:rsidRPr="00007EB1" w:rsidP="00280D5F">
      <w:pPr>
        <w:spacing w:after="270" w:line="360" w:lineRule="auto"/>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The NICA specified that the Withdrawal Agreement was incorporated into domestic law by the EU (Withdrawal) Act 2018 and the EU (Withdrawal Agreement) Act 2020. It further explained that section 7A of the 2018 Act transferred the relevant provisions of EU law deemed applicable into the domestic law of the UK, including rights and obligations arising by or under the Withdrawal Agreement (</w:t>
      </w:r>
      <w:r w:rsidRPr="00007EB1">
        <w:rPr>
          <w:rFonts w:ascii="Verdana" w:eastAsia="Arial" w:hAnsi="Verdana" w:cs="Arial"/>
          <w:color w:val="000000" w:themeColor="text1"/>
          <w:sz w:val="22"/>
          <w:szCs w:val="22"/>
        </w:rPr>
        <w:t>as long as</w:t>
      </w:r>
      <w:r w:rsidRPr="00007EB1">
        <w:rPr>
          <w:rFonts w:ascii="Verdana" w:eastAsia="Arial" w:hAnsi="Verdana" w:cs="Arial"/>
          <w:color w:val="000000" w:themeColor="text1"/>
          <w:sz w:val="22"/>
          <w:szCs w:val="22"/>
        </w:rPr>
        <w:t xml:space="preserve"> those did not require any further enactment to be given legal effect). The court declared this included Article 2(1) WF. The Court then analysed the direct effect of Article 2(1) WF,</w:t>
      </w:r>
      <w:r w:rsidRPr="00007EB1">
        <w:rPr>
          <w:rFonts w:ascii="Verdana" w:eastAsia="Arial" w:hAnsi="Verdana" w:cs="Arial"/>
          <w:color w:val="000000" w:themeColor="text1"/>
          <w:sz w:val="22"/>
          <w:szCs w:val="22"/>
        </w:rPr>
        <w:t xml:space="preserve"> by verifying it represented a provision that was “clear, precise, and unconditional”. In order to do so, it used Articles 31 and 32 of the Vienna Convention on the Law of Treaties (VCLT) to interpret the text of Article 2(1) WF (and its relationship with the RSEO provisions of the BGFA, since it considered WF as “plainly” a treaty and the BGFA as “less clear-cut" but still warranting the application of the VCLT given </w:t>
      </w:r>
      <w:r w:rsidRPr="00007EB1">
        <w:rPr>
          <w:rFonts w:ascii="Verdana" w:eastAsia="Arial" w:hAnsi="Verdana" w:cs="Arial"/>
          <w:color w:val="000000" w:themeColor="text1"/>
          <w:sz w:val="22"/>
          <w:szCs w:val="22"/>
        </w:rPr>
        <w:t>the involvement of British and Irish governments in its drafting).</w:t>
      </w:r>
      <w:r>
        <w:rPr>
          <w:rStyle w:val="FootnoteReference"/>
          <w:rFonts w:ascii="Verdana" w:eastAsia="Times New Roman" w:hAnsi="Verdana" w:cs="Arial"/>
          <w:color w:val="000000" w:themeColor="text1"/>
          <w:sz w:val="22"/>
          <w:szCs w:val="22"/>
        </w:rPr>
        <w:footnoteReference w:id="19"/>
      </w:r>
      <w:r w:rsidRPr="00007EB1">
        <w:rPr>
          <w:rFonts w:ascii="Verdana" w:eastAsia="Arial" w:hAnsi="Verdana" w:cs="Arial"/>
          <w:color w:val="000000" w:themeColor="text1"/>
          <w:sz w:val="22"/>
          <w:szCs w:val="22"/>
        </w:rPr>
        <w:t xml:space="preserve"> The NICA concluded by stating that Article 2(1) WF had direct effect because the non-diminution guarantee was expressed in clear and unambiguous terms and that the nature of the prohibition was unconditional; but it also considered the intention of Parliament when drafting section 7A of the 2018 Act (i.e., to let courts determine whether there has been a diminution of rights in the implementation of the Withdrawal Agreement and later, the WF). It </w:t>
      </w:r>
      <w:r w:rsidRPr="00007EB1">
        <w:rPr>
          <w:rFonts w:ascii="Verdana" w:eastAsia="Arial" w:hAnsi="Verdana" w:cs="Arial"/>
          <w:color w:val="000000" w:themeColor="text1"/>
          <w:sz w:val="22"/>
          <w:szCs w:val="22"/>
        </w:rPr>
        <w:t>declared ”</w:t>
      </w:r>
      <w:r w:rsidRPr="00007EB1">
        <w:rPr>
          <w:rFonts w:ascii="Verdana" w:eastAsia="Arial" w:hAnsi="Verdana" w:cs="Arial"/>
          <w:i/>
          <w:iCs/>
          <w:color w:val="000000" w:themeColor="text1"/>
          <w:sz w:val="22"/>
          <w:szCs w:val="22"/>
        </w:rPr>
        <w:t>Article</w:t>
      </w:r>
      <w:r w:rsidRPr="00007EB1">
        <w:rPr>
          <w:rFonts w:ascii="Verdana" w:eastAsia="Arial" w:hAnsi="Verdana" w:cs="Arial"/>
          <w:i/>
          <w:iCs/>
          <w:color w:val="000000" w:themeColor="text1"/>
          <w:sz w:val="22"/>
          <w:szCs w:val="22"/>
        </w:rPr>
        <w:t xml:space="preserve"> 2(1) WF does not articulate each relevant right or </w:t>
      </w:r>
      <w:r w:rsidRPr="00007EB1">
        <w:rPr>
          <w:rFonts w:ascii="Verdana" w:eastAsia="Arial" w:hAnsi="Verdana" w:cs="Arial"/>
          <w:i/>
          <w:iCs/>
          <w:color w:val="000000" w:themeColor="text1"/>
          <w:sz w:val="22"/>
          <w:szCs w:val="22"/>
        </w:rPr>
        <w:t>safeguard in itself</w:t>
      </w:r>
      <w:r w:rsidRPr="00007EB1">
        <w:rPr>
          <w:rFonts w:ascii="Verdana" w:eastAsia="Arial" w:hAnsi="Verdana" w:cs="Arial"/>
          <w:i/>
          <w:iCs/>
          <w:color w:val="000000" w:themeColor="text1"/>
          <w:sz w:val="22"/>
          <w:szCs w:val="22"/>
        </w:rPr>
        <w:t>.  Rather, it is an obligation of result</w:t>
      </w:r>
      <w:r w:rsidRPr="00007EB1">
        <w:rPr>
          <w:rFonts w:ascii="Verdana" w:eastAsia="Arial" w:hAnsi="Verdana" w:cs="Arial"/>
          <w:color w:val="000000" w:themeColor="text1"/>
          <w:sz w:val="22"/>
          <w:szCs w:val="22"/>
        </w:rPr>
        <w:t>”.</w:t>
      </w:r>
      <w:r w:rsidRPr="00007EB1">
        <w:rPr>
          <w:rFonts w:ascii="Verdana" w:eastAsia="Times New Roman" w:hAnsi="Verdana" w:cs="Arial"/>
          <w:color w:val="000000" w:themeColor="text1"/>
          <w:sz w:val="22"/>
          <w:szCs w:val="22"/>
        </w:rPr>
        <w:t xml:space="preserve"> </w:t>
      </w:r>
      <w:r>
        <w:rPr>
          <w:rStyle w:val="FootnoteReference"/>
          <w:rFonts w:ascii="Verdana" w:eastAsia="Times New Roman" w:hAnsi="Verdana" w:cs="Arial"/>
          <w:color w:val="000000" w:themeColor="text1"/>
          <w:sz w:val="22"/>
          <w:szCs w:val="22"/>
        </w:rPr>
        <w:footnoteReference w:id="20"/>
      </w:r>
    </w:p>
    <w:p w:rsidR="00C656DA" w:rsidRPr="00007EB1" w:rsidP="00280D5F">
      <w:pPr>
        <w:spacing w:after="27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UKSC 2026.</w:t>
      </w:r>
      <w:r w:rsidRPr="00007EB1">
        <w:rPr>
          <w:rFonts w:ascii="Verdana" w:eastAsia="Arial" w:hAnsi="Verdana" w:cs="Arial"/>
          <w:color w:val="000000" w:themeColor="text1"/>
          <w:sz w:val="22"/>
          <w:szCs w:val="22"/>
        </w:rPr>
        <w:t xml:space="preserve"> In the </w:t>
      </w:r>
      <w:r w:rsidRPr="00007EB1">
        <w:rPr>
          <w:rFonts w:ascii="Verdana" w:eastAsia="Arial" w:hAnsi="Verdana" w:cs="Arial"/>
          <w:i/>
          <w:iCs/>
          <w:color w:val="000000" w:themeColor="text1"/>
          <w:sz w:val="22"/>
          <w:szCs w:val="22"/>
        </w:rPr>
        <w:t>Dillon</w:t>
      </w:r>
      <w:r w:rsidRPr="00007EB1">
        <w:rPr>
          <w:rFonts w:ascii="Verdana" w:eastAsia="Arial" w:hAnsi="Verdana" w:cs="Arial"/>
          <w:color w:val="000000" w:themeColor="text1"/>
          <w:sz w:val="22"/>
          <w:szCs w:val="22"/>
        </w:rPr>
        <w:t xml:space="preserve"> case decided in 2026 by the UK Supreme Court (UKSC), the Court held that Article 2(1) WF </w:t>
      </w:r>
      <w:r w:rsidRPr="00007EB1">
        <w:rPr>
          <w:rFonts w:ascii="Verdana" w:eastAsia="Arial" w:hAnsi="Verdana" w:cs="Arial"/>
          <w:i/>
          <w:iCs/>
          <w:color w:val="000000" w:themeColor="text1"/>
          <w:sz w:val="22"/>
          <w:szCs w:val="22"/>
        </w:rPr>
        <w:t>may</w:t>
      </w:r>
      <w:r w:rsidRPr="00007EB1">
        <w:rPr>
          <w:rFonts w:ascii="Verdana" w:eastAsia="Arial" w:hAnsi="Verdana" w:cs="Arial"/>
          <w:color w:val="000000" w:themeColor="text1"/>
          <w:sz w:val="22"/>
          <w:szCs w:val="22"/>
        </w:rPr>
        <w:t xml:space="preserve"> have direct effect (thereby rejecting the Secretary of State's submission that it did not), but it specified this could not be determined by reading Article 2(1) WF in isolation, as suggested by NICA in 2024.</w:t>
      </w:r>
      <w:r w:rsidRPr="00007EB1">
        <w:rPr>
          <w:rFonts w:ascii="Verdana" w:eastAsia="Times New Roman" w:hAnsi="Verdana" w:cs="Arial"/>
          <w:color w:val="000000" w:themeColor="text1"/>
          <w:sz w:val="22"/>
          <w:szCs w:val="22"/>
        </w:rPr>
        <w:t xml:space="preserve"> </w:t>
      </w:r>
      <w:r>
        <w:rPr>
          <w:rStyle w:val="FootnoteReference"/>
          <w:rFonts w:ascii="Verdana" w:eastAsia="Times New Roman" w:hAnsi="Verdana" w:cs="Arial"/>
          <w:color w:val="000000" w:themeColor="text1"/>
          <w:sz w:val="22"/>
          <w:szCs w:val="22"/>
        </w:rPr>
        <w:footnoteReference w:id="21"/>
      </w:r>
      <w:r w:rsidRPr="00007EB1">
        <w:rPr>
          <w:rFonts w:ascii="Verdana" w:eastAsia="Times New Roman" w:hAnsi="Verdana" w:cs="Arial"/>
          <w:color w:val="000000" w:themeColor="text1"/>
          <w:sz w:val="22"/>
          <w:szCs w:val="22"/>
        </w:rPr>
        <w:t xml:space="preserve"> </w:t>
      </w:r>
      <w:r w:rsidRPr="00007EB1">
        <w:rPr>
          <w:rFonts w:ascii="Verdana" w:eastAsia="Arial" w:hAnsi="Verdana" w:cs="Arial"/>
          <w:color w:val="000000" w:themeColor="text1"/>
          <w:sz w:val="22"/>
          <w:szCs w:val="22"/>
        </w:rPr>
        <w:t>Instead, the Court stated that Article 2(1) WF non-diminution obligation had to be read together with the RSEO provisions of the BGFA to determine whether the overall obligation deriving from it was sufficiently clear, precise and unconditional and therefore, had direct effect. The Court justified this narrower approach by stating that the obligation imposed by Article 2(1) WF relates to rights, safeguards or equality of opportunity “</w:t>
      </w:r>
      <w:r w:rsidRPr="00007EB1">
        <w:rPr>
          <w:rFonts w:ascii="Verdana" w:eastAsia="Arial" w:hAnsi="Verdana" w:cs="Arial"/>
          <w:i/>
          <w:iCs/>
          <w:color w:val="000000" w:themeColor="text1"/>
          <w:sz w:val="22"/>
          <w:szCs w:val="22"/>
        </w:rPr>
        <w:t>as set out in</w:t>
      </w:r>
      <w:r w:rsidRPr="00007EB1">
        <w:rPr>
          <w:rFonts w:ascii="Verdana" w:eastAsia="Arial" w:hAnsi="Verdana" w:cs="Arial"/>
          <w:color w:val="000000" w:themeColor="text1"/>
          <w:sz w:val="22"/>
          <w:szCs w:val="22"/>
        </w:rPr>
        <w:t>” the RSEO provisions of the BGFA.</w:t>
      </w:r>
      <w:r w:rsidRPr="00007EB1">
        <w:rPr>
          <w:rFonts w:ascii="Verdana" w:eastAsia="Times New Roman" w:hAnsi="Verdana" w:cs="Arial"/>
          <w:color w:val="000000" w:themeColor="text1"/>
          <w:sz w:val="22"/>
          <w:szCs w:val="22"/>
        </w:rPr>
        <w:t xml:space="preserve"> </w:t>
      </w:r>
      <w:r>
        <w:rPr>
          <w:rStyle w:val="FootnoteReference"/>
          <w:rFonts w:ascii="Verdana" w:eastAsia="Times New Roman" w:hAnsi="Verdana" w:cs="Arial"/>
          <w:color w:val="000000" w:themeColor="text1"/>
          <w:sz w:val="22"/>
          <w:szCs w:val="22"/>
        </w:rPr>
        <w:footnoteReference w:id="22"/>
      </w:r>
      <w:r w:rsidRPr="00007EB1">
        <w:rPr>
          <w:rFonts w:ascii="Verdana" w:eastAsia="Arial" w:hAnsi="Verdana" w:cs="Arial"/>
          <w:color w:val="000000" w:themeColor="text1"/>
          <w:sz w:val="22"/>
          <w:szCs w:val="22"/>
        </w:rPr>
        <w:t xml:space="preserve"> </w:t>
      </w:r>
    </w:p>
    <w:p w:rsidR="00C656DA" w:rsidRPr="00007EB1" w:rsidP="00280D5F">
      <w:pPr>
        <w:spacing w:after="270" w:line="360" w:lineRule="auto"/>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On one hand, in para. 114, the UKSC declared that ‘it is clear’ paragraphs 1, 11 and 12 of the RSEO provisions, at the heart of the Dillon case, ‘cannot have direct effect’ because they are expressed ’at a high level of generality’.</w:t>
      </w:r>
      <w:r>
        <w:rPr>
          <w:rStyle w:val="FootnoteReference"/>
          <w:rFonts w:ascii="Verdana" w:hAnsi="Verdana" w:cs="Arial"/>
          <w:color w:val="000000" w:themeColor="text1"/>
          <w:sz w:val="22"/>
          <w:szCs w:val="22"/>
        </w:rPr>
        <w:footnoteReference w:id="23"/>
      </w:r>
      <w:r w:rsidRPr="00007EB1">
        <w:rPr>
          <w:rFonts w:ascii="Verdana" w:hAnsi="Verdana" w:cs="Arial"/>
          <w:color w:val="000000" w:themeColor="text1"/>
          <w:sz w:val="22"/>
          <w:szCs w:val="22"/>
        </w:rPr>
        <w:t xml:space="preserve"> </w:t>
      </w:r>
      <w:r w:rsidRPr="00007EB1">
        <w:rPr>
          <w:rFonts w:ascii="Verdana" w:eastAsia="Arial" w:hAnsi="Verdana" w:cs="Arial"/>
          <w:color w:val="000000" w:themeColor="text1"/>
          <w:sz w:val="22"/>
          <w:szCs w:val="22"/>
        </w:rPr>
        <w:t xml:space="preserve"> It is </w:t>
      </w:r>
      <w:r w:rsidRPr="00007EB1">
        <w:rPr>
          <w:rFonts w:ascii="Verdana" w:eastAsia="Arial" w:hAnsi="Verdana" w:cs="Arial"/>
          <w:color w:val="000000" w:themeColor="text1"/>
          <w:sz w:val="22"/>
          <w:szCs w:val="22"/>
        </w:rPr>
        <w:t>worth noting these provisions concern ’the civil rights and the religious liberties of everyone in the community’, the acknowledgment of ’the suffering of the victims of violence as a necessary element of reconciliation’, and victims’ ’right to remember as well as to contribute to a changed society’.</w:t>
      </w:r>
      <w:r>
        <w:rPr>
          <w:rStyle w:val="FootnoteReference"/>
          <w:rFonts w:ascii="Verdana" w:eastAsia="Arial" w:hAnsi="Verdana" w:cs="Arial"/>
          <w:color w:val="000000" w:themeColor="text1"/>
          <w:sz w:val="22"/>
          <w:szCs w:val="22"/>
        </w:rPr>
        <w:footnoteReference w:id="24"/>
      </w:r>
      <w:r w:rsidRPr="00007EB1">
        <w:rPr>
          <w:rFonts w:ascii="Verdana" w:eastAsia="Arial" w:hAnsi="Verdana" w:cs="Arial"/>
          <w:color w:val="000000" w:themeColor="text1"/>
          <w:sz w:val="22"/>
          <w:szCs w:val="22"/>
        </w:rPr>
        <w:t xml:space="preserve"> Therefore, the Court seems to believe that the relevant RSEO provisions themselves must have direct effect for Article 2 WF to apply in future litigation.</w:t>
      </w:r>
    </w:p>
    <w:p w:rsidR="00C656DA" w:rsidRPr="00007EB1" w:rsidP="00280D5F">
      <w:pPr>
        <w:spacing w:after="270" w:line="360" w:lineRule="auto"/>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 xml:space="preserve">On the other hand, in para. 118, the UKSC declared that Article 2(1) WF </w:t>
      </w:r>
      <w:r w:rsidRPr="00007EB1">
        <w:rPr>
          <w:rFonts w:ascii="Verdana" w:eastAsia="Arial" w:hAnsi="Verdana" w:cs="Arial"/>
          <w:i/>
          <w:iCs/>
          <w:color w:val="000000" w:themeColor="text1"/>
          <w:sz w:val="22"/>
          <w:szCs w:val="22"/>
        </w:rPr>
        <w:t>may</w:t>
      </w:r>
      <w:r w:rsidRPr="00007EB1">
        <w:rPr>
          <w:rFonts w:ascii="Verdana" w:eastAsia="Arial" w:hAnsi="Verdana" w:cs="Arial"/>
          <w:color w:val="000000" w:themeColor="text1"/>
          <w:sz w:val="22"/>
          <w:szCs w:val="22"/>
        </w:rPr>
        <w:t xml:space="preserve"> have direct effect when read in conjunction with Annex 1 Directives or other EU instruments falling ‘within the ambit’ of the rights with bullet points in paragraph 1, or within the ambit of paragraphs 11 and 12 of the RSEO provisions (which it states was not apparent in this case.</w:t>
      </w:r>
      <w:r w:rsidRPr="00007EB1">
        <w:rPr>
          <w:rStyle w:val="FootnoteReference"/>
          <w:rFonts w:ascii="Verdana" w:eastAsia="Arial" w:hAnsi="Verdana" w:cs="Arial"/>
          <w:color w:val="000000" w:themeColor="text1"/>
          <w:sz w:val="22"/>
          <w:szCs w:val="22"/>
        </w:rPr>
        <w:t xml:space="preserve"> </w:t>
      </w:r>
      <w:r>
        <w:rPr>
          <w:rStyle w:val="FootnoteReference"/>
          <w:rFonts w:ascii="Verdana" w:hAnsi="Verdana" w:cs="Arial"/>
          <w:sz w:val="22"/>
          <w:szCs w:val="22"/>
        </w:rPr>
        <w:footnoteReference w:id="25"/>
      </w:r>
      <w:r w:rsidRPr="00007EB1">
        <w:rPr>
          <w:rFonts w:ascii="Verdana" w:eastAsia="Arial" w:hAnsi="Verdana" w:cs="Arial"/>
          <w:color w:val="000000" w:themeColor="text1"/>
          <w:sz w:val="22"/>
          <w:szCs w:val="22"/>
        </w:rPr>
        <w:t xml:space="preserve"> The Supreme Court reiterates this in para 125: </w:t>
      </w:r>
    </w:p>
    <w:p w:rsidR="00C656DA" w:rsidRPr="00007EB1" w:rsidP="00280D5F">
      <w:pPr>
        <w:spacing w:before="120" w:after="120" w:line="360" w:lineRule="auto"/>
        <w:ind w:left="567"/>
        <w:rPr>
          <w:rFonts w:ascii="Verdana" w:eastAsia="Arial" w:hAnsi="Verdana" w:cs="Arial"/>
          <w:color w:val="000000" w:themeColor="text1"/>
          <w:sz w:val="22"/>
          <w:szCs w:val="22"/>
        </w:rPr>
      </w:pPr>
      <w:r w:rsidRPr="00007EB1">
        <w:rPr>
          <w:rFonts w:ascii="Verdana" w:eastAsia="Arial" w:hAnsi="Verdana" w:cs="Arial"/>
          <w:i/>
          <w:iCs/>
          <w:color w:val="000000" w:themeColor="text1"/>
          <w:sz w:val="22"/>
          <w:szCs w:val="22"/>
          <w:lang w:val="en-US"/>
        </w:rPr>
        <w:t>While the provisions of paragraphs 1, 11, and 12 of the RSEO chapter do not themselves have direct effect, article 2(1) of the Windsor Framework may be capable of having direct effect in conjunction with other EU instruments falling within the ambit of the RSEO chapter if the Demirel requirements are satisfied in respect of the obligation imposed.</w:t>
      </w: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 xml:space="preserve">The judgment is, therefore, equivocal: it is not clear the UKSC requires that the rights in the RSEO provisions of the BGFA must be directly effective for Article 2 WF to apply. Since the Supreme Court goes on to examine the meaning of the Victims’ Directive, we think the better interpretation of what the Court means is that the relevant EU act must be ‘within the ambit’ of the RSEO provisions. </w:t>
      </w:r>
    </w:p>
    <w:p w:rsidR="00C656DA" w:rsidRPr="00007EB1" w:rsidP="00280D5F">
      <w:pPr>
        <w:spacing w:after="270" w:line="360" w:lineRule="auto"/>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 xml:space="preserve">Interestingly, the Court also rejected the 2020 Explainer Document from the UK Government and a 2020 letter from the Minister of State for Northern Ireland </w:t>
      </w:r>
      <w:r w:rsidRPr="00007EB1">
        <w:rPr>
          <w:rFonts w:ascii="Verdana" w:eastAsia="Arial" w:hAnsi="Verdana" w:cs="Arial"/>
          <w:color w:val="000000" w:themeColor="text1"/>
          <w:sz w:val="22"/>
          <w:szCs w:val="22"/>
        </w:rPr>
        <w:t xml:space="preserve">(both stating that Article 2(1) WF was meant to have direct effect) as acceptable methods of treaty interpretation under Article 31(3) VCLT, by stating these instruments represented ’unilateral statements’. Indeed, Article 31(3) VCLT specifies that courts should </w:t>
      </w:r>
      <w:r w:rsidRPr="00007EB1">
        <w:rPr>
          <w:rFonts w:ascii="Verdana" w:eastAsia="Arial" w:hAnsi="Verdana" w:cs="Arial"/>
          <w:color w:val="000000" w:themeColor="text1"/>
          <w:sz w:val="22"/>
          <w:szCs w:val="22"/>
        </w:rPr>
        <w:t>take into account</w:t>
      </w:r>
      <w:r w:rsidRPr="00007EB1">
        <w:rPr>
          <w:rFonts w:ascii="Verdana" w:eastAsia="Arial" w:hAnsi="Verdana" w:cs="Arial"/>
          <w:color w:val="000000" w:themeColor="text1"/>
          <w:sz w:val="22"/>
          <w:szCs w:val="22"/>
        </w:rPr>
        <w:t xml:space="preserve"> ’</w:t>
      </w:r>
      <w:r w:rsidRPr="00007EB1">
        <w:rPr>
          <w:rFonts w:ascii="Verdana" w:eastAsia="Arial" w:hAnsi="Verdana" w:cs="Arial"/>
          <w:i/>
          <w:iCs/>
          <w:color w:val="000000" w:themeColor="text1"/>
          <w:sz w:val="22"/>
          <w:szCs w:val="22"/>
        </w:rPr>
        <w:t>subsequent practice in the application of the treaty which establishes the agreement of the parties regarding its interpretation</w:t>
      </w:r>
      <w:r w:rsidRPr="00007EB1">
        <w:rPr>
          <w:rFonts w:ascii="Verdana" w:eastAsia="Arial" w:hAnsi="Verdana" w:cs="Arial"/>
          <w:color w:val="000000" w:themeColor="text1"/>
          <w:sz w:val="22"/>
          <w:szCs w:val="22"/>
        </w:rPr>
        <w:t>’. However, in international adjudication, statements by senior State officials may serve important legal functions, which the Court does not acknowledge. They may constitute evidence of subsequent practice relevant to treaty interpretation under Articles 31(3) VCLT,</w:t>
      </w:r>
      <w:r w:rsidRPr="00007EB1">
        <w:rPr>
          <w:rFonts w:ascii="Verdana" w:eastAsia="Times New Roman" w:hAnsi="Verdana" w:cs="Arial"/>
          <w:color w:val="000000" w:themeColor="text1"/>
          <w:sz w:val="22"/>
          <w:szCs w:val="22"/>
        </w:rPr>
        <w:t xml:space="preserve"> </w:t>
      </w:r>
      <w:r>
        <w:rPr>
          <w:rStyle w:val="FootnoteReference"/>
          <w:rFonts w:ascii="Verdana" w:eastAsia="Times New Roman" w:hAnsi="Verdana" w:cs="Arial"/>
          <w:color w:val="000000" w:themeColor="text1"/>
          <w:sz w:val="22"/>
          <w:szCs w:val="22"/>
        </w:rPr>
        <w:footnoteReference w:id="26"/>
      </w:r>
      <w:r w:rsidRPr="00007EB1">
        <w:rPr>
          <w:rFonts w:ascii="Verdana" w:eastAsia="Arial" w:hAnsi="Verdana" w:cs="Arial"/>
          <w:color w:val="000000" w:themeColor="text1"/>
          <w:sz w:val="22"/>
          <w:szCs w:val="22"/>
        </w:rPr>
        <w:t xml:space="preserve"> and </w:t>
      </w:r>
      <w:r w:rsidRPr="00007EB1">
        <w:rPr>
          <w:rFonts w:ascii="Verdana" w:eastAsia="Arial" w:hAnsi="Verdana" w:cs="Arial"/>
          <w:color w:val="000000" w:themeColor="text1"/>
          <w:sz w:val="22"/>
          <w:szCs w:val="22"/>
        </w:rPr>
        <w:t>where</w:t>
      </w:r>
      <w:r w:rsidRPr="00007EB1">
        <w:rPr>
          <w:rFonts w:ascii="Verdana" w:eastAsia="Arial" w:hAnsi="Verdana" w:cs="Arial"/>
          <w:color w:val="000000" w:themeColor="text1"/>
          <w:sz w:val="22"/>
          <w:szCs w:val="22"/>
        </w:rPr>
        <w:t xml:space="preserve"> made publicly with an intention to be legally bound, they may even give rise to binding unilateral obligations under international law.</w:t>
      </w:r>
      <w:r w:rsidRPr="00007EB1">
        <w:rPr>
          <w:rFonts w:ascii="Verdana" w:eastAsia="Times New Roman" w:hAnsi="Verdana" w:cs="Arial"/>
          <w:color w:val="000000" w:themeColor="text1"/>
          <w:sz w:val="22"/>
          <w:szCs w:val="22"/>
          <w:vertAlign w:val="superscript"/>
        </w:rPr>
        <w:t xml:space="preserve"> </w:t>
      </w:r>
      <w:r>
        <w:rPr>
          <w:rFonts w:ascii="Verdana" w:eastAsia="Times New Roman" w:hAnsi="Verdana" w:cs="Arial"/>
          <w:color w:val="000000" w:themeColor="text1"/>
          <w:sz w:val="22"/>
          <w:szCs w:val="22"/>
          <w:vertAlign w:val="superscript"/>
        </w:rPr>
        <w:footnoteReference w:id="27"/>
      </w: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Conclusion:</w:t>
      </w:r>
      <w:r w:rsidRPr="00007EB1">
        <w:rPr>
          <w:rFonts w:ascii="Verdana" w:eastAsia="Arial" w:hAnsi="Verdana" w:cs="Arial"/>
          <w:color w:val="000000" w:themeColor="text1"/>
          <w:sz w:val="22"/>
          <w:szCs w:val="22"/>
        </w:rPr>
        <w:t xml:space="preserve"> The UKSC’s approach to direct effect in </w:t>
      </w:r>
      <w:r w:rsidRPr="00007EB1">
        <w:rPr>
          <w:rFonts w:ascii="Verdana" w:eastAsia="Arial" w:hAnsi="Verdana" w:cs="Arial"/>
          <w:i/>
          <w:iCs/>
          <w:color w:val="000000" w:themeColor="text1"/>
          <w:sz w:val="22"/>
          <w:szCs w:val="22"/>
        </w:rPr>
        <w:t xml:space="preserve">Dillon </w:t>
      </w:r>
      <w:r w:rsidRPr="00007EB1">
        <w:rPr>
          <w:rFonts w:ascii="Verdana" w:eastAsia="Arial" w:hAnsi="Verdana" w:cs="Arial"/>
          <w:color w:val="000000" w:themeColor="text1"/>
          <w:sz w:val="22"/>
          <w:szCs w:val="22"/>
        </w:rPr>
        <w:t>risks leading to a restrictive approach to rights protection in NI under Article 2(1) WF; at times the approach departs from accepted international legal reasoning. Indeed, if the Court’s judgment were to be interpreted to impose a double test for the direct effect of Article 2(1) WF to be granted, this would significantly narrow the scope of applicability of Article 2(1) WF in the post-Brexit litigation landscape. The broader interpretation of the UKSC judgment (that an EU act be within the ambit of the RS</w:t>
      </w:r>
      <w:r w:rsidRPr="00007EB1">
        <w:rPr>
          <w:rFonts w:ascii="Verdana" w:eastAsia="Arial" w:hAnsi="Verdana" w:cs="Arial"/>
          <w:color w:val="000000" w:themeColor="text1"/>
          <w:sz w:val="22"/>
          <w:szCs w:val="22"/>
        </w:rPr>
        <w:t xml:space="preserve">EO provisions) is more in keeping with the purpose of Article 2(1) WF. </w:t>
      </w:r>
    </w:p>
    <w:p w:rsidR="00C656DA" w:rsidRPr="00007EB1" w:rsidP="00280D5F">
      <w:pPr>
        <w:spacing w:before="120" w:after="120" w:line="360" w:lineRule="auto"/>
        <w:rPr>
          <w:rFonts w:ascii="Verdana" w:eastAsia="Arial" w:hAnsi="Verdana" w:cs="Arial"/>
          <w:color w:val="000000" w:themeColor="text1"/>
          <w:sz w:val="22"/>
          <w:szCs w:val="22"/>
        </w:rPr>
      </w:pPr>
    </w:p>
    <w:p w:rsidR="00C656DA" w:rsidRPr="00007EB1" w:rsidP="00280D5F">
      <w:pPr>
        <w:pStyle w:val="ListParagraph"/>
        <w:spacing w:before="120" w:after="120" w:line="360" w:lineRule="auto"/>
        <w:contextualSpacing w:val="0"/>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Q6 Who can rely on Article 2 WF and when?</w:t>
      </w:r>
      <w:r w:rsidRPr="00007EB1">
        <w:rPr>
          <w:rFonts w:ascii="Verdana" w:eastAsia="Arial" w:hAnsi="Verdana" w:cs="Arial"/>
          <w:color w:val="000000" w:themeColor="text1"/>
          <w:sz w:val="22"/>
          <w:szCs w:val="22"/>
        </w:rPr>
        <w:t xml:space="preserve"> </w:t>
      </w: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 xml:space="preserve">The answer to this question is, in many ways, complex considering the outcome of the judgment in </w:t>
      </w:r>
      <w:r w:rsidRPr="00007EB1">
        <w:rPr>
          <w:rFonts w:ascii="Verdana" w:eastAsia="Arial" w:hAnsi="Verdana" w:cs="Arial"/>
          <w:i/>
          <w:iCs/>
          <w:color w:val="000000" w:themeColor="text1"/>
          <w:sz w:val="22"/>
          <w:szCs w:val="22"/>
        </w:rPr>
        <w:t xml:space="preserve">Dillon </w:t>
      </w:r>
      <w:r w:rsidRPr="00007EB1">
        <w:rPr>
          <w:rFonts w:ascii="Verdana" w:eastAsia="Arial" w:hAnsi="Verdana" w:cs="Arial"/>
          <w:color w:val="000000" w:themeColor="text1"/>
          <w:sz w:val="22"/>
          <w:szCs w:val="22"/>
        </w:rPr>
        <w:t>.</w:t>
      </w:r>
      <w:r w:rsidRPr="00007EB1">
        <w:rPr>
          <w:rFonts w:ascii="Verdana" w:eastAsia="Arial" w:hAnsi="Verdana" w:cs="Arial"/>
          <w:color w:val="000000" w:themeColor="text1"/>
          <w:sz w:val="22"/>
          <w:szCs w:val="22"/>
        </w:rPr>
        <w:t xml:space="preserve"> As we also stress in Question 9, Article 2 WF was operating within Northern Ireland courts with a generous scope of interpretation. </w:t>
      </w:r>
      <w:r w:rsidRPr="00007EB1">
        <w:rPr>
          <w:rFonts w:ascii="Verdana" w:eastAsia="Times New Roman" w:hAnsi="Verdana" w:cs="Arial"/>
          <w:color w:val="000000" w:themeColor="text1"/>
          <w:sz w:val="22"/>
          <w:szCs w:val="22"/>
          <w:lang w:eastAsia="en-GB"/>
        </w:rPr>
        <w:t xml:space="preserve">For example, </w:t>
      </w:r>
      <w:r w:rsidRPr="00007EB1">
        <w:rPr>
          <w:rFonts w:ascii="Verdana" w:hAnsi="Verdana" w:cs="Arial"/>
          <w:i/>
          <w:iCs/>
          <w:color w:val="000000" w:themeColor="text1"/>
          <w:sz w:val="22"/>
          <w:szCs w:val="22"/>
        </w:rPr>
        <w:t>Angesom</w:t>
      </w:r>
      <w:r>
        <w:rPr>
          <w:rStyle w:val="FootnoteReference"/>
          <w:rFonts w:ascii="Verdana" w:hAnsi="Verdana" w:cs="Arial"/>
          <w:color w:val="000000" w:themeColor="text1"/>
          <w:sz w:val="22"/>
          <w:szCs w:val="22"/>
        </w:rPr>
        <w:footnoteReference w:id="28"/>
      </w:r>
      <w:r w:rsidRPr="00007EB1">
        <w:rPr>
          <w:rFonts w:ascii="Verdana" w:hAnsi="Verdana" w:cs="Arial"/>
          <w:color w:val="000000" w:themeColor="text1"/>
          <w:sz w:val="22"/>
          <w:szCs w:val="22"/>
        </w:rPr>
        <w:t xml:space="preserve"> and the </w:t>
      </w:r>
      <w:r w:rsidRPr="00007EB1">
        <w:rPr>
          <w:rFonts w:ascii="Verdana" w:hAnsi="Verdana" w:cs="Arial"/>
          <w:i/>
          <w:iCs/>
          <w:color w:val="000000" w:themeColor="text1"/>
          <w:sz w:val="22"/>
          <w:szCs w:val="22"/>
        </w:rPr>
        <w:t>Illegal Migration Act</w:t>
      </w:r>
      <w:r>
        <w:rPr>
          <w:rStyle w:val="FootnoteReference"/>
          <w:rFonts w:ascii="Verdana" w:hAnsi="Verdana" w:cs="Arial"/>
          <w:color w:val="000000" w:themeColor="text1"/>
          <w:sz w:val="22"/>
          <w:szCs w:val="22"/>
        </w:rPr>
        <w:footnoteReference w:id="29"/>
      </w:r>
      <w:r w:rsidRPr="00007EB1">
        <w:rPr>
          <w:rFonts w:ascii="Verdana" w:hAnsi="Verdana" w:cs="Arial"/>
          <w:color w:val="000000" w:themeColor="text1"/>
          <w:sz w:val="22"/>
          <w:szCs w:val="22"/>
        </w:rPr>
        <w:t xml:space="preserve"> </w:t>
      </w:r>
      <w:r w:rsidRPr="00007EB1">
        <w:rPr>
          <w:rFonts w:ascii="Verdana" w:eastAsia="Arial" w:hAnsi="Verdana" w:cs="Arial"/>
          <w:color w:val="000000" w:themeColor="text1"/>
          <w:sz w:val="22"/>
          <w:szCs w:val="22"/>
        </w:rPr>
        <w:t xml:space="preserve">cases confirm that aspects of EU asylum legislation fell within the scope of Article 2 WF, and that </w:t>
      </w:r>
      <w:r w:rsidRPr="00007EB1">
        <w:rPr>
          <w:rFonts w:ascii="Verdana" w:eastAsia="Arial" w:hAnsi="Verdana" w:cs="Arial"/>
          <w:b/>
          <w:bCs/>
          <w:color w:val="000000" w:themeColor="text1"/>
          <w:sz w:val="22"/>
          <w:szCs w:val="22"/>
        </w:rPr>
        <w:t>asylum-seekers are members of the community for the purposes of the BGFA</w:t>
      </w:r>
      <w:r w:rsidRPr="00007EB1">
        <w:rPr>
          <w:rFonts w:ascii="Verdana" w:eastAsia="Arial" w:hAnsi="Verdana" w:cs="Arial"/>
          <w:color w:val="000000" w:themeColor="text1"/>
          <w:sz w:val="22"/>
          <w:szCs w:val="22"/>
        </w:rPr>
        <w:t xml:space="preserve">. The cases demonstrate the relevance of Article 2 WF to core human </w:t>
      </w:r>
      <w:r w:rsidRPr="00007EB1">
        <w:rPr>
          <w:rFonts w:ascii="Verdana" w:eastAsia="Arial" w:hAnsi="Verdana" w:cs="Arial"/>
          <w:color w:val="000000" w:themeColor="text1"/>
          <w:sz w:val="22"/>
          <w:szCs w:val="22"/>
        </w:rPr>
        <w:t xml:space="preserve">rights and equality issues, and that the WF is not limited to issues about the free movement of goods, nor is the BGFA solely about sectarian conflict. </w:t>
      </w: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 xml:space="preserve">Prior to the </w:t>
      </w:r>
      <w:r w:rsidRPr="00007EB1">
        <w:rPr>
          <w:rFonts w:ascii="Verdana" w:eastAsia="Arial" w:hAnsi="Verdana" w:cs="Arial"/>
          <w:i/>
          <w:iCs/>
          <w:color w:val="000000" w:themeColor="text1"/>
          <w:sz w:val="22"/>
          <w:szCs w:val="22"/>
        </w:rPr>
        <w:t xml:space="preserve">Dillon </w:t>
      </w:r>
      <w:r w:rsidRPr="00007EB1">
        <w:rPr>
          <w:rFonts w:ascii="Verdana" w:eastAsia="Arial" w:hAnsi="Verdana" w:cs="Arial"/>
          <w:color w:val="000000" w:themeColor="text1"/>
          <w:sz w:val="22"/>
          <w:szCs w:val="22"/>
        </w:rPr>
        <w:t xml:space="preserve">judgment, the outworking of Article 2 WF and the no diminution requirement (shaped in part by the 2020 UK Explainer Document and subsequently by NI courts) was understood to extend well beyond the Annex 1 equality commitments. According to the 2020 Explainer Document (underlined emphasis added): </w:t>
      </w:r>
    </w:p>
    <w:p w:rsidR="00C656DA" w:rsidRPr="00007EB1" w:rsidP="00280D5F">
      <w:pPr>
        <w:spacing w:before="120" w:after="120" w:line="360" w:lineRule="auto"/>
        <w:ind w:left="567" w:right="567"/>
        <w:rPr>
          <w:rFonts w:ascii="Verdana" w:eastAsia="Arial" w:hAnsi="Verdana" w:cs="Arial"/>
          <w:color w:val="000000" w:themeColor="text1"/>
          <w:sz w:val="22"/>
          <w:szCs w:val="22"/>
        </w:rPr>
      </w:pPr>
      <w:r w:rsidRPr="00007EB1">
        <w:rPr>
          <w:rFonts w:ascii="Verdana" w:eastAsia="Arial" w:hAnsi="Verdana" w:cs="Arial"/>
          <w:i/>
          <w:iCs/>
          <w:color w:val="000000" w:themeColor="text1"/>
          <w:sz w:val="22"/>
          <w:szCs w:val="22"/>
        </w:rPr>
        <w:t xml:space="preserve">It should be noted that the directives in Annex 1, which have a future-facing dimension, represent only a subset of the protections in scope of the wider ‘no diminution’ commitment. There are other pieces of EU law that are relevant to the “Rights, Safeguards and Equality of Opportunity” chapter of the Agreement which have been implemented in retained EU law – via the EU (Withdrawal) Act 2018 – or domestic law in Northern Ireland. </w:t>
      </w:r>
      <w:r w:rsidRPr="00007EB1">
        <w:rPr>
          <w:rFonts w:ascii="Verdana" w:eastAsia="Arial" w:hAnsi="Verdana" w:cs="Arial"/>
          <w:i/>
          <w:iCs/>
          <w:color w:val="000000" w:themeColor="text1"/>
          <w:sz w:val="22"/>
          <w:szCs w:val="22"/>
          <w:u w:val="single"/>
        </w:rPr>
        <w:t xml:space="preserve">These include, but are not limited to, the Victims’ Directive, the Parental Leave Directive and the Pregnant Workers’ Directive, as well as specific measures aimed at protecting the rights of persons with disabilities. We do not envisage any circumstances in which those rights would be rolled back. </w:t>
      </w:r>
      <w:r w:rsidRPr="00007EB1">
        <w:rPr>
          <w:rFonts w:ascii="Verdana" w:eastAsia="Arial" w:hAnsi="Verdana" w:cs="Arial"/>
          <w:i/>
          <w:iCs/>
          <w:color w:val="000000" w:themeColor="text1"/>
          <w:sz w:val="22"/>
          <w:szCs w:val="22"/>
        </w:rPr>
        <w:t xml:space="preserve">However, provided that the rights in question are relevant to the </w:t>
      </w:r>
      <w:r w:rsidRPr="00007EB1">
        <w:rPr>
          <w:rFonts w:ascii="Verdana" w:eastAsia="Arial" w:hAnsi="Verdana" w:cs="Arial"/>
          <w:i/>
          <w:iCs/>
          <w:color w:val="000000" w:themeColor="text1"/>
          <w:sz w:val="22"/>
          <w:szCs w:val="22"/>
        </w:rPr>
        <w:t>aforementioned chapter</w:t>
      </w:r>
      <w:r w:rsidRPr="00007EB1">
        <w:rPr>
          <w:rFonts w:ascii="Verdana" w:eastAsia="Arial" w:hAnsi="Verdana" w:cs="Arial"/>
          <w:i/>
          <w:iCs/>
          <w:color w:val="000000" w:themeColor="text1"/>
          <w:sz w:val="22"/>
          <w:szCs w:val="22"/>
        </w:rPr>
        <w:t xml:space="preserve"> of the Agreement, they are in scope of the UK Government’s commitment that there will be no diminution of rights </w:t>
      </w:r>
      <w:r w:rsidRPr="00007EB1">
        <w:rPr>
          <w:rFonts w:ascii="Verdana" w:eastAsia="Arial" w:hAnsi="Verdana" w:cs="Arial"/>
          <w:i/>
          <w:iCs/>
          <w:color w:val="000000" w:themeColor="text1"/>
          <w:sz w:val="22"/>
          <w:szCs w:val="22"/>
        </w:rPr>
        <w:t>as a result of</w:t>
      </w:r>
      <w:r w:rsidRPr="00007EB1">
        <w:rPr>
          <w:rFonts w:ascii="Verdana" w:eastAsia="Arial" w:hAnsi="Verdana" w:cs="Arial"/>
          <w:i/>
          <w:iCs/>
          <w:color w:val="000000" w:themeColor="text1"/>
          <w:sz w:val="22"/>
          <w:szCs w:val="22"/>
        </w:rPr>
        <w:t xml:space="preserve"> the UK leaving the EU.</w:t>
      </w:r>
      <w:r w:rsidRPr="00007EB1">
        <w:rPr>
          <w:rFonts w:ascii="Verdana" w:hAnsi="Verdana" w:cs="Arial"/>
          <w:color w:val="000000" w:themeColor="text1"/>
          <w:sz w:val="22"/>
          <w:szCs w:val="22"/>
        </w:rPr>
        <w:t xml:space="preserve"> </w:t>
      </w:r>
      <w:r>
        <w:rPr>
          <w:rStyle w:val="FootnoteReference"/>
          <w:rFonts w:ascii="Verdana" w:hAnsi="Verdana" w:cs="Arial"/>
          <w:color w:val="000000" w:themeColor="text1"/>
          <w:sz w:val="22"/>
          <w:szCs w:val="22"/>
        </w:rPr>
        <w:footnoteReference w:id="30"/>
      </w: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 xml:space="preserve">Depending on how the UKSC Dillon judgment is interpreted and applied in future case law, it may raise questions about who can rely on Article 2 WF. </w:t>
      </w:r>
      <w:r w:rsidRPr="00007EB1">
        <w:rPr>
          <w:rFonts w:ascii="Verdana" w:eastAsia="Arial" w:hAnsi="Verdana" w:cs="Arial"/>
          <w:b/>
          <w:bCs/>
          <w:color w:val="000000" w:themeColor="text1"/>
          <w:sz w:val="22"/>
          <w:szCs w:val="22"/>
        </w:rPr>
        <w:t>We consider that everyone must be able to invoke Article 2 WF</w:t>
      </w:r>
      <w:r w:rsidRPr="00007EB1">
        <w:rPr>
          <w:rFonts w:ascii="Verdana" w:eastAsia="Arial" w:hAnsi="Verdana" w:cs="Arial"/>
          <w:color w:val="000000" w:themeColor="text1"/>
          <w:sz w:val="22"/>
          <w:szCs w:val="22"/>
        </w:rPr>
        <w:t>;</w:t>
      </w:r>
      <w:r w:rsidRPr="00007EB1">
        <w:rPr>
          <w:rFonts w:ascii="Verdana" w:eastAsia="Arial" w:hAnsi="Verdana" w:cs="Arial"/>
          <w:b/>
          <w:bCs/>
          <w:color w:val="000000" w:themeColor="text1"/>
          <w:sz w:val="22"/>
          <w:szCs w:val="22"/>
        </w:rPr>
        <w:t xml:space="preserve"> </w:t>
      </w:r>
      <w:r w:rsidRPr="00007EB1">
        <w:rPr>
          <w:rFonts w:ascii="Verdana" w:eastAsia="Arial" w:hAnsi="Verdana" w:cs="Arial"/>
          <w:color w:val="000000" w:themeColor="text1"/>
          <w:sz w:val="22"/>
          <w:szCs w:val="22"/>
        </w:rPr>
        <w:t xml:space="preserve">to find otherwise would be contrary to both the RSEO provisions of the BGFA (which refers to "everyone in the community") and Article 2 WF (which is entitled "Rights of Individuals"). We note that while the non-diminution requirement is modest, it is significant and valuable. Its value is seen in the context of the previous UK government which adopted legislation with serious human rights deficiencies in relation to migration and legacy.  </w:t>
      </w:r>
    </w:p>
    <w:p w:rsidR="00C656DA" w:rsidRPr="00007EB1" w:rsidP="00280D5F">
      <w:pPr>
        <w:spacing w:before="120" w:after="120" w:line="360" w:lineRule="auto"/>
        <w:rPr>
          <w:rFonts w:ascii="Verdana" w:eastAsia="Arial" w:hAnsi="Verdana" w:cs="Arial"/>
          <w:color w:val="000000" w:themeColor="text1"/>
          <w:sz w:val="22"/>
          <w:szCs w:val="22"/>
        </w:rPr>
      </w:pPr>
    </w:p>
    <w:p w:rsidR="00C656DA" w:rsidRPr="00007EB1" w:rsidP="00280D5F">
      <w:pPr>
        <w:pStyle w:val="ListParagraph"/>
        <w:keepNext/>
        <w:spacing w:before="120" w:after="120" w:line="360" w:lineRule="auto"/>
        <w:contextualSpacing w:val="0"/>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 xml:space="preserve">Q7 </w:t>
      </w:r>
      <w:r w:rsidRPr="00007EB1">
        <w:rPr>
          <w:rFonts w:ascii="Verdana" w:eastAsia="Arial" w:hAnsi="Verdana" w:cs="Arial"/>
          <w:b/>
          <w:bCs/>
          <w:color w:val="000000" w:themeColor="text1"/>
          <w:sz w:val="22"/>
          <w:szCs w:val="22"/>
        </w:rPr>
        <w:t>What is classified as a ‘diminution’ of rights under Article 2 WF and how is a breach determined?</w:t>
      </w: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Article 2 WF does not define what a ‘diminution of rights’ means and how a breach may be determined. Courts, however, recently attempted to answer that question across several key cases in which Article 2 WF played an important role.</w:t>
      </w:r>
    </w:p>
    <w:p w:rsidR="00C656DA" w:rsidRPr="00007EB1" w:rsidP="00280D5F">
      <w:pPr>
        <w:spacing w:after="27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 xml:space="preserve">In 2023, the Northern Ireland Court of Appeal adopted a six-part test in the </w:t>
      </w:r>
      <w:r w:rsidRPr="00007EB1">
        <w:rPr>
          <w:rFonts w:ascii="Verdana" w:eastAsia="Arial" w:hAnsi="Verdana" w:cs="Arial"/>
          <w:b/>
          <w:bCs/>
          <w:i/>
          <w:iCs/>
          <w:color w:val="000000" w:themeColor="text1"/>
          <w:sz w:val="22"/>
          <w:szCs w:val="22"/>
        </w:rPr>
        <w:t>SPUC case</w:t>
      </w:r>
      <w:r w:rsidRPr="00007EB1">
        <w:rPr>
          <w:rFonts w:ascii="Verdana" w:eastAsia="Arial" w:hAnsi="Verdana" w:cs="Arial"/>
          <w:b/>
          <w:bCs/>
          <w:color w:val="000000" w:themeColor="text1"/>
          <w:sz w:val="22"/>
          <w:szCs w:val="22"/>
        </w:rPr>
        <w:t xml:space="preserve"> to identify a diminution of rights amounting to a breach of Article 2 WF</w:t>
      </w:r>
      <w:r w:rsidRPr="00007EB1">
        <w:rPr>
          <w:rFonts w:ascii="Verdana" w:eastAsia="Arial" w:hAnsi="Verdana" w:cs="Arial"/>
          <w:color w:val="000000" w:themeColor="text1"/>
          <w:sz w:val="22"/>
          <w:szCs w:val="22"/>
        </w:rPr>
        <w:t xml:space="preserve">: </w:t>
      </w:r>
    </w:p>
    <w:p w:rsidR="00C656DA" w:rsidRPr="00007EB1" w:rsidP="00280D5F">
      <w:pPr>
        <w:spacing w:after="270" w:line="360" w:lineRule="auto"/>
        <w:ind w:left="567" w:right="567"/>
        <w:rPr>
          <w:rFonts w:ascii="Verdana" w:eastAsia="Arial" w:hAnsi="Verdana" w:cs="Arial"/>
          <w:color w:val="000000" w:themeColor="text1"/>
          <w:sz w:val="22"/>
          <w:szCs w:val="22"/>
        </w:rPr>
      </w:pPr>
      <w:r w:rsidRPr="00007EB1">
        <w:rPr>
          <w:rFonts w:ascii="Verdana" w:eastAsia="Arial" w:hAnsi="Verdana" w:cs="Arial"/>
          <w:i/>
          <w:iCs/>
          <w:color w:val="000000" w:themeColor="text1"/>
          <w:sz w:val="22"/>
          <w:szCs w:val="22"/>
        </w:rPr>
        <w:t xml:space="preserve">54. The appellant, in making this challenge, </w:t>
      </w:r>
      <w:r w:rsidRPr="00007EB1">
        <w:rPr>
          <w:rFonts w:ascii="Verdana" w:eastAsia="Arial" w:hAnsi="Verdana" w:cs="Arial"/>
          <w:i/>
          <w:iCs/>
          <w:color w:val="000000" w:themeColor="text1"/>
          <w:sz w:val="22"/>
          <w:szCs w:val="22"/>
        </w:rPr>
        <w:t>has to</w:t>
      </w:r>
      <w:r w:rsidRPr="00007EB1">
        <w:rPr>
          <w:rFonts w:ascii="Verdana" w:eastAsia="Arial" w:hAnsi="Verdana" w:cs="Arial"/>
          <w:i/>
          <w:iCs/>
          <w:color w:val="000000" w:themeColor="text1"/>
          <w:sz w:val="22"/>
          <w:szCs w:val="22"/>
        </w:rPr>
        <w:t xml:space="preserve"> establish a breach of Article 2 satisfying the six elements test, namely:</w:t>
      </w:r>
    </w:p>
    <w:p w:rsidR="00C656DA" w:rsidRPr="00007EB1" w:rsidP="00280D5F">
      <w:pPr>
        <w:spacing w:after="270" w:line="360" w:lineRule="auto"/>
        <w:ind w:left="567" w:right="567"/>
        <w:rPr>
          <w:rFonts w:ascii="Verdana" w:eastAsia="Arial" w:hAnsi="Verdana" w:cs="Arial"/>
          <w:color w:val="000000" w:themeColor="text1"/>
          <w:sz w:val="22"/>
          <w:szCs w:val="22"/>
        </w:rPr>
      </w:pPr>
      <w:r w:rsidRPr="00007EB1">
        <w:rPr>
          <w:rFonts w:ascii="Verdana" w:eastAsia="Arial" w:hAnsi="Verdana" w:cs="Arial"/>
          <w:i/>
          <w:iCs/>
          <w:color w:val="000000" w:themeColor="text1"/>
          <w:sz w:val="22"/>
          <w:szCs w:val="22"/>
        </w:rPr>
        <w:t>(i) A right (or equality of opportunity protection) included in the relevant part of the Belfast/Good Friday 1998 Agreement is engaged.</w:t>
      </w:r>
    </w:p>
    <w:p w:rsidR="00C656DA" w:rsidRPr="00007EB1" w:rsidP="00280D5F">
      <w:pPr>
        <w:spacing w:after="270" w:line="360" w:lineRule="auto"/>
        <w:ind w:left="567" w:right="567"/>
        <w:rPr>
          <w:rFonts w:ascii="Verdana" w:eastAsia="Arial" w:hAnsi="Verdana" w:cs="Arial"/>
          <w:color w:val="000000" w:themeColor="text1"/>
          <w:sz w:val="22"/>
          <w:szCs w:val="22"/>
        </w:rPr>
      </w:pPr>
      <w:r w:rsidRPr="00007EB1">
        <w:rPr>
          <w:rFonts w:ascii="Verdana" w:eastAsia="Arial" w:hAnsi="Verdana" w:cs="Arial"/>
          <w:i/>
          <w:iCs/>
          <w:color w:val="000000" w:themeColor="text1"/>
          <w:sz w:val="22"/>
          <w:szCs w:val="22"/>
        </w:rPr>
        <w:t>(ii) That right was given effect (in whole or in part) in Northern Ireland, on or before 31 December 2020.</w:t>
      </w:r>
    </w:p>
    <w:p w:rsidR="00C656DA" w:rsidRPr="00007EB1" w:rsidP="00280D5F">
      <w:pPr>
        <w:spacing w:after="270" w:line="360" w:lineRule="auto"/>
        <w:ind w:left="567" w:right="567"/>
        <w:rPr>
          <w:rFonts w:ascii="Verdana" w:eastAsia="Arial" w:hAnsi="Verdana" w:cs="Arial"/>
          <w:color w:val="000000" w:themeColor="text1"/>
          <w:sz w:val="22"/>
          <w:szCs w:val="22"/>
        </w:rPr>
      </w:pPr>
      <w:r w:rsidRPr="00007EB1">
        <w:rPr>
          <w:rFonts w:ascii="Verdana" w:eastAsia="Arial" w:hAnsi="Verdana" w:cs="Arial"/>
          <w:i/>
          <w:iCs/>
          <w:color w:val="000000" w:themeColor="text1"/>
          <w:sz w:val="22"/>
          <w:szCs w:val="22"/>
        </w:rPr>
        <w:t>(iii) That Northern Ireland law was underpinned by EU law.</w:t>
      </w:r>
    </w:p>
    <w:p w:rsidR="00C656DA" w:rsidRPr="00007EB1" w:rsidP="00280D5F">
      <w:pPr>
        <w:spacing w:after="270" w:line="360" w:lineRule="auto"/>
        <w:ind w:left="567" w:right="567"/>
        <w:rPr>
          <w:rFonts w:ascii="Verdana" w:eastAsia="Arial" w:hAnsi="Verdana" w:cs="Arial"/>
          <w:color w:val="000000" w:themeColor="text1"/>
          <w:sz w:val="22"/>
          <w:szCs w:val="22"/>
        </w:rPr>
      </w:pPr>
      <w:r w:rsidRPr="00007EB1">
        <w:rPr>
          <w:rFonts w:ascii="Verdana" w:eastAsia="Arial" w:hAnsi="Verdana" w:cs="Arial"/>
          <w:i/>
          <w:iCs/>
          <w:color w:val="000000" w:themeColor="text1"/>
          <w:sz w:val="22"/>
          <w:szCs w:val="22"/>
        </w:rPr>
        <w:t>(iv) That underpinning has been removed, in whole or in part, following withdrawal from the EU.</w:t>
      </w:r>
    </w:p>
    <w:p w:rsidR="00C656DA" w:rsidRPr="00007EB1" w:rsidP="00280D5F">
      <w:pPr>
        <w:spacing w:after="270" w:line="360" w:lineRule="auto"/>
        <w:ind w:left="567" w:right="567"/>
        <w:rPr>
          <w:rFonts w:ascii="Verdana" w:eastAsia="Arial" w:hAnsi="Verdana" w:cs="Arial"/>
          <w:color w:val="000000" w:themeColor="text1"/>
          <w:sz w:val="22"/>
          <w:szCs w:val="22"/>
        </w:rPr>
      </w:pPr>
      <w:r w:rsidRPr="00007EB1">
        <w:rPr>
          <w:rFonts w:ascii="Verdana" w:eastAsia="Arial" w:hAnsi="Verdana" w:cs="Arial"/>
          <w:i/>
          <w:iCs/>
          <w:color w:val="000000" w:themeColor="text1"/>
          <w:sz w:val="22"/>
          <w:szCs w:val="22"/>
        </w:rPr>
        <w:t>(v) This has resulted in a diminution in enjoyment of this right; and</w:t>
      </w:r>
    </w:p>
    <w:p w:rsidR="00C656DA" w:rsidRPr="00007EB1" w:rsidP="00280D5F">
      <w:pPr>
        <w:spacing w:after="270" w:line="360" w:lineRule="auto"/>
        <w:ind w:left="567" w:right="567"/>
        <w:rPr>
          <w:rFonts w:ascii="Verdana" w:eastAsia="Arial" w:hAnsi="Verdana" w:cs="Arial"/>
          <w:color w:val="000000" w:themeColor="text1"/>
          <w:sz w:val="22"/>
          <w:szCs w:val="22"/>
        </w:rPr>
      </w:pPr>
      <w:r w:rsidRPr="00007EB1">
        <w:rPr>
          <w:rFonts w:ascii="Verdana" w:eastAsia="Arial" w:hAnsi="Verdana" w:cs="Arial"/>
          <w:i/>
          <w:iCs/>
          <w:color w:val="000000" w:themeColor="text1"/>
          <w:sz w:val="22"/>
          <w:szCs w:val="22"/>
        </w:rPr>
        <w:t>(vi) This diminution would not have occurred had the UK remained in the EU.</w:t>
      </w:r>
      <w:r w:rsidRPr="00007EB1">
        <w:rPr>
          <w:rFonts w:ascii="Verdana" w:eastAsia="Times New Roman" w:hAnsi="Verdana" w:cs="Arial"/>
          <w:color w:val="000000" w:themeColor="text1"/>
          <w:sz w:val="22"/>
          <w:szCs w:val="22"/>
          <w:lang w:eastAsia="en-GB"/>
        </w:rPr>
        <w:t xml:space="preserve"> </w:t>
      </w:r>
      <w:r>
        <w:rPr>
          <w:rStyle w:val="FootnoteReference"/>
          <w:rFonts w:ascii="Verdana" w:eastAsia="Times New Roman" w:hAnsi="Verdana" w:cs="Arial"/>
          <w:color w:val="000000" w:themeColor="text1"/>
          <w:sz w:val="22"/>
          <w:szCs w:val="22"/>
          <w:lang w:eastAsia="en-GB"/>
        </w:rPr>
        <w:footnoteReference w:id="31"/>
      </w:r>
      <w:r w:rsidRPr="00007EB1">
        <w:rPr>
          <w:rFonts w:ascii="Verdana" w:eastAsia="Arial" w:hAnsi="Verdana" w:cs="Arial"/>
          <w:i/>
          <w:iCs/>
          <w:color w:val="000000" w:themeColor="text1"/>
          <w:sz w:val="22"/>
          <w:szCs w:val="22"/>
        </w:rPr>
        <w:t xml:space="preserve"> </w:t>
      </w:r>
    </w:p>
    <w:p w:rsidR="00C656DA" w:rsidRPr="00007EB1" w:rsidP="00280D5F">
      <w:pPr>
        <w:spacing w:after="27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 xml:space="preserve">In 2026, in </w:t>
      </w:r>
      <w:r w:rsidRPr="00007EB1">
        <w:rPr>
          <w:rFonts w:ascii="Verdana" w:eastAsia="Arial" w:hAnsi="Verdana" w:cs="Arial"/>
          <w:b/>
          <w:bCs/>
          <w:i/>
          <w:iCs/>
          <w:color w:val="000000" w:themeColor="text1"/>
          <w:sz w:val="22"/>
          <w:szCs w:val="22"/>
        </w:rPr>
        <w:t>Dillon</w:t>
      </w:r>
      <w:r w:rsidRPr="00007EB1">
        <w:rPr>
          <w:rFonts w:ascii="Verdana" w:eastAsia="Arial" w:hAnsi="Verdana" w:cs="Arial"/>
          <w:b/>
          <w:bCs/>
          <w:color w:val="000000" w:themeColor="text1"/>
          <w:sz w:val="22"/>
          <w:szCs w:val="22"/>
        </w:rPr>
        <w:t>, the Supreme Court referred instead to a three-part test proposed by the respondent</w:t>
      </w:r>
      <w:r w:rsidRPr="00007EB1">
        <w:rPr>
          <w:rFonts w:ascii="Verdana" w:eastAsia="Arial" w:hAnsi="Verdana" w:cs="Arial"/>
          <w:color w:val="000000" w:themeColor="text1"/>
          <w:sz w:val="22"/>
          <w:szCs w:val="22"/>
        </w:rPr>
        <w:t xml:space="preserve">: </w:t>
      </w:r>
    </w:p>
    <w:p w:rsidR="00C656DA" w:rsidRPr="00007EB1" w:rsidP="00280D5F">
      <w:pPr>
        <w:spacing w:after="270" w:line="360" w:lineRule="auto"/>
        <w:ind w:left="567" w:right="567"/>
        <w:rPr>
          <w:rFonts w:ascii="Verdana" w:eastAsia="Arial" w:hAnsi="Verdana" w:cs="Arial"/>
          <w:color w:val="000000" w:themeColor="text1"/>
          <w:sz w:val="22"/>
          <w:szCs w:val="22"/>
        </w:rPr>
      </w:pPr>
      <w:r w:rsidRPr="00007EB1">
        <w:rPr>
          <w:rFonts w:ascii="Verdana" w:eastAsia="Arial" w:hAnsi="Verdana" w:cs="Arial"/>
          <w:i/>
          <w:iCs/>
          <w:color w:val="000000" w:themeColor="text1"/>
          <w:sz w:val="22"/>
          <w:szCs w:val="22"/>
        </w:rPr>
        <w:t xml:space="preserve">(1) Is a right, safeguard or equality of opportunity that falls within the RSEO chapter of the Belfast Agreement engaged? </w:t>
      </w:r>
    </w:p>
    <w:p w:rsidR="00C656DA" w:rsidRPr="00007EB1" w:rsidP="00280D5F">
      <w:pPr>
        <w:spacing w:after="270" w:line="360" w:lineRule="auto"/>
        <w:ind w:left="567" w:right="567"/>
        <w:rPr>
          <w:rFonts w:ascii="Verdana" w:eastAsia="Arial" w:hAnsi="Verdana" w:cs="Arial"/>
          <w:color w:val="000000" w:themeColor="text1"/>
          <w:sz w:val="22"/>
          <w:szCs w:val="22"/>
        </w:rPr>
      </w:pPr>
      <w:r w:rsidRPr="00007EB1">
        <w:rPr>
          <w:rFonts w:ascii="Verdana" w:eastAsia="Arial" w:hAnsi="Verdana" w:cs="Arial"/>
          <w:i/>
          <w:iCs/>
          <w:color w:val="000000" w:themeColor="text1"/>
          <w:sz w:val="22"/>
          <w:szCs w:val="22"/>
        </w:rPr>
        <w:t xml:space="preserve">(2) If so, did that right, safeguard or equality of opportunity have legal effect in Northern Ireland on 31 December 2020 and was it underpinned by EU law? </w:t>
      </w:r>
    </w:p>
    <w:p w:rsidR="00C656DA" w:rsidRPr="00007EB1" w:rsidP="00280D5F">
      <w:pPr>
        <w:spacing w:after="270" w:line="360" w:lineRule="auto"/>
        <w:ind w:left="567" w:right="567"/>
        <w:rPr>
          <w:rFonts w:ascii="Verdana" w:eastAsia="Arial" w:hAnsi="Verdana" w:cs="Arial"/>
          <w:color w:val="000000" w:themeColor="text1"/>
          <w:sz w:val="22"/>
          <w:szCs w:val="22"/>
        </w:rPr>
      </w:pPr>
      <w:r w:rsidRPr="00007EB1">
        <w:rPr>
          <w:rFonts w:ascii="Verdana" w:eastAsia="Arial" w:hAnsi="Verdana" w:cs="Arial"/>
          <w:i/>
          <w:iCs/>
          <w:color w:val="000000" w:themeColor="text1"/>
          <w:sz w:val="22"/>
          <w:szCs w:val="22"/>
        </w:rPr>
        <w:t xml:space="preserve">(3) Was there a diminution of that right, safeguard or equality of opportunity </w:t>
      </w:r>
      <w:r w:rsidRPr="00007EB1">
        <w:rPr>
          <w:rFonts w:ascii="Verdana" w:eastAsia="Arial" w:hAnsi="Verdana" w:cs="Arial"/>
          <w:i/>
          <w:iCs/>
          <w:color w:val="000000" w:themeColor="text1"/>
          <w:sz w:val="22"/>
          <w:szCs w:val="22"/>
        </w:rPr>
        <w:t>as a result of</w:t>
      </w:r>
      <w:r w:rsidRPr="00007EB1">
        <w:rPr>
          <w:rFonts w:ascii="Verdana" w:eastAsia="Arial" w:hAnsi="Verdana" w:cs="Arial"/>
          <w:i/>
          <w:iCs/>
          <w:color w:val="000000" w:themeColor="text1"/>
          <w:sz w:val="22"/>
          <w:szCs w:val="22"/>
        </w:rPr>
        <w:t xml:space="preserve"> the United Kingdom’s withdrawal from the EU?</w:t>
      </w:r>
      <w:r>
        <w:rPr>
          <w:rStyle w:val="FootnoteReference"/>
          <w:rFonts w:ascii="Verdana" w:eastAsia="Times New Roman" w:hAnsi="Verdana" w:cs="Arial"/>
          <w:color w:val="000000" w:themeColor="text1"/>
          <w:sz w:val="22"/>
          <w:szCs w:val="22"/>
          <w:lang w:eastAsia="en-GB"/>
        </w:rPr>
        <w:footnoteReference w:id="32"/>
      </w:r>
      <w:r w:rsidRPr="00007EB1">
        <w:rPr>
          <w:rFonts w:ascii="Verdana" w:eastAsia="Arial" w:hAnsi="Verdana" w:cs="Arial"/>
          <w:i/>
          <w:iCs/>
          <w:color w:val="000000" w:themeColor="text1"/>
          <w:sz w:val="22"/>
          <w:szCs w:val="22"/>
        </w:rPr>
        <w:t xml:space="preserve">  </w:t>
      </w: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In this case, the Supreme Court did not disavow the Court of Appeal approach but simply indicated that the three-step test was easier and that nothing in the case turned on which was applied.</w:t>
      </w:r>
    </w:p>
    <w:p w:rsidR="00C656DA" w:rsidRPr="00007EB1" w:rsidP="00280D5F">
      <w:pPr>
        <w:spacing w:before="120" w:after="120" w:line="360" w:lineRule="auto"/>
        <w:rPr>
          <w:rFonts w:ascii="Verdana" w:eastAsia="Arial" w:hAnsi="Verdana" w:cs="Arial"/>
          <w:color w:val="000000" w:themeColor="text1"/>
          <w:sz w:val="22"/>
          <w:szCs w:val="22"/>
        </w:rPr>
      </w:pPr>
    </w:p>
    <w:p w:rsidR="00C656DA" w:rsidRPr="00007EB1" w:rsidP="00280D5F">
      <w:pPr>
        <w:pStyle w:val="ListParagraph"/>
        <w:spacing w:before="120" w:after="120" w:line="360" w:lineRule="auto"/>
        <w:contextualSpacing w:val="0"/>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 xml:space="preserve">Q8 </w:t>
      </w:r>
      <w:r w:rsidRPr="00007EB1">
        <w:rPr>
          <w:rFonts w:ascii="Verdana" w:eastAsia="Arial" w:hAnsi="Verdana" w:cs="Arial"/>
          <w:b/>
          <w:bCs/>
          <w:color w:val="000000" w:themeColor="text1"/>
          <w:sz w:val="22"/>
          <w:szCs w:val="22"/>
        </w:rPr>
        <w:t>How should a breach of Article 2 WF be remedied. What, if any, are the constitutional implications of disapplying primary legislation for a breach of Article 2 WF?</w:t>
      </w:r>
    </w:p>
    <w:p w:rsidR="00C656DA" w:rsidRPr="00007EB1" w:rsidP="00280D5F">
      <w:pPr>
        <w:spacing w:before="240" w:after="270" w:line="360" w:lineRule="auto"/>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lang w:val="en-US"/>
        </w:rPr>
        <w:t xml:space="preserve">Article 2(1) WF places the UK under a legal obligation to ensure that Brexit does not result in any diminution of the rights, safeguards and equality of opportunity protected by the RSEO provisions of the BGFA. </w:t>
      </w:r>
      <w:r w:rsidRPr="00007EB1">
        <w:rPr>
          <w:rFonts w:ascii="Verdana" w:eastAsia="Arial" w:hAnsi="Verdana" w:cs="Arial"/>
          <w:b/>
          <w:bCs/>
          <w:color w:val="000000" w:themeColor="text1"/>
          <w:sz w:val="22"/>
          <w:szCs w:val="22"/>
          <w:lang w:val="en-US"/>
        </w:rPr>
        <w:t>This commitment is incorporated into domestic law through Section 7A of the European Union (Withdrawal) Act 2018</w:t>
      </w:r>
      <w:r w:rsidRPr="00007EB1">
        <w:rPr>
          <w:rFonts w:ascii="Verdana" w:eastAsia="Arial" w:hAnsi="Verdana" w:cs="Arial"/>
          <w:color w:val="000000" w:themeColor="text1"/>
          <w:sz w:val="22"/>
          <w:szCs w:val="22"/>
          <w:lang w:val="en-US"/>
        </w:rPr>
        <w:t xml:space="preserve">, which requires the rights and obligations arising under the Withdrawal Agreement to be recognised, be given legal effect, and be enforced by domestic courts, which includes remedies in case of non-compliance. </w:t>
      </w:r>
    </w:p>
    <w:p w:rsidR="00C656DA" w:rsidRPr="00007EB1" w:rsidP="00280D5F">
      <w:pPr>
        <w:spacing w:before="240" w:after="27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lang w:val="en-US"/>
        </w:rPr>
        <w:t>The logic of the non-diminution principle consists in offering individuals the same remedies as those they could rely upon until the end of the transition period</w:t>
      </w:r>
      <w:r w:rsidRPr="00007EB1">
        <w:rPr>
          <w:rFonts w:ascii="Verdana" w:eastAsia="Arial" w:hAnsi="Verdana" w:cs="Arial"/>
          <w:color w:val="000000" w:themeColor="text1"/>
          <w:sz w:val="22"/>
          <w:szCs w:val="22"/>
          <w:lang w:val="en-US"/>
        </w:rPr>
        <w:t xml:space="preserve">, i.e., on or before 31 December 2020. Whilst much attention has been given to the possibility for courts to disapply inconsistent legislation as a remedy, other remedies include, for instance, the possibility for courts to </w:t>
      </w:r>
      <w:r w:rsidRPr="00007EB1">
        <w:rPr>
          <w:rFonts w:ascii="Verdana" w:eastAsia="Arial" w:hAnsi="Verdana" w:cs="Arial"/>
          <w:color w:val="000000" w:themeColor="text1"/>
          <w:sz w:val="22"/>
          <w:szCs w:val="22"/>
          <w:lang w:val="en-US"/>
        </w:rPr>
        <w:t xml:space="preserve">interpret domestic legislation consistently with EU law whenever </w:t>
      </w:r>
      <w:r w:rsidRPr="00007EB1">
        <w:rPr>
          <w:rFonts w:ascii="Verdana" w:eastAsia="Times New Roman" w:hAnsi="Verdana" w:cs="Arial"/>
          <w:sz w:val="22"/>
          <w:szCs w:val="22"/>
        </w:rPr>
        <w:t>possible,</w:t>
      </w:r>
      <w:r>
        <w:rPr>
          <w:rStyle w:val="FootnoteReference"/>
          <w:rFonts w:ascii="Verdana" w:eastAsia="Times New Roman" w:hAnsi="Verdana" w:cs="Arial"/>
          <w:sz w:val="22"/>
          <w:szCs w:val="22"/>
        </w:rPr>
        <w:footnoteReference w:id="33"/>
      </w:r>
      <w:r w:rsidRPr="00007EB1">
        <w:rPr>
          <w:rFonts w:ascii="Verdana" w:eastAsia="Times New Roman" w:hAnsi="Verdana" w:cs="Arial"/>
          <w:sz w:val="22"/>
          <w:szCs w:val="22"/>
        </w:rPr>
        <w:t xml:space="preserve"> and the possibility to award compensation in cases of</w:t>
      </w:r>
      <w:r w:rsidRPr="00007EB1">
        <w:rPr>
          <w:rFonts w:ascii="Verdana" w:eastAsia="Times New Roman" w:hAnsi="Verdana" w:cs="Arial"/>
          <w:sz w:val="22"/>
          <w:szCs w:val="22"/>
          <w:lang w:eastAsia="en-GB"/>
        </w:rPr>
        <w:t xml:space="preserve"> damages incurred by the State for failing to comply with EU law. </w:t>
      </w:r>
      <w:r>
        <w:rPr>
          <w:rStyle w:val="FootnoteReference"/>
          <w:rFonts w:ascii="Verdana" w:eastAsia="Times New Roman" w:hAnsi="Verdana" w:cs="Arial"/>
          <w:sz w:val="22"/>
          <w:szCs w:val="22"/>
          <w:lang w:eastAsia="en-GB"/>
        </w:rPr>
        <w:footnoteReference w:id="34"/>
      </w:r>
    </w:p>
    <w:p w:rsidR="00C656DA" w:rsidRPr="00007EB1" w:rsidP="00280D5F">
      <w:pPr>
        <w:spacing w:after="27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 xml:space="preserve">The constitutional implications of disapplying primary legislation are in line with the situation when the UK was a member of the EU </w:t>
      </w:r>
      <w:r w:rsidRPr="00007EB1">
        <w:rPr>
          <w:rFonts w:ascii="Verdana" w:eastAsia="Arial" w:hAnsi="Verdana" w:cs="Arial"/>
          <w:color w:val="000000" w:themeColor="text1"/>
          <w:sz w:val="22"/>
          <w:szCs w:val="22"/>
        </w:rPr>
        <w:t xml:space="preserve">(though restricted to a smaller range of areas and to issues with Northern Ireland relevance). As is made clear in the </w:t>
      </w:r>
      <w:r w:rsidRPr="00007EB1">
        <w:rPr>
          <w:rFonts w:ascii="Verdana" w:eastAsia="Arial" w:hAnsi="Verdana" w:cs="Arial"/>
          <w:i/>
          <w:iCs/>
          <w:color w:val="000000" w:themeColor="text1"/>
          <w:sz w:val="22"/>
          <w:szCs w:val="22"/>
        </w:rPr>
        <w:t xml:space="preserve">Allister </w:t>
      </w:r>
      <w:r w:rsidRPr="00007EB1">
        <w:rPr>
          <w:rFonts w:ascii="Verdana" w:eastAsia="Arial" w:hAnsi="Verdana" w:cs="Arial"/>
          <w:color w:val="000000" w:themeColor="text1"/>
          <w:sz w:val="22"/>
          <w:szCs w:val="22"/>
          <w:vertAlign w:val="superscript"/>
        </w:rPr>
        <w:t>39</w:t>
      </w:r>
      <w:r w:rsidRPr="00007EB1">
        <w:rPr>
          <w:rFonts w:ascii="Verdana" w:eastAsia="Arial" w:hAnsi="Verdana" w:cs="Verdana"/>
          <w:color w:val="000000" w:themeColor="text1"/>
          <w:sz w:val="22"/>
          <w:szCs w:val="22"/>
        </w:rPr>
        <w:t>￼</w:t>
      </w:r>
      <w:r w:rsidRPr="00007EB1">
        <w:rPr>
          <w:rFonts w:ascii="Verdana" w:eastAsia="Arial" w:hAnsi="Verdana" w:cs="Arial"/>
          <w:color w:val="000000" w:themeColor="text1"/>
          <w:sz w:val="22"/>
          <w:szCs w:val="22"/>
        </w:rPr>
        <w:t xml:space="preserve"> Parliament has, through the European Union (Withdrawal Act) 2018 provided for the disapplication of national law </w:t>
      </w:r>
      <w:r w:rsidRPr="00007EB1">
        <w:rPr>
          <w:rFonts w:ascii="Verdana" w:eastAsia="Arial" w:hAnsi="Verdana" w:cs="Arial"/>
          <w:color w:val="000000" w:themeColor="text1"/>
          <w:sz w:val="22"/>
          <w:szCs w:val="22"/>
        </w:rPr>
        <w:t>where</w:t>
      </w:r>
      <w:r w:rsidRPr="00007EB1">
        <w:rPr>
          <w:rFonts w:ascii="Verdana" w:eastAsia="Arial" w:hAnsi="Verdana" w:cs="Arial"/>
          <w:color w:val="000000" w:themeColor="text1"/>
          <w:sz w:val="22"/>
          <w:szCs w:val="22"/>
        </w:rPr>
        <w:t xml:space="preserve"> inconsistent with Withdrawal Agreement obligations. As a matter of UK constitutional orthodoxy, the Parliament could legislate explicitly to remove the possibility of disapplication. It could do this by either amending Section 7A of the 2018 Act or by using explicit language (or words amounting to a necessary implication) that an act applies notwithstanding Section 7A. This would be a deliberate breach of the Withdrawal Agreement and would likely lead to EU responses.</w:t>
      </w:r>
    </w:p>
    <w:p w:rsidR="00C656DA" w:rsidRPr="00007EB1" w:rsidP="00280D5F">
      <w:pPr>
        <w:spacing w:before="120" w:after="120" w:line="360" w:lineRule="auto"/>
        <w:rPr>
          <w:rFonts w:ascii="Verdana" w:eastAsia="Arial" w:hAnsi="Verdana" w:cs="Arial"/>
          <w:color w:val="000000" w:themeColor="text1"/>
          <w:sz w:val="22"/>
          <w:szCs w:val="22"/>
        </w:rPr>
      </w:pPr>
    </w:p>
    <w:p w:rsidR="00C656DA" w:rsidRPr="00007EB1" w:rsidP="00280D5F">
      <w:pPr>
        <w:pStyle w:val="ListParagraph"/>
        <w:spacing w:before="120" w:after="120" w:line="360" w:lineRule="auto"/>
        <w:contextualSpacing w:val="0"/>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 xml:space="preserve">Q9 </w:t>
      </w:r>
      <w:r w:rsidRPr="00007EB1">
        <w:rPr>
          <w:rFonts w:ascii="Verdana" w:eastAsia="Arial" w:hAnsi="Verdana" w:cs="Arial"/>
          <w:b/>
          <w:bCs/>
          <w:color w:val="000000" w:themeColor="text1"/>
          <w:sz w:val="22"/>
          <w:szCs w:val="22"/>
        </w:rPr>
        <w:t>What is your overall assessment as to the success of Article 2 WF in ensuring the protection of rights following the UK’s exit from the European Union?</w:t>
      </w: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 xml:space="preserve">Article 2 WF is an innovative feature of the post-Brexit constitutional landscape and, arguably, had been applied by the Northern Ireland courts effectively and without much fanfare. </w:t>
      </w:r>
      <w:r w:rsidRPr="00007EB1">
        <w:rPr>
          <w:rFonts w:ascii="Verdana" w:eastAsia="Arial" w:hAnsi="Verdana" w:cs="Arial"/>
          <w:b/>
          <w:bCs/>
          <w:color w:val="000000" w:themeColor="text1"/>
          <w:sz w:val="22"/>
          <w:szCs w:val="22"/>
        </w:rPr>
        <w:t xml:space="preserve">Prior to the Supreme Court judgment in </w:t>
      </w:r>
      <w:r w:rsidRPr="00007EB1">
        <w:rPr>
          <w:rFonts w:ascii="Verdana" w:eastAsia="Arial" w:hAnsi="Verdana" w:cs="Arial"/>
          <w:b/>
          <w:bCs/>
          <w:i/>
          <w:iCs/>
          <w:color w:val="000000" w:themeColor="text1"/>
          <w:sz w:val="22"/>
          <w:szCs w:val="22"/>
        </w:rPr>
        <w:t>Dillon</w:t>
      </w:r>
      <w:r w:rsidRPr="00007EB1">
        <w:rPr>
          <w:rFonts w:ascii="Verdana" w:eastAsia="Arial" w:hAnsi="Verdana" w:cs="Arial"/>
          <w:b/>
          <w:bCs/>
          <w:color w:val="000000" w:themeColor="text1"/>
          <w:sz w:val="22"/>
          <w:szCs w:val="22"/>
        </w:rPr>
        <w:t xml:space="preserve"> our assessment would have emphasised the following</w:t>
      </w:r>
      <w:r w:rsidRPr="00007EB1">
        <w:rPr>
          <w:rFonts w:ascii="Verdana" w:eastAsia="Arial" w:hAnsi="Verdana" w:cs="Arial"/>
          <w:color w:val="000000" w:themeColor="text1"/>
          <w:sz w:val="22"/>
          <w:szCs w:val="22"/>
        </w:rPr>
        <w:t>:</w:t>
      </w:r>
    </w:p>
    <w:p w:rsidR="00C656DA" w:rsidRPr="00007EB1" w:rsidP="00280D5F">
      <w:pPr>
        <w:pStyle w:val="ListParagraph"/>
        <w:numPr>
          <w:ilvl w:val="0"/>
          <w:numId w:val="3"/>
        </w:numPr>
        <w:spacing w:before="240" w:after="120" w:line="360" w:lineRule="auto"/>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lang w:val="en-US"/>
        </w:rPr>
        <w:t xml:space="preserve">The Northern Ireland courts have developed a detailed and transparent doctrine on how to interpret and apply Article 2 WF. Notably this was done by the Court of Appeal in elaborating a six-stage test for the application of Article 2 WF in the </w:t>
      </w:r>
      <w:r w:rsidRPr="00007EB1">
        <w:rPr>
          <w:rFonts w:ascii="Verdana" w:eastAsia="Arial" w:hAnsi="Verdana" w:cs="Arial"/>
          <w:i/>
          <w:iCs/>
          <w:color w:val="000000" w:themeColor="text1"/>
          <w:sz w:val="22"/>
          <w:szCs w:val="22"/>
          <w:lang w:val="en-US"/>
        </w:rPr>
        <w:t xml:space="preserve">SPUC </w:t>
      </w:r>
      <w:r w:rsidRPr="00007EB1">
        <w:rPr>
          <w:rFonts w:ascii="Verdana" w:eastAsia="Arial" w:hAnsi="Verdana" w:cs="Arial"/>
          <w:color w:val="000000" w:themeColor="text1"/>
          <w:sz w:val="22"/>
          <w:szCs w:val="22"/>
          <w:lang w:val="en-US"/>
        </w:rPr>
        <w:t xml:space="preserve">case (2023). </w:t>
      </w:r>
    </w:p>
    <w:p w:rsidR="00C656DA" w:rsidRPr="00007EB1" w:rsidP="00280D5F">
      <w:pPr>
        <w:pStyle w:val="ListParagraph"/>
        <w:numPr>
          <w:ilvl w:val="0"/>
          <w:numId w:val="3"/>
        </w:numPr>
        <w:spacing w:before="240" w:after="120" w:line="360" w:lineRule="auto"/>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lang w:val="en-US"/>
        </w:rPr>
        <w:t xml:space="preserve">The Northern Ireland courts have demonstrated that Article 2 WF offers effective remedies notably through the disapplication of primary legislation in the </w:t>
      </w:r>
      <w:r w:rsidRPr="00007EB1">
        <w:rPr>
          <w:rFonts w:ascii="Verdana" w:eastAsia="Arial" w:hAnsi="Verdana" w:cs="Arial"/>
          <w:i/>
          <w:iCs/>
          <w:color w:val="000000" w:themeColor="text1"/>
          <w:sz w:val="22"/>
          <w:szCs w:val="22"/>
          <w:lang w:val="en-US"/>
        </w:rPr>
        <w:t>Dillon</w:t>
      </w:r>
      <w:r w:rsidRPr="00007EB1">
        <w:rPr>
          <w:rFonts w:ascii="Verdana" w:eastAsia="Arial" w:hAnsi="Verdana" w:cs="Arial"/>
          <w:color w:val="000000" w:themeColor="text1"/>
          <w:sz w:val="22"/>
          <w:szCs w:val="22"/>
          <w:lang w:val="en-US"/>
        </w:rPr>
        <w:t xml:space="preserve"> and </w:t>
      </w:r>
      <w:r w:rsidRPr="00007EB1">
        <w:rPr>
          <w:rFonts w:ascii="Verdana" w:eastAsia="Arial" w:hAnsi="Verdana" w:cs="Arial"/>
          <w:i/>
          <w:iCs/>
          <w:color w:val="000000" w:themeColor="text1"/>
          <w:sz w:val="22"/>
          <w:szCs w:val="22"/>
          <w:lang w:val="en-US"/>
        </w:rPr>
        <w:t xml:space="preserve">Illegal Migration Act </w:t>
      </w:r>
      <w:r w:rsidRPr="00007EB1">
        <w:rPr>
          <w:rFonts w:ascii="Verdana" w:eastAsia="Arial" w:hAnsi="Verdana" w:cs="Arial"/>
          <w:color w:val="000000" w:themeColor="text1"/>
          <w:sz w:val="22"/>
          <w:szCs w:val="22"/>
          <w:lang w:val="en-US"/>
        </w:rPr>
        <w:t xml:space="preserve">cases. </w:t>
      </w:r>
    </w:p>
    <w:p w:rsidR="00C656DA" w:rsidRPr="00007EB1" w:rsidP="00280D5F">
      <w:pPr>
        <w:pStyle w:val="ListParagraph"/>
        <w:numPr>
          <w:ilvl w:val="0"/>
          <w:numId w:val="3"/>
        </w:numPr>
        <w:spacing w:before="240" w:after="120" w:line="360" w:lineRule="auto"/>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lang w:val="en-US"/>
        </w:rPr>
        <w:t xml:space="preserve">The Northern Ireland courts have also taken steps to correct misapprehensions in some of the early cases or first instance cases; notably in </w:t>
      </w:r>
      <w:r w:rsidRPr="00007EB1">
        <w:rPr>
          <w:rFonts w:ascii="Verdana" w:eastAsia="Arial" w:hAnsi="Verdana" w:cs="Arial"/>
          <w:i/>
          <w:iCs/>
          <w:color w:val="000000" w:themeColor="text1"/>
          <w:sz w:val="22"/>
          <w:szCs w:val="22"/>
          <w:lang w:val="en-US"/>
        </w:rPr>
        <w:t>Dillon,</w:t>
      </w:r>
      <w:r w:rsidRPr="00007EB1">
        <w:rPr>
          <w:rFonts w:ascii="Verdana" w:eastAsia="Arial" w:hAnsi="Verdana" w:cs="Arial"/>
          <w:color w:val="000000" w:themeColor="text1"/>
          <w:sz w:val="22"/>
          <w:szCs w:val="22"/>
          <w:lang w:val="en-US"/>
        </w:rPr>
        <w:t xml:space="preserve"> the Court of Appeal corrected a perhaps overambitious interpretation of the scope of the Charter of Fundamental Rights. </w:t>
      </w:r>
    </w:p>
    <w:p w:rsidR="00C656DA" w:rsidRPr="00007EB1" w:rsidP="00280D5F">
      <w:pPr>
        <w:spacing w:before="120" w:after="120" w:line="360" w:lineRule="auto"/>
        <w:rPr>
          <w:rFonts w:ascii="Verdana" w:eastAsia="Arial" w:hAnsi="Verdana" w:cs="Arial"/>
          <w:color w:val="000000" w:themeColor="text1"/>
          <w:sz w:val="22"/>
          <w:szCs w:val="22"/>
        </w:rPr>
      </w:pP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 xml:space="preserve">The judgment of the Supreme Court in </w:t>
      </w:r>
      <w:r w:rsidRPr="00007EB1">
        <w:rPr>
          <w:rFonts w:ascii="Verdana" w:eastAsia="Arial" w:hAnsi="Verdana" w:cs="Arial"/>
          <w:b/>
          <w:bCs/>
          <w:i/>
          <w:iCs/>
          <w:color w:val="000000" w:themeColor="text1"/>
          <w:sz w:val="22"/>
          <w:szCs w:val="22"/>
        </w:rPr>
        <w:t>Dillon</w:t>
      </w:r>
      <w:r w:rsidRPr="00007EB1">
        <w:rPr>
          <w:rFonts w:ascii="Verdana" w:eastAsia="Arial" w:hAnsi="Verdana" w:cs="Arial"/>
          <w:b/>
          <w:bCs/>
          <w:color w:val="000000" w:themeColor="text1"/>
          <w:sz w:val="22"/>
          <w:szCs w:val="22"/>
        </w:rPr>
        <w:t xml:space="preserve"> (2026), however, creates some uncertainty.</w:t>
      </w:r>
      <w:r w:rsidRPr="00007EB1">
        <w:rPr>
          <w:rFonts w:ascii="Verdana" w:eastAsia="Arial" w:hAnsi="Verdana" w:cs="Arial"/>
          <w:color w:val="000000" w:themeColor="text1"/>
          <w:sz w:val="22"/>
          <w:szCs w:val="22"/>
        </w:rPr>
        <w:t xml:space="preserve"> </w:t>
      </w: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 xml:space="preserve">We are concerned that the UKSC could have ruled narrowly on the interpretation of the Victims’ </w:t>
      </w:r>
      <w:r w:rsidRPr="00007EB1">
        <w:rPr>
          <w:rFonts w:ascii="Verdana" w:eastAsia="Arial" w:hAnsi="Verdana" w:cs="Arial"/>
          <w:b/>
          <w:bCs/>
          <w:color w:val="000000" w:themeColor="text1"/>
          <w:sz w:val="22"/>
          <w:szCs w:val="22"/>
        </w:rPr>
        <w:t>Directive, but</w:t>
      </w:r>
      <w:r w:rsidRPr="00007EB1">
        <w:rPr>
          <w:rFonts w:ascii="Verdana" w:eastAsia="Arial" w:hAnsi="Verdana" w:cs="Arial"/>
          <w:b/>
          <w:bCs/>
          <w:color w:val="000000" w:themeColor="text1"/>
          <w:sz w:val="22"/>
          <w:szCs w:val="22"/>
        </w:rPr>
        <w:t xml:space="preserve"> instead went further than necessary by offering lengthy comments on the interpretation and application of Article 2 WF</w:t>
      </w:r>
      <w:r w:rsidRPr="00007EB1">
        <w:rPr>
          <w:rFonts w:ascii="Verdana" w:eastAsia="Arial" w:hAnsi="Verdana" w:cs="Arial"/>
          <w:color w:val="000000" w:themeColor="text1"/>
          <w:sz w:val="22"/>
          <w:szCs w:val="22"/>
        </w:rPr>
        <w:t>. If the Supreme Court’s interpretation of the Victims’ Directive is correct, the Secretary of State’s appeal on Article 2 WF must be allowed.</w:t>
      </w:r>
      <w:r>
        <w:rPr>
          <w:rStyle w:val="FootnoteReference"/>
          <w:rFonts w:ascii="Verdana" w:eastAsia="Arial" w:hAnsi="Verdana" w:cs="Arial"/>
          <w:color w:val="000000" w:themeColor="text1"/>
          <w:sz w:val="22"/>
          <w:szCs w:val="22"/>
        </w:rPr>
        <w:footnoteReference w:id="35"/>
      </w:r>
      <w:r w:rsidRPr="00007EB1">
        <w:rPr>
          <w:rFonts w:ascii="Verdana" w:eastAsia="Arial" w:hAnsi="Verdana" w:cs="Arial"/>
          <w:color w:val="000000" w:themeColor="text1"/>
          <w:sz w:val="22"/>
          <w:szCs w:val="22"/>
        </w:rPr>
        <w:t xml:space="preserve"> </w:t>
      </w: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 xml:space="preserve">Considering the </w:t>
      </w:r>
      <w:r w:rsidRPr="00007EB1">
        <w:rPr>
          <w:rFonts w:ascii="Verdana" w:eastAsia="Arial" w:hAnsi="Verdana" w:cs="Arial"/>
          <w:i/>
          <w:iCs/>
          <w:color w:val="000000" w:themeColor="text1"/>
          <w:sz w:val="22"/>
          <w:szCs w:val="22"/>
        </w:rPr>
        <w:t xml:space="preserve">Dillon </w:t>
      </w:r>
      <w:r w:rsidRPr="00007EB1">
        <w:rPr>
          <w:rFonts w:ascii="Verdana" w:eastAsia="Arial" w:hAnsi="Verdana" w:cs="Arial"/>
          <w:color w:val="000000" w:themeColor="text1"/>
          <w:sz w:val="22"/>
          <w:szCs w:val="22"/>
        </w:rPr>
        <w:t xml:space="preserve">ruling was unanimous, it will receive the greatest respect in the Northern Ireland </w:t>
      </w:r>
      <w:r w:rsidRPr="00007EB1">
        <w:rPr>
          <w:rFonts w:ascii="Verdana" w:eastAsia="Arial" w:hAnsi="Verdana" w:cs="Arial"/>
          <w:color w:val="000000" w:themeColor="text1"/>
          <w:sz w:val="22"/>
          <w:szCs w:val="22"/>
        </w:rPr>
        <w:t>courts</w:t>
      </w:r>
      <w:r w:rsidRPr="00007EB1">
        <w:rPr>
          <w:rFonts w:ascii="Verdana" w:eastAsia="Arial" w:hAnsi="Verdana" w:cs="Arial"/>
          <w:color w:val="000000" w:themeColor="text1"/>
          <w:sz w:val="22"/>
          <w:szCs w:val="22"/>
        </w:rPr>
        <w:t xml:space="preserve"> but its comments are arguably confusing. We discussed our concern about the Court’s equivocal comments on direct effect above, in response to question 5; </w:t>
      </w:r>
      <w:r w:rsidRPr="00007EB1">
        <w:rPr>
          <w:rFonts w:ascii="Verdana" w:eastAsia="Arial" w:hAnsi="Verdana" w:cs="Arial"/>
          <w:color w:val="000000" w:themeColor="text1"/>
          <w:sz w:val="22"/>
          <w:szCs w:val="22"/>
        </w:rPr>
        <w:t>and also</w:t>
      </w:r>
      <w:r w:rsidRPr="00007EB1">
        <w:rPr>
          <w:rFonts w:ascii="Verdana" w:eastAsia="Arial" w:hAnsi="Verdana" w:cs="Arial"/>
          <w:color w:val="000000" w:themeColor="text1"/>
          <w:sz w:val="22"/>
          <w:szCs w:val="22"/>
        </w:rPr>
        <w:t xml:space="preserve"> highlight a concern about how the Supreme Court interprets the scope of the RSEO provisions.</w:t>
      </w:r>
    </w:p>
    <w:p w:rsidR="00C656DA" w:rsidRPr="00007EB1" w:rsidP="00280D5F">
      <w:pPr>
        <w:spacing w:before="240" w:after="12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lang w:val="en-US"/>
        </w:rPr>
        <w:t>We are concerned about how the Supreme Court interprets the scope of the RSEO provisions.</w:t>
      </w:r>
      <w:r w:rsidRPr="00007EB1">
        <w:rPr>
          <w:rFonts w:ascii="Verdana" w:eastAsia="Arial" w:hAnsi="Verdana" w:cs="Arial"/>
          <w:color w:val="000000" w:themeColor="text1"/>
          <w:sz w:val="22"/>
          <w:szCs w:val="22"/>
          <w:lang w:val="en-US"/>
        </w:rPr>
        <w:t xml:space="preserve"> The Northern Ireland courts had adopted a broad interpretation of what fell within the scope of the RSEO provisions. In </w:t>
      </w:r>
      <w:r w:rsidRPr="00007EB1">
        <w:rPr>
          <w:rFonts w:ascii="Verdana" w:eastAsia="Arial" w:hAnsi="Verdana" w:cs="Arial"/>
          <w:i/>
          <w:iCs/>
          <w:color w:val="000000" w:themeColor="text1"/>
          <w:sz w:val="22"/>
          <w:szCs w:val="22"/>
          <w:lang w:val="en-US"/>
        </w:rPr>
        <w:t>Dillon</w:t>
      </w:r>
      <w:r w:rsidRPr="00007EB1">
        <w:rPr>
          <w:rFonts w:ascii="Verdana" w:eastAsia="Arial" w:hAnsi="Verdana" w:cs="Arial"/>
          <w:color w:val="000000" w:themeColor="text1"/>
          <w:sz w:val="22"/>
          <w:szCs w:val="22"/>
          <w:lang w:val="en-US"/>
        </w:rPr>
        <w:t xml:space="preserve"> (2024), they had accepted that victims’ rights fell within the scope of these provisions; and in the </w:t>
      </w:r>
      <w:r w:rsidRPr="00007EB1">
        <w:rPr>
          <w:rFonts w:ascii="Verdana" w:eastAsia="Arial" w:hAnsi="Verdana" w:cs="Arial"/>
          <w:i/>
          <w:iCs/>
          <w:color w:val="000000" w:themeColor="text1"/>
          <w:sz w:val="22"/>
          <w:szCs w:val="22"/>
          <w:lang w:val="en-US"/>
        </w:rPr>
        <w:t xml:space="preserve">Angesom </w:t>
      </w:r>
      <w:r w:rsidRPr="00007EB1">
        <w:rPr>
          <w:rFonts w:ascii="Verdana" w:eastAsia="Arial" w:hAnsi="Verdana" w:cs="Arial"/>
          <w:color w:val="000000" w:themeColor="text1"/>
          <w:sz w:val="22"/>
          <w:szCs w:val="22"/>
          <w:lang w:val="en-US"/>
        </w:rPr>
        <w:t>(2023)</w:t>
      </w:r>
      <w:r w:rsidRPr="00007EB1">
        <w:rPr>
          <w:rFonts w:ascii="Verdana" w:eastAsia="Arial" w:hAnsi="Verdana" w:cs="Arial"/>
          <w:i/>
          <w:iCs/>
          <w:color w:val="000000" w:themeColor="text1"/>
          <w:sz w:val="22"/>
          <w:szCs w:val="22"/>
          <w:lang w:val="en-US"/>
        </w:rPr>
        <w:t xml:space="preserve"> </w:t>
      </w:r>
      <w:r w:rsidRPr="00007EB1">
        <w:rPr>
          <w:rFonts w:ascii="Verdana" w:eastAsia="Arial" w:hAnsi="Verdana" w:cs="Arial"/>
          <w:color w:val="000000" w:themeColor="text1"/>
          <w:sz w:val="22"/>
          <w:szCs w:val="22"/>
          <w:lang w:val="en-US"/>
        </w:rPr>
        <w:t xml:space="preserve">and the </w:t>
      </w:r>
      <w:r w:rsidRPr="00007EB1">
        <w:rPr>
          <w:rFonts w:ascii="Verdana" w:eastAsia="Arial" w:hAnsi="Verdana" w:cs="Arial"/>
          <w:i/>
          <w:iCs/>
          <w:color w:val="000000" w:themeColor="text1"/>
          <w:sz w:val="22"/>
          <w:szCs w:val="22"/>
          <w:lang w:val="en-US"/>
        </w:rPr>
        <w:t xml:space="preserve">Illegal Migration Act </w:t>
      </w:r>
      <w:r w:rsidRPr="00007EB1">
        <w:rPr>
          <w:rFonts w:ascii="Verdana" w:eastAsia="Arial" w:hAnsi="Verdana" w:cs="Arial"/>
          <w:color w:val="000000" w:themeColor="text1"/>
          <w:sz w:val="22"/>
          <w:szCs w:val="22"/>
          <w:lang w:val="en-US"/>
        </w:rPr>
        <w:t xml:space="preserve">(2024) cases, they had accepted that immigration and asylum-related rights did too. This enabled the Northern Ireland courts to focus on whether the UK had diminished any rights in directly effective EU law which applied on or before 31 December 2020 in Northern Ireland. The UKSC approach implies that courts in </w:t>
      </w:r>
      <w:r w:rsidRPr="00007EB1">
        <w:rPr>
          <w:rFonts w:ascii="Verdana" w:eastAsia="Arial" w:hAnsi="Verdana" w:cs="Arial"/>
          <w:color w:val="000000" w:themeColor="text1"/>
          <w:sz w:val="22"/>
          <w:szCs w:val="22"/>
          <w:lang w:val="en-US"/>
        </w:rPr>
        <w:t xml:space="preserve">the future will have to spend more time considering the interpretation of the RSEO provisions and what falls within </w:t>
      </w:r>
      <w:r w:rsidRPr="00007EB1">
        <w:rPr>
          <w:rFonts w:ascii="Verdana" w:eastAsia="Arial" w:hAnsi="Verdana" w:cs="Arial"/>
          <w:color w:val="000000" w:themeColor="text1"/>
          <w:sz w:val="22"/>
          <w:szCs w:val="22"/>
          <w:lang w:val="en-US"/>
        </w:rPr>
        <w:t>its</w:t>
      </w:r>
      <w:r w:rsidRPr="00007EB1">
        <w:rPr>
          <w:rFonts w:ascii="Verdana" w:eastAsia="Arial" w:hAnsi="Verdana" w:cs="Arial"/>
          <w:color w:val="000000" w:themeColor="text1"/>
          <w:sz w:val="22"/>
          <w:szCs w:val="22"/>
          <w:lang w:val="en-US"/>
        </w:rPr>
        <w:t xml:space="preserve"> ambit. Paradoxically, this will require the courts to engage in a more difficult and fraught interpretive exercise for various reasons.</w:t>
      </w:r>
    </w:p>
    <w:p w:rsidR="00C656DA" w:rsidRPr="00007EB1" w:rsidP="00280D5F">
      <w:pPr>
        <w:pStyle w:val="ListParagraph"/>
        <w:numPr>
          <w:ilvl w:val="0"/>
          <w:numId w:val="2"/>
        </w:numPr>
        <w:spacing w:before="240" w:after="12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lang w:val="en-US"/>
        </w:rPr>
        <w:t>First</w:t>
      </w:r>
      <w:r w:rsidRPr="00007EB1">
        <w:rPr>
          <w:rFonts w:ascii="Verdana" w:eastAsia="Arial" w:hAnsi="Verdana" w:cs="Arial"/>
          <w:color w:val="000000" w:themeColor="text1"/>
          <w:sz w:val="22"/>
          <w:szCs w:val="22"/>
          <w:lang w:val="en-US"/>
        </w:rPr>
        <w:t>, the Supreme Court’s approach will require courts to decide what the ‘conflict’ was about. Academics have written about the ‘metaconflict’ over just what the conflict was about. Having the courts adjudicate on this could be tendentious. The UKSC judgment includes language which suggests that the BGFA and its RSEO provisions are concerned with ‘</w:t>
      </w:r>
      <w:r w:rsidRPr="00007EB1">
        <w:rPr>
          <w:rFonts w:ascii="Verdana" w:eastAsia="Arial" w:hAnsi="Verdana" w:cs="Arial"/>
          <w:i/>
          <w:iCs/>
          <w:color w:val="000000" w:themeColor="text1"/>
          <w:sz w:val="22"/>
          <w:szCs w:val="22"/>
          <w:lang w:val="en-US"/>
        </w:rPr>
        <w:t>establishing peace in Northern Ireland after decades of sectarianism and civil conflict</w:t>
      </w:r>
      <w:r w:rsidRPr="00007EB1">
        <w:rPr>
          <w:rFonts w:ascii="Verdana" w:eastAsia="Arial" w:hAnsi="Verdana" w:cs="Arial"/>
          <w:color w:val="000000" w:themeColor="text1"/>
          <w:sz w:val="22"/>
          <w:szCs w:val="22"/>
          <w:lang w:val="en-US"/>
        </w:rPr>
        <w:t xml:space="preserve">’, addressing what in 1998 was a </w:t>
      </w:r>
      <w:r w:rsidRPr="00007EB1">
        <w:rPr>
          <w:rFonts w:ascii="Verdana" w:eastAsia="Arial" w:hAnsi="Verdana" w:cs="Arial"/>
          <w:i/>
          <w:iCs/>
          <w:color w:val="000000" w:themeColor="text1"/>
          <w:sz w:val="22"/>
          <w:szCs w:val="22"/>
          <w:lang w:val="en-US"/>
        </w:rPr>
        <w:t>‘recent history of communal conflict</w:t>
      </w:r>
      <w:r w:rsidRPr="00007EB1">
        <w:rPr>
          <w:rFonts w:ascii="Verdana" w:eastAsia="Arial" w:hAnsi="Verdana" w:cs="Arial"/>
          <w:color w:val="000000" w:themeColor="text1"/>
          <w:sz w:val="22"/>
          <w:szCs w:val="22"/>
          <w:lang w:val="en-US"/>
        </w:rPr>
        <w:t>’. The Supreme Court refers to the bulletpoint rights in paragraph 1 of the RSEO provisions as being about ‘</w:t>
      </w:r>
      <w:r w:rsidRPr="00007EB1">
        <w:rPr>
          <w:rFonts w:ascii="Verdana" w:eastAsia="Arial" w:hAnsi="Verdana" w:cs="Arial"/>
          <w:i/>
          <w:iCs/>
          <w:color w:val="000000" w:themeColor="text1"/>
          <w:sz w:val="22"/>
          <w:szCs w:val="22"/>
          <w:lang w:val="en-US"/>
        </w:rPr>
        <w:t>ending sectarian conflict</w:t>
      </w:r>
      <w:r w:rsidRPr="00007EB1">
        <w:rPr>
          <w:rFonts w:ascii="Verdana" w:eastAsia="Arial" w:hAnsi="Verdana" w:cs="Arial"/>
          <w:color w:val="000000" w:themeColor="text1"/>
          <w:sz w:val="22"/>
          <w:szCs w:val="22"/>
          <w:lang w:val="en-US"/>
        </w:rPr>
        <w:t>’. These suggest that the Supreme Court views the RSEO provisions through the lens of resolving ‘</w:t>
      </w:r>
      <w:r w:rsidRPr="00007EB1">
        <w:rPr>
          <w:rFonts w:ascii="Verdana" w:eastAsia="Arial" w:hAnsi="Verdana" w:cs="Arial"/>
          <w:i/>
          <w:iCs/>
          <w:color w:val="000000" w:themeColor="text1"/>
          <w:sz w:val="22"/>
          <w:szCs w:val="22"/>
          <w:lang w:val="en-US"/>
        </w:rPr>
        <w:t>communal conflict</w:t>
      </w:r>
      <w:r w:rsidRPr="00007EB1">
        <w:rPr>
          <w:rFonts w:ascii="Verdana" w:eastAsia="Arial" w:hAnsi="Verdana" w:cs="Arial"/>
          <w:color w:val="000000" w:themeColor="text1"/>
          <w:sz w:val="22"/>
          <w:szCs w:val="22"/>
          <w:lang w:val="en-US"/>
        </w:rPr>
        <w:t>’ in 1998.  The language used by the Supreme Court reflects very much what one might call a ‘two tribes’ interpretation of the conflict but this is only one interpretation.</w:t>
      </w:r>
      <w:r>
        <w:rPr>
          <w:rStyle w:val="FootnoteReference"/>
          <w:rFonts w:ascii="Verdana" w:hAnsi="Verdana" w:cs="Arial"/>
          <w:sz w:val="22"/>
          <w:szCs w:val="22"/>
        </w:rPr>
        <w:footnoteReference w:id="36"/>
      </w:r>
      <w:r w:rsidRPr="00007EB1">
        <w:rPr>
          <w:rFonts w:ascii="Verdana" w:hAnsi="Verdana" w:cs="Arial"/>
          <w:sz w:val="22"/>
          <w:szCs w:val="22"/>
        </w:rPr>
        <w:t xml:space="preserve"> </w:t>
      </w:r>
      <w:r w:rsidRPr="00007EB1">
        <w:rPr>
          <w:rFonts w:ascii="Verdana" w:eastAsia="Arial" w:hAnsi="Verdana" w:cs="Arial"/>
          <w:color w:val="000000" w:themeColor="text1"/>
          <w:sz w:val="22"/>
          <w:szCs w:val="22"/>
          <w:lang w:val="en-US"/>
        </w:rPr>
        <w:t xml:space="preserve"> </w:t>
      </w:r>
    </w:p>
    <w:p w:rsidR="00C656DA" w:rsidRPr="00007EB1" w:rsidP="00280D5F">
      <w:pPr>
        <w:pStyle w:val="ListParagraph"/>
        <w:numPr>
          <w:ilvl w:val="0"/>
          <w:numId w:val="2"/>
        </w:numPr>
        <w:spacing w:before="240" w:after="12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lang w:val="en-US"/>
        </w:rPr>
        <w:t>Second</w:t>
      </w:r>
      <w:r w:rsidRPr="00007EB1">
        <w:rPr>
          <w:rFonts w:ascii="Verdana" w:eastAsia="Arial" w:hAnsi="Verdana" w:cs="Arial"/>
          <w:color w:val="000000" w:themeColor="text1"/>
          <w:sz w:val="22"/>
          <w:szCs w:val="22"/>
          <w:lang w:val="en-US"/>
        </w:rPr>
        <w:t xml:space="preserve">, this approach will lead to further litigation in courts. One point that everyone agrees upon is that the RSEO provisions were not drafted by lawyers with the idea of </w:t>
      </w:r>
      <w:r w:rsidRPr="00007EB1">
        <w:rPr>
          <w:rFonts w:ascii="Verdana" w:eastAsia="Arial" w:hAnsi="Verdana" w:cs="Arial"/>
          <w:color w:val="000000" w:themeColor="text1"/>
          <w:sz w:val="22"/>
          <w:szCs w:val="22"/>
          <w:lang w:val="en-US"/>
        </w:rPr>
        <w:t>it</w:t>
      </w:r>
      <w:r w:rsidRPr="00007EB1">
        <w:rPr>
          <w:rFonts w:ascii="Verdana" w:eastAsia="Arial" w:hAnsi="Verdana" w:cs="Arial"/>
          <w:color w:val="000000" w:themeColor="text1"/>
          <w:sz w:val="22"/>
          <w:szCs w:val="22"/>
          <w:lang w:val="en-US"/>
        </w:rPr>
        <w:t xml:space="preserve"> being legally enforceable. It is not a provision well-suited to the legal parsing of language. The Supreme Court’s approach will lead to more litigation; there is a risk that its language could be interpreted to effectively preclude litigation except in relation to the Annex 1 directives. Whilst the UKSC disavows this implication, an interpretation focused on the need for direct effect of RSEO provisions might </w:t>
      </w:r>
      <w:r w:rsidRPr="00007EB1">
        <w:rPr>
          <w:rFonts w:ascii="Verdana" w:eastAsia="Arial" w:hAnsi="Verdana" w:cs="Arial"/>
          <w:color w:val="000000" w:themeColor="text1"/>
          <w:sz w:val="22"/>
          <w:szCs w:val="22"/>
          <w:lang w:val="en-US"/>
        </w:rPr>
        <w:t>denude</w:t>
      </w:r>
      <w:r w:rsidRPr="00007EB1">
        <w:rPr>
          <w:rFonts w:ascii="Verdana" w:eastAsia="Arial" w:hAnsi="Verdana" w:cs="Arial"/>
          <w:color w:val="000000" w:themeColor="text1"/>
          <w:sz w:val="22"/>
          <w:szCs w:val="22"/>
          <w:lang w:val="en-US"/>
        </w:rPr>
        <w:t xml:space="preserve"> the main no-diminution obligation of any meaningful content</w:t>
      </w:r>
      <w:r w:rsidRPr="00007EB1">
        <w:rPr>
          <w:rFonts w:ascii="Verdana" w:hAnsi="Verdana" w:cs="Arial"/>
          <w:sz w:val="22"/>
          <w:szCs w:val="22"/>
        </w:rPr>
        <w:t>.</w:t>
      </w:r>
      <w:r>
        <w:rPr>
          <w:rStyle w:val="FootnoteReference"/>
          <w:rFonts w:ascii="Verdana" w:hAnsi="Verdana" w:cs="Arial"/>
          <w:sz w:val="22"/>
          <w:szCs w:val="22"/>
        </w:rPr>
        <w:footnoteReference w:id="37"/>
      </w:r>
      <w:r w:rsidRPr="00007EB1">
        <w:rPr>
          <w:rFonts w:ascii="Verdana" w:eastAsia="Arial" w:hAnsi="Verdana" w:cs="Arial"/>
          <w:color w:val="000000" w:themeColor="text1"/>
          <w:sz w:val="22"/>
          <w:szCs w:val="22"/>
          <w:lang w:val="en-US"/>
        </w:rPr>
        <w:t xml:space="preserve"> Additional</w:t>
      </w:r>
      <w:r w:rsidRPr="00007EB1">
        <w:rPr>
          <w:rFonts w:ascii="Verdana" w:eastAsia="Arial" w:hAnsi="Verdana" w:cs="Arial"/>
          <w:color w:val="000000" w:themeColor="text1"/>
          <w:sz w:val="22"/>
          <w:szCs w:val="22"/>
          <w:lang w:val="en-US"/>
        </w:rPr>
        <w:t xml:space="preserve">ly, the UKSC language risks reopening the approach taken in </w:t>
      </w:r>
      <w:r w:rsidRPr="00007EB1">
        <w:rPr>
          <w:rFonts w:ascii="Verdana" w:eastAsia="Arial" w:hAnsi="Verdana" w:cs="Arial"/>
          <w:i/>
          <w:iCs/>
          <w:color w:val="000000" w:themeColor="text1"/>
          <w:sz w:val="22"/>
          <w:szCs w:val="22"/>
          <w:lang w:val="en-US"/>
        </w:rPr>
        <w:t>Angesom</w:t>
      </w:r>
      <w:r w:rsidRPr="00007EB1">
        <w:rPr>
          <w:rFonts w:ascii="Verdana" w:eastAsia="Arial" w:hAnsi="Verdana" w:cs="Arial"/>
          <w:color w:val="000000" w:themeColor="text1"/>
          <w:sz w:val="22"/>
          <w:szCs w:val="22"/>
          <w:lang w:val="en-US"/>
        </w:rPr>
        <w:t xml:space="preserve"> and the </w:t>
      </w:r>
      <w:r w:rsidRPr="00007EB1">
        <w:rPr>
          <w:rFonts w:ascii="Verdana" w:eastAsia="Arial" w:hAnsi="Verdana" w:cs="Arial"/>
          <w:i/>
          <w:iCs/>
          <w:color w:val="000000" w:themeColor="text1"/>
          <w:sz w:val="22"/>
          <w:szCs w:val="22"/>
          <w:lang w:val="en-US"/>
        </w:rPr>
        <w:t xml:space="preserve">Illegal Migration Act </w:t>
      </w:r>
      <w:r w:rsidRPr="00007EB1">
        <w:rPr>
          <w:rFonts w:ascii="Verdana" w:eastAsia="Arial" w:hAnsi="Verdana" w:cs="Arial"/>
          <w:color w:val="000000" w:themeColor="text1"/>
          <w:sz w:val="22"/>
          <w:szCs w:val="22"/>
          <w:lang w:val="en-US"/>
        </w:rPr>
        <w:t xml:space="preserve">cases. </w:t>
      </w:r>
    </w:p>
    <w:p w:rsidR="00C656DA" w:rsidRPr="00007EB1" w:rsidP="00280D5F">
      <w:pPr>
        <w:pStyle w:val="ListParagraph"/>
        <w:numPr>
          <w:ilvl w:val="0"/>
          <w:numId w:val="2"/>
        </w:numPr>
        <w:spacing w:after="27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Third,</w:t>
      </w:r>
      <w:r w:rsidRPr="00007EB1">
        <w:rPr>
          <w:rFonts w:ascii="Verdana" w:eastAsia="Arial" w:hAnsi="Verdana" w:cs="Arial"/>
          <w:color w:val="000000" w:themeColor="text1"/>
          <w:sz w:val="22"/>
          <w:szCs w:val="22"/>
        </w:rPr>
        <w:t xml:space="preserve"> the Supreme Court’s reading of the RSEO provisions is selective; most notably it ignores two of the bulletpoint </w:t>
      </w:r>
      <w:r w:rsidRPr="00007EB1">
        <w:rPr>
          <w:rFonts w:ascii="Verdana" w:eastAsia="Arial" w:hAnsi="Verdana" w:cs="Arial"/>
          <w:color w:val="000000" w:themeColor="text1"/>
          <w:sz w:val="22"/>
          <w:szCs w:val="22"/>
        </w:rPr>
        <w:t>rights  -</w:t>
      </w:r>
      <w:r w:rsidRPr="00007EB1">
        <w:rPr>
          <w:rFonts w:ascii="Verdana" w:eastAsia="Arial" w:hAnsi="Verdana" w:cs="Arial"/>
          <w:color w:val="000000" w:themeColor="text1"/>
          <w:sz w:val="22"/>
          <w:szCs w:val="22"/>
        </w:rPr>
        <w:t xml:space="preserve"> ‘the right to freely choose one’s place of residence’, ‘the right of women to full and equal participation’. Other elements of the RSEO provisions also suggest a broader reading of their purpose. Paragraph 2 concerns incorporation of the European Convention on Human Rights which goes far beyond addressing communal conflict, though relevant to it.   Paragraph </w:t>
      </w:r>
      <w:r w:rsidRPr="00007EB1">
        <w:rPr>
          <w:rFonts w:ascii="Verdana" w:eastAsia="Arial" w:hAnsi="Verdana" w:cs="Arial"/>
          <w:color w:val="000000" w:themeColor="text1"/>
          <w:sz w:val="22"/>
          <w:szCs w:val="22"/>
        </w:rPr>
        <w:t>3  refers</w:t>
      </w:r>
      <w:r w:rsidRPr="00007EB1">
        <w:rPr>
          <w:rFonts w:ascii="Verdana" w:eastAsia="Arial" w:hAnsi="Verdana" w:cs="Arial"/>
          <w:color w:val="000000" w:themeColor="text1"/>
          <w:sz w:val="22"/>
          <w:szCs w:val="22"/>
        </w:rPr>
        <w:t xml:space="preserve"> to creating a duty to promote equality of opportunity in relation to religion and political opinion, gender, race, disability, age, marital status, dependents and sexual orientation; while religion and political opinion are relevant to resolving communal conflict, the others are not so obviously directly relevant. The creation of new institutions such as the Human Rights Commission and the Equality Commission again while relevant to addressing communal conflict are </w:t>
      </w:r>
      <w:r w:rsidRPr="00007EB1">
        <w:rPr>
          <w:rFonts w:ascii="Verdana" w:eastAsia="Arial" w:hAnsi="Verdana" w:cs="Arial"/>
          <w:color w:val="000000" w:themeColor="text1"/>
          <w:sz w:val="22"/>
          <w:szCs w:val="22"/>
        </w:rPr>
        <w:t>not only or</w:t>
      </w:r>
      <w:r w:rsidRPr="00007EB1">
        <w:rPr>
          <w:rFonts w:ascii="Verdana" w:eastAsia="Arial" w:hAnsi="Verdana" w:cs="Arial"/>
          <w:color w:val="000000" w:themeColor="text1"/>
          <w:sz w:val="22"/>
          <w:szCs w:val="22"/>
        </w:rPr>
        <w:t xml:space="preserve"> perhaps even primarily so concerned. The commitments of the Irish Government in the RSEO provisions are also not limited to communal conflict. The matters considered in the paragraph on economic, social and cultural issue are relevant to the conflict but imply a broad notion of the conflict including socioeconomic and cultural issues. </w:t>
      </w: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To conclude</w:t>
      </w:r>
      <w:r w:rsidRPr="00007EB1">
        <w:rPr>
          <w:rFonts w:ascii="Verdana" w:eastAsia="Arial" w:hAnsi="Verdana" w:cs="Arial"/>
          <w:color w:val="000000" w:themeColor="text1"/>
          <w:sz w:val="22"/>
          <w:szCs w:val="22"/>
        </w:rPr>
        <w:t xml:space="preserve">, the assessment of Article 2 WF success in ensuring the protection of rights following the UK’s exit from the EU has been somewhat tempered by the UKSC judgment in </w:t>
      </w:r>
      <w:r w:rsidRPr="00007EB1">
        <w:rPr>
          <w:rFonts w:ascii="Verdana" w:eastAsia="Arial" w:hAnsi="Verdana" w:cs="Arial"/>
          <w:i/>
          <w:iCs/>
          <w:color w:val="000000" w:themeColor="text1"/>
          <w:sz w:val="22"/>
          <w:szCs w:val="22"/>
        </w:rPr>
        <w:t xml:space="preserve">Dillon, </w:t>
      </w:r>
      <w:r w:rsidRPr="00007EB1">
        <w:rPr>
          <w:rFonts w:ascii="Verdana" w:eastAsia="Arial" w:hAnsi="Verdana" w:cs="Arial"/>
          <w:color w:val="000000" w:themeColor="text1"/>
          <w:sz w:val="22"/>
          <w:szCs w:val="22"/>
        </w:rPr>
        <w:t>particularly the obiter dicta of the Court. Given that this ruling</w:t>
      </w:r>
      <w:r w:rsidRPr="00007EB1">
        <w:rPr>
          <w:rFonts w:ascii="Verdana" w:eastAsia="Arial" w:hAnsi="Verdana" w:cs="Arial"/>
          <w:i/>
          <w:iCs/>
          <w:color w:val="000000" w:themeColor="text1"/>
          <w:sz w:val="22"/>
          <w:szCs w:val="22"/>
        </w:rPr>
        <w:t xml:space="preserve"> </w:t>
      </w:r>
      <w:r w:rsidRPr="00007EB1">
        <w:rPr>
          <w:rFonts w:ascii="Verdana" w:eastAsia="Arial" w:hAnsi="Verdana" w:cs="Arial"/>
          <w:color w:val="000000" w:themeColor="text1"/>
          <w:sz w:val="22"/>
          <w:szCs w:val="22"/>
        </w:rPr>
        <w:t xml:space="preserve">is unlikely to be the final case on the matter, it may remain a question that cannot be fully answered until such time as the outcome regarding the scope of Article 2 has been determined. </w:t>
      </w:r>
    </w:p>
    <w:p w:rsidR="00C656DA" w:rsidRPr="00007EB1" w:rsidP="00280D5F">
      <w:pPr>
        <w:spacing w:before="120" w:after="120" w:line="360" w:lineRule="auto"/>
        <w:rPr>
          <w:rFonts w:ascii="Verdana" w:eastAsia="Arial" w:hAnsi="Verdana" w:cs="Arial"/>
          <w:color w:val="000000" w:themeColor="text1"/>
          <w:sz w:val="22"/>
          <w:szCs w:val="22"/>
        </w:rPr>
      </w:pP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u w:val="single"/>
        </w:rPr>
        <w:t>Looking Forward (Questions 13-14)</w:t>
      </w:r>
    </w:p>
    <w:p w:rsidR="00C656DA" w:rsidRPr="00007EB1" w:rsidP="00280D5F">
      <w:pPr>
        <w:spacing w:before="120" w:after="120" w:line="360" w:lineRule="auto"/>
        <w:rPr>
          <w:rFonts w:ascii="Verdana" w:eastAsia="Arial" w:hAnsi="Verdana" w:cs="Arial"/>
          <w:color w:val="000000" w:themeColor="text1"/>
          <w:sz w:val="22"/>
          <w:szCs w:val="22"/>
        </w:rPr>
      </w:pP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Q</w:t>
      </w:r>
      <w:r w:rsidRPr="00007EB1">
        <w:rPr>
          <w:rFonts w:ascii="Verdana" w:eastAsia="Arial" w:hAnsi="Verdana" w:cs="Arial"/>
          <w:b/>
          <w:bCs/>
          <w:color w:val="000000" w:themeColor="text1"/>
          <w:sz w:val="22"/>
          <w:szCs w:val="22"/>
        </w:rPr>
        <w:t>13. How does the UK Government meet its commitments under Article 2 WF when it is making new legislation? And the Northern Ireland Executive? a) How might this be improved?</w:t>
      </w: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 xml:space="preserve">The Northern Ireland Executive has sometimes published impact assessments on the compatibility of its policies with Article 2 WF. </w:t>
      </w:r>
      <w:r w:rsidRPr="00007EB1">
        <w:rPr>
          <w:rFonts w:ascii="Verdana" w:eastAsia="Arial" w:hAnsi="Verdana" w:cs="Arial"/>
          <w:color w:val="000000" w:themeColor="text1"/>
          <w:sz w:val="22"/>
          <w:szCs w:val="22"/>
        </w:rPr>
        <w:t>The Executive did this for the Ending Violence Against Women and Girls policy.</w:t>
      </w:r>
      <w:r w:rsidRPr="00007EB1">
        <w:rPr>
          <w:rFonts w:ascii="Verdana" w:hAnsi="Verdana" w:cs="Arial"/>
          <w:color w:val="000000" w:themeColor="text1"/>
          <w:sz w:val="22"/>
          <w:szCs w:val="22"/>
        </w:rPr>
        <w:t xml:space="preserve"> </w:t>
      </w:r>
      <w:r>
        <w:rPr>
          <w:rStyle w:val="FootnoteReference"/>
          <w:rFonts w:ascii="Verdana" w:hAnsi="Verdana" w:cs="Arial"/>
          <w:color w:val="000000" w:themeColor="text1"/>
          <w:sz w:val="22"/>
          <w:szCs w:val="22"/>
        </w:rPr>
        <w:footnoteReference w:id="38"/>
      </w:r>
      <w:r w:rsidRPr="00007EB1">
        <w:rPr>
          <w:rFonts w:ascii="Verdana" w:eastAsia="Arial" w:hAnsi="Verdana" w:cs="Arial"/>
          <w:color w:val="000000" w:themeColor="text1"/>
          <w:sz w:val="22"/>
          <w:szCs w:val="22"/>
        </w:rPr>
        <w:t xml:space="preserve"> That impact assessment uses as standards the Annex 1 directives, the eight bulletpoint rights in paragraph 1 of the RSEO provisions and three further standards, based on other parts of the RSEO provisions: ‘the right of victims to remember as well as to contribute to a changed society’; ‘respect, understanding and tolerance in relation to linguistic diversity’; ‘and the need in particular in creating the new institutions to ensure that symbols and emblems are used in a manner that promotes mutual respect r</w:t>
      </w:r>
      <w:r w:rsidRPr="00007EB1">
        <w:rPr>
          <w:rFonts w:ascii="Verdana" w:eastAsia="Arial" w:hAnsi="Verdana" w:cs="Arial"/>
          <w:color w:val="000000" w:themeColor="text1"/>
          <w:sz w:val="22"/>
          <w:szCs w:val="22"/>
        </w:rPr>
        <w:t>ather than division.’</w:t>
      </w:r>
    </w:p>
    <w:p w:rsidR="00C656DA" w:rsidRPr="00007EB1" w:rsidP="00280D5F">
      <w:pPr>
        <w:spacing w:before="240" w:after="120" w:line="360" w:lineRule="auto"/>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lang w:val="en-US"/>
        </w:rPr>
        <w:t xml:space="preserve">This list of standards predates the Supreme Court judgment in </w:t>
      </w:r>
      <w:r w:rsidRPr="00007EB1">
        <w:rPr>
          <w:rFonts w:ascii="Verdana" w:eastAsia="Arial" w:hAnsi="Verdana" w:cs="Arial"/>
          <w:i/>
          <w:iCs/>
          <w:color w:val="000000" w:themeColor="text1"/>
          <w:sz w:val="22"/>
          <w:szCs w:val="22"/>
          <w:lang w:val="en-US"/>
        </w:rPr>
        <w:t>Dillon</w:t>
      </w:r>
      <w:r w:rsidRPr="00007EB1">
        <w:rPr>
          <w:rFonts w:ascii="Verdana" w:eastAsia="Arial" w:hAnsi="Verdana" w:cs="Arial"/>
          <w:color w:val="000000" w:themeColor="text1"/>
          <w:sz w:val="22"/>
          <w:szCs w:val="22"/>
          <w:lang w:val="en-US"/>
        </w:rPr>
        <w:t>. It does not refer to the ‘civil rights and religious liberties’ in paragraph 1 nor the reference to economic development issues that precedes the section on linguistic diversity. The economic development issues refer to social inclusion, community development, advancement of women in public life. The list of standards does not easily lend itself to accommodating the sorts of Directives listed in the UK Government explainer document. Nevertheless, whilst one might criticise the scope of the impact assessme</w:t>
      </w:r>
      <w:r w:rsidRPr="00007EB1">
        <w:rPr>
          <w:rFonts w:ascii="Verdana" w:eastAsia="Arial" w:hAnsi="Verdana" w:cs="Arial"/>
          <w:color w:val="000000" w:themeColor="text1"/>
          <w:sz w:val="22"/>
          <w:szCs w:val="22"/>
          <w:lang w:val="en-US"/>
        </w:rPr>
        <w:t xml:space="preserve">nt, it is a good faith effort to provide a structured impact analysis based on the wording of the RSEO provisions. This is the sort of exercise the Supreme Court judgment in </w:t>
      </w:r>
      <w:r w:rsidRPr="00007EB1">
        <w:rPr>
          <w:rFonts w:ascii="Verdana" w:eastAsia="Arial" w:hAnsi="Verdana" w:cs="Arial"/>
          <w:i/>
          <w:iCs/>
          <w:color w:val="000000" w:themeColor="text1"/>
          <w:sz w:val="22"/>
          <w:szCs w:val="22"/>
          <w:lang w:val="en-US"/>
        </w:rPr>
        <w:t>Dillon</w:t>
      </w:r>
      <w:r w:rsidRPr="00007EB1">
        <w:rPr>
          <w:rFonts w:ascii="Verdana" w:eastAsia="Arial" w:hAnsi="Verdana" w:cs="Arial"/>
          <w:color w:val="000000" w:themeColor="text1"/>
          <w:sz w:val="22"/>
          <w:szCs w:val="22"/>
          <w:lang w:val="en-US"/>
        </w:rPr>
        <w:t xml:space="preserve"> seems to require.</w:t>
      </w:r>
    </w:p>
    <w:p w:rsidR="00C656DA" w:rsidRPr="00007EB1" w:rsidP="00280D5F">
      <w:pPr>
        <w:spacing w:before="240" w:after="12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lang w:val="en-US"/>
        </w:rPr>
        <w:t xml:space="preserve">The UK Government does not publish such a systematic Article 2 Windsor </w:t>
      </w:r>
      <w:r w:rsidRPr="00007EB1">
        <w:rPr>
          <w:rFonts w:ascii="Verdana" w:eastAsia="Arial" w:hAnsi="Verdana" w:cs="Arial"/>
          <w:b/>
          <w:bCs/>
          <w:color w:val="000000" w:themeColor="text1"/>
          <w:sz w:val="22"/>
          <w:szCs w:val="22"/>
          <w:lang w:val="en-US"/>
        </w:rPr>
        <w:t>Framework</w:t>
      </w:r>
      <w:r w:rsidRPr="00007EB1">
        <w:rPr>
          <w:rFonts w:ascii="Verdana" w:eastAsia="Arial" w:hAnsi="Verdana" w:cs="Arial"/>
          <w:b/>
          <w:bCs/>
          <w:color w:val="000000" w:themeColor="text1"/>
          <w:sz w:val="22"/>
          <w:szCs w:val="22"/>
          <w:lang w:val="en-US"/>
        </w:rPr>
        <w:t xml:space="preserve"> and it is our belief that any human rights impact assessment of UK bills affecting Northern Ireland should include such an impact assessment. </w:t>
      </w:r>
    </w:p>
    <w:p w:rsidR="00C656DA" w:rsidRPr="00007EB1" w:rsidP="00280D5F">
      <w:pPr>
        <w:spacing w:after="270" w:line="360" w:lineRule="auto"/>
        <w:rPr>
          <w:rFonts w:ascii="Verdana" w:eastAsia="Arial" w:hAnsi="Verdana" w:cs="Arial"/>
          <w:color w:val="000000" w:themeColor="text1"/>
          <w:sz w:val="22"/>
          <w:szCs w:val="22"/>
        </w:rPr>
      </w:pP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 xml:space="preserve">Q14. </w:t>
      </w:r>
      <w:r w:rsidRPr="00007EB1">
        <w:rPr>
          <w:rFonts w:ascii="Verdana" w:eastAsia="Arial" w:hAnsi="Verdana" w:cs="Arial"/>
          <w:b/>
          <w:bCs/>
          <w:color w:val="000000" w:themeColor="text1"/>
          <w:sz w:val="22"/>
          <w:szCs w:val="22"/>
        </w:rPr>
        <w:t>In light of</w:t>
      </w:r>
      <w:r w:rsidRPr="00007EB1">
        <w:rPr>
          <w:rFonts w:ascii="Verdana" w:eastAsia="Arial" w:hAnsi="Verdana" w:cs="Arial"/>
          <w:b/>
          <w:bCs/>
          <w:color w:val="000000" w:themeColor="text1"/>
          <w:sz w:val="22"/>
          <w:szCs w:val="22"/>
        </w:rPr>
        <w:t xml:space="preserve"> the devolution settlement for Northern Ireland, what impact does Article 2 WF have on the UK Government’s power to legislate on ‘excepted’ and ‘reserved’ matters as set out in the Northern Ireland Act 1998?</w:t>
      </w:r>
    </w:p>
    <w:p w:rsidR="00C656DA" w:rsidRPr="00007EB1" w:rsidP="00280D5F">
      <w:pPr>
        <w:spacing w:before="120" w:after="120" w:line="360" w:lineRule="auto"/>
        <w:rPr>
          <w:rFonts w:ascii="Verdana" w:eastAsia="Arial" w:hAnsi="Verdana" w:cs="Arial"/>
          <w:color w:val="000000" w:themeColor="text1"/>
          <w:sz w:val="22"/>
          <w:szCs w:val="22"/>
        </w:rPr>
      </w:pPr>
      <w:r w:rsidRPr="00007EB1">
        <w:rPr>
          <w:rFonts w:ascii="Verdana" w:eastAsia="Arial" w:hAnsi="Verdana" w:cs="Arial"/>
          <w:color w:val="000000" w:themeColor="text1"/>
          <w:sz w:val="22"/>
          <w:szCs w:val="22"/>
        </w:rPr>
        <w:t xml:space="preserve">Section 7A of the European Union (Withdrawal) Act makes it clear that any legislation of the UK Parliament inconsistent with the Withdrawal Agreement </w:t>
      </w:r>
      <w:r w:rsidRPr="00007EB1">
        <w:rPr>
          <w:rFonts w:ascii="Verdana" w:eastAsia="Arial" w:hAnsi="Verdana" w:cs="Arial"/>
          <w:color w:val="000000" w:themeColor="text1"/>
          <w:sz w:val="22"/>
          <w:szCs w:val="22"/>
        </w:rPr>
        <w:t xml:space="preserve">must be disapplied. This applies to any act of the UK Parliament in so far as it affects Northern Ireland. </w:t>
      </w:r>
    </w:p>
    <w:p w:rsidR="00C656DA" w:rsidRPr="00007EB1" w:rsidP="00C07A3E">
      <w:pPr>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u w:val="single"/>
        </w:rPr>
        <w:br w:type="page"/>
      </w:r>
      <w:r w:rsidRPr="00007EB1">
        <w:rPr>
          <w:rFonts w:ascii="Verdana" w:eastAsia="Arial" w:hAnsi="Verdana" w:cs="Arial"/>
          <w:b/>
          <w:bCs/>
          <w:color w:val="000000" w:themeColor="text1"/>
          <w:sz w:val="22"/>
          <w:szCs w:val="22"/>
          <w:u w:val="single"/>
        </w:rPr>
        <w:t>ABBREVIATIONS</w:t>
      </w:r>
    </w:p>
    <w:p w:rsidR="00C656DA" w:rsidRPr="00007EB1" w:rsidP="00280D5F">
      <w:pPr>
        <w:spacing w:before="240" w:after="24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BGFA</w:t>
      </w:r>
      <w:r w:rsidRPr="00007EB1">
        <w:rPr>
          <w:rFonts w:ascii="Verdana" w:eastAsia="Arial" w:hAnsi="Verdana" w:cs="Arial"/>
          <w:color w:val="000000" w:themeColor="text1"/>
          <w:sz w:val="22"/>
          <w:szCs w:val="22"/>
        </w:rPr>
        <w:t>: Belfast/Good Friday Agreement 1998</w:t>
      </w:r>
    </w:p>
    <w:p w:rsidR="00C656DA" w:rsidRPr="00007EB1" w:rsidP="00280D5F">
      <w:pPr>
        <w:spacing w:before="240" w:after="24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ECHR</w:t>
      </w:r>
      <w:r w:rsidRPr="00007EB1">
        <w:rPr>
          <w:rFonts w:ascii="Verdana" w:eastAsia="Arial" w:hAnsi="Verdana" w:cs="Arial"/>
          <w:color w:val="000000" w:themeColor="text1"/>
          <w:sz w:val="22"/>
          <w:szCs w:val="22"/>
        </w:rPr>
        <w:t>: European Convention on Human Rights 1950</w:t>
      </w:r>
    </w:p>
    <w:p w:rsidR="00C656DA" w:rsidRPr="00007EB1" w:rsidP="00280D5F">
      <w:pPr>
        <w:spacing w:before="240" w:after="24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EU</w:t>
      </w:r>
      <w:r w:rsidRPr="00007EB1">
        <w:rPr>
          <w:rFonts w:ascii="Verdana" w:eastAsia="Arial" w:hAnsi="Verdana" w:cs="Arial"/>
          <w:color w:val="000000" w:themeColor="text1"/>
          <w:sz w:val="22"/>
          <w:szCs w:val="22"/>
        </w:rPr>
        <w:t xml:space="preserve">: European Union </w:t>
      </w:r>
    </w:p>
    <w:p w:rsidR="00C656DA" w:rsidRPr="00007EB1" w:rsidP="00280D5F">
      <w:pPr>
        <w:spacing w:before="240" w:after="24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NI</w:t>
      </w:r>
      <w:r w:rsidRPr="00007EB1">
        <w:rPr>
          <w:rFonts w:ascii="Verdana" w:eastAsia="Arial" w:hAnsi="Verdana" w:cs="Arial"/>
          <w:color w:val="000000" w:themeColor="text1"/>
          <w:sz w:val="22"/>
          <w:szCs w:val="22"/>
        </w:rPr>
        <w:t>: Northern Ireland</w:t>
      </w:r>
    </w:p>
    <w:p w:rsidR="00C656DA" w:rsidRPr="00007EB1" w:rsidP="00280D5F">
      <w:pPr>
        <w:spacing w:before="240" w:after="24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NICA</w:t>
      </w:r>
      <w:r w:rsidRPr="00007EB1">
        <w:rPr>
          <w:rFonts w:ascii="Verdana" w:eastAsia="Arial" w:hAnsi="Verdana" w:cs="Arial"/>
          <w:color w:val="000000" w:themeColor="text1"/>
          <w:sz w:val="22"/>
          <w:szCs w:val="22"/>
        </w:rPr>
        <w:t>: Northern Ireland Court of Appeal</w:t>
      </w:r>
    </w:p>
    <w:p w:rsidR="00C656DA" w:rsidRPr="00007EB1" w:rsidP="00280D5F">
      <w:pPr>
        <w:spacing w:before="240" w:after="24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RSEO</w:t>
      </w:r>
      <w:r w:rsidRPr="00007EB1">
        <w:rPr>
          <w:rFonts w:ascii="Verdana" w:eastAsia="Arial" w:hAnsi="Verdana" w:cs="Arial"/>
          <w:color w:val="000000" w:themeColor="text1"/>
          <w:sz w:val="22"/>
          <w:szCs w:val="22"/>
        </w:rPr>
        <w:t>: Rights, Safeguards and Equality of Opportunity provisions of the Belfast/Good Friday Agreement 1998</w:t>
      </w:r>
    </w:p>
    <w:p w:rsidR="00C656DA" w:rsidRPr="00007EB1" w:rsidP="00280D5F">
      <w:pPr>
        <w:spacing w:before="240" w:after="24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UK</w:t>
      </w:r>
      <w:r w:rsidRPr="00007EB1">
        <w:rPr>
          <w:rFonts w:ascii="Verdana" w:eastAsia="Arial" w:hAnsi="Verdana" w:cs="Arial"/>
          <w:color w:val="000000" w:themeColor="text1"/>
          <w:sz w:val="22"/>
          <w:szCs w:val="22"/>
        </w:rPr>
        <w:t>: United Kingdom</w:t>
      </w:r>
    </w:p>
    <w:p w:rsidR="00C656DA" w:rsidRPr="00007EB1" w:rsidP="00280D5F">
      <w:pPr>
        <w:spacing w:before="240" w:after="24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UKSC</w:t>
      </w:r>
      <w:r w:rsidRPr="00007EB1">
        <w:rPr>
          <w:rFonts w:ascii="Verdana" w:eastAsia="Arial" w:hAnsi="Verdana" w:cs="Arial"/>
          <w:color w:val="000000" w:themeColor="text1"/>
          <w:sz w:val="22"/>
          <w:szCs w:val="22"/>
        </w:rPr>
        <w:t>: United Kingdom Supreme Court</w:t>
      </w:r>
    </w:p>
    <w:p w:rsidR="00C656DA" w:rsidRPr="00007EB1" w:rsidP="00280D5F">
      <w:pPr>
        <w:spacing w:before="240" w:after="24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VCLT</w:t>
      </w:r>
      <w:r w:rsidRPr="00007EB1">
        <w:rPr>
          <w:rFonts w:ascii="Verdana" w:eastAsia="Arial" w:hAnsi="Verdana" w:cs="Arial"/>
          <w:color w:val="000000" w:themeColor="text1"/>
          <w:sz w:val="22"/>
          <w:szCs w:val="22"/>
        </w:rPr>
        <w:t>: Vienna Convention on the Law of Treaties 1969</w:t>
      </w:r>
    </w:p>
    <w:p w:rsidR="00C656DA" w:rsidRPr="00007EB1" w:rsidP="00280D5F">
      <w:pPr>
        <w:spacing w:before="240" w:after="240" w:line="360" w:lineRule="auto"/>
        <w:rPr>
          <w:rFonts w:ascii="Verdana" w:eastAsia="Arial" w:hAnsi="Verdana" w:cs="Arial"/>
          <w:color w:val="000000" w:themeColor="text1"/>
          <w:sz w:val="22"/>
          <w:szCs w:val="22"/>
        </w:rPr>
      </w:pPr>
      <w:r w:rsidRPr="00007EB1">
        <w:rPr>
          <w:rFonts w:ascii="Verdana" w:eastAsia="Arial" w:hAnsi="Verdana" w:cs="Arial"/>
          <w:b/>
          <w:bCs/>
          <w:color w:val="000000" w:themeColor="text1"/>
          <w:sz w:val="22"/>
          <w:szCs w:val="22"/>
        </w:rPr>
        <w:t>WF</w:t>
      </w:r>
      <w:r w:rsidRPr="00007EB1">
        <w:rPr>
          <w:rFonts w:ascii="Verdana" w:eastAsia="Arial" w:hAnsi="Verdana" w:cs="Arial"/>
          <w:color w:val="000000" w:themeColor="text1"/>
          <w:sz w:val="22"/>
          <w:szCs w:val="22"/>
        </w:rPr>
        <w:t>: Protocol on Ireland/Northern Ireland 2020 as amended by the 2023 Political Agreement, more commonly called the ‘Windsor Framework’</w:t>
      </w:r>
    </w:p>
    <w:p w:rsidR="00C656DA" w:rsidRPr="00007EB1" w:rsidP="00280D5F">
      <w:pPr>
        <w:spacing w:after="270" w:line="360" w:lineRule="auto"/>
        <w:rPr>
          <w:rFonts w:ascii="Verdana" w:eastAsia="Arial" w:hAnsi="Verdana" w:cs="Arial"/>
          <w:color w:val="000000" w:themeColor="text1"/>
          <w:sz w:val="22"/>
          <w:szCs w:val="22"/>
        </w:rPr>
      </w:pPr>
    </w:p>
    <w:p w:rsidR="00C656DA" w:rsidRPr="007C6642" w:rsidP="007C6642">
      <w:pPr>
        <w:spacing w:line="360" w:lineRule="auto"/>
        <w:rPr>
          <w:rFonts w:ascii="Verdana" w:eastAsia="Arial" w:hAnsi="Verdana" w:cs="Arial"/>
          <w:b/>
          <w:bCs/>
          <w:i/>
          <w:iCs/>
          <w:color w:val="000000" w:themeColor="text1"/>
          <w:sz w:val="22"/>
          <w:szCs w:val="22"/>
        </w:rPr>
      </w:pPr>
      <w:r w:rsidRPr="007C6642">
        <w:rPr>
          <w:rFonts w:ascii="Verdana" w:eastAsia="Arial" w:hAnsi="Verdana" w:cs="Arial"/>
          <w:b/>
          <w:bCs/>
          <w:i/>
          <w:iCs/>
          <w:color w:val="000000" w:themeColor="text1"/>
          <w:sz w:val="22"/>
          <w:szCs w:val="22"/>
        </w:rPr>
        <w:t>8 July 2026</w:t>
      </w:r>
    </w:p>
    <w:p w:rsidR="00C656DA" w:rsidRPr="00007EB1" w:rsidP="00280D5F">
      <w:pPr>
        <w:spacing w:line="360" w:lineRule="auto"/>
        <w:rPr>
          <w:rFonts w:ascii="Verdana" w:eastAsia="Arial" w:hAnsi="Verdana" w:cs="Arial"/>
          <w:color w:val="000000" w:themeColor="text1"/>
          <w:sz w:val="22"/>
          <w:szCs w:val="22"/>
        </w:rPr>
      </w:pPr>
    </w:p>
    <w:p w:rsidR="00C656DA" w:rsidRPr="00007EB1" w:rsidP="00280D5F">
      <w:pPr>
        <w:rPr>
          <w:rFonts w:ascii="Verdana" w:hAnsi="Verdana"/>
          <w:color w:val="000000" w:themeColor="text1"/>
          <w:sz w:val="22"/>
          <w:szCs w:val="22"/>
        </w:rPr>
      </w:pPr>
    </w:p>
    <w:sectPr>
      <w:footerReference w:type="even" r:id="rId5"/>
      <w:footerReference w:type="default" r:id="rId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1825809515"/>
      <w:docPartObj>
        <w:docPartGallery w:val="Page Numbers (Bottom of Page)"/>
        <w:docPartUnique/>
      </w:docPartObj>
    </w:sdtPr>
    <w:sdtEndPr>
      <w:rPr>
        <w:rStyle w:val="PageNumber"/>
      </w:rPr>
    </w:sdtEndPr>
    <w:sdtContent>
      <w:p w:rsidR="00C656DA" w:rsidP="00ED22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C656DA" w:rsidP="00010A9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1453792103"/>
      <w:docPartObj>
        <w:docPartGallery w:val="Page Numbers (Bottom of Page)"/>
        <w:docPartUnique/>
      </w:docPartObj>
    </w:sdtPr>
    <w:sdtEndPr>
      <w:rPr>
        <w:rStyle w:val="PageNumber"/>
      </w:rPr>
    </w:sdtEndPr>
    <w:sdtContent>
      <w:p w:rsidR="00C656DA" w:rsidP="00ED22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rsidR="00C656DA" w:rsidP="00010A9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F0880" w:rsidP="00010A91">
      <w:pPr>
        <w:spacing w:after="0" w:line="240" w:lineRule="auto"/>
      </w:pPr>
      <w:r>
        <w:separator/>
      </w:r>
    </w:p>
  </w:footnote>
  <w:footnote w:type="continuationSeparator" w:id="1">
    <w:p w:rsidR="005F0880" w:rsidP="00010A91">
      <w:pPr>
        <w:spacing w:after="0" w:line="240" w:lineRule="auto"/>
      </w:pPr>
      <w:r>
        <w:continuationSeparator/>
      </w:r>
    </w:p>
  </w:footnote>
  <w:footnote w:id="2">
    <w:p w:rsidR="00C656DA" w:rsidP="006D61E4">
      <w:pPr>
        <w:pStyle w:val="FootnoteText"/>
        <w:jc w:val="both"/>
        <w:rPr>
          <w:rFonts w:ascii="Arial" w:eastAsia="Arial" w:hAnsi="Arial" w:cs="Arial"/>
        </w:rPr>
      </w:pPr>
      <w:r w:rsidRPr="00280D5F">
        <w:rPr>
          <w:rStyle w:val="FootnoteReference"/>
          <w:rFonts w:ascii="Verdana" w:hAnsi="Verdana" w:cstheme="minorHAnsi"/>
          <w:sz w:val="18"/>
          <w:szCs w:val="18"/>
        </w:rPr>
        <w:footnoteRef/>
      </w:r>
      <w:r w:rsidRPr="00280D5F">
        <w:rPr>
          <w:rFonts w:ascii="Verdana" w:hAnsi="Verdana" w:cstheme="minorHAnsi"/>
          <w:sz w:val="18"/>
          <w:szCs w:val="18"/>
        </w:rPr>
        <w:t xml:space="preserve"> </w:t>
      </w:r>
      <w:r w:rsidRPr="00280D5F">
        <w:rPr>
          <w:rFonts w:ascii="Verdana" w:eastAsia="Arial" w:hAnsi="Verdana" w:cstheme="minorHAnsi"/>
          <w:sz w:val="18"/>
          <w:szCs w:val="18"/>
        </w:rPr>
        <w:t xml:space="preserve">Sarah Craig, Anurag Deb, Eleni Frantziou, Alexander Horne, Colin Murray, Clare Rice and Jane Rooney, </w:t>
      </w:r>
      <w:r w:rsidRPr="00280D5F">
        <w:rPr>
          <w:rFonts w:ascii="Verdana" w:eastAsia="Arial" w:hAnsi="Verdana" w:cstheme="minorHAnsi"/>
          <w:i/>
          <w:iCs/>
          <w:sz w:val="18"/>
          <w:szCs w:val="18"/>
        </w:rPr>
        <w:t>European Union Developments in Equality and Human Rights: The Impact of Brexit on the Divergence of Rights and Best Practice on the Island of Ireland</w:t>
      </w:r>
      <w:r w:rsidRPr="00280D5F">
        <w:rPr>
          <w:rFonts w:ascii="Verdana" w:eastAsia="Arial" w:hAnsi="Verdana" w:cstheme="minorHAnsi"/>
          <w:sz w:val="18"/>
          <w:szCs w:val="18"/>
        </w:rPr>
        <w:t xml:space="preserve"> (</w:t>
      </w:r>
      <w:r w:rsidRPr="00280D5F">
        <w:rPr>
          <w:rFonts w:ascii="Verdana" w:hAnsi="Verdana" w:cstheme="minorHAnsi"/>
          <w:sz w:val="18"/>
          <w:szCs w:val="18"/>
        </w:rPr>
        <w:t>Equality Commission for Northern</w:t>
      </w:r>
      <w:r w:rsidRPr="00AE7E32">
        <w:rPr>
          <w:rFonts w:cstheme="minorHAnsi"/>
        </w:rPr>
        <w:t xml:space="preserve"> </w:t>
      </w:r>
      <w:r w:rsidRPr="00280D5F">
        <w:rPr>
          <w:rFonts w:ascii="Verdana" w:hAnsi="Verdana" w:cstheme="minorHAnsi"/>
          <w:sz w:val="18"/>
          <w:szCs w:val="18"/>
        </w:rPr>
        <w:t>Ireland; Irish Human Rights and Equality Commission; Northern Ireland Human Rights Commission</w:t>
      </w:r>
      <w:r w:rsidRPr="00280D5F">
        <w:rPr>
          <w:rFonts w:ascii="Verdana" w:eastAsia="Arial" w:hAnsi="Verdana" w:cstheme="minorHAnsi"/>
          <w:sz w:val="18"/>
          <w:szCs w:val="18"/>
        </w:rPr>
        <w:t>, 2022).</w:t>
      </w:r>
    </w:p>
  </w:footnote>
  <w:footnote w:id="3">
    <w:p w:rsidR="00C656DA" w:rsidRPr="00280D5F" w:rsidP="00E570F3">
      <w:pPr>
        <w:pStyle w:val="FootnoteText"/>
        <w:rPr>
          <w:rFonts w:ascii="Verdana" w:hAnsi="Verdana"/>
          <w:sz w:val="18"/>
          <w:szCs w:val="18"/>
        </w:rPr>
      </w:pPr>
      <w:r w:rsidRPr="00280D5F">
        <w:rPr>
          <w:rStyle w:val="FootnoteReference"/>
          <w:rFonts w:ascii="Verdana" w:eastAsia="Arial" w:hAnsi="Verdana" w:cs="Arial"/>
          <w:sz w:val="18"/>
          <w:szCs w:val="18"/>
        </w:rPr>
        <w:footnoteRef/>
      </w:r>
      <w:r w:rsidRPr="00280D5F">
        <w:rPr>
          <w:rFonts w:ascii="Verdana" w:eastAsia="Arial" w:hAnsi="Verdana" w:cs="Arial"/>
          <w:sz w:val="18"/>
          <w:szCs w:val="18"/>
        </w:rPr>
        <w:t xml:space="preserve"> Agreement between the Government of the United Kingdom of Great Britain and Northern Ireland and the Government of Ireland (with annexes) 1998 (2114 UNTS 473).</w:t>
      </w:r>
    </w:p>
  </w:footnote>
  <w:footnote w:id="4">
    <w:p w:rsidR="00C656DA" w:rsidRPr="00280D5F" w:rsidP="00875A5D">
      <w:pPr>
        <w:pStyle w:val="FootnoteText"/>
        <w:rPr>
          <w:rFonts w:ascii="Verdana" w:hAnsi="Verdana"/>
          <w:sz w:val="18"/>
          <w:szCs w:val="18"/>
        </w:rPr>
      </w:pPr>
      <w:r w:rsidRPr="00280D5F">
        <w:rPr>
          <w:rStyle w:val="FootnoteReference"/>
          <w:rFonts w:ascii="Verdana" w:eastAsia="Arial" w:hAnsi="Verdana" w:cs="Arial"/>
          <w:sz w:val="18"/>
          <w:szCs w:val="18"/>
        </w:rPr>
        <w:footnoteRef/>
      </w:r>
      <w:r w:rsidRPr="00280D5F">
        <w:rPr>
          <w:rFonts w:ascii="Verdana" w:eastAsia="Arial" w:hAnsi="Verdana" w:cs="Arial"/>
          <w:sz w:val="18"/>
          <w:szCs w:val="18"/>
        </w:rPr>
        <w:t xml:space="preserve"> Agreement on the Withdrawal of the United Kingdom of Great Britain and Northern Ireland from the European Union (30 January 2020) UKTS 3/2020.</w:t>
      </w:r>
    </w:p>
  </w:footnote>
  <w:footnote w:id="5">
    <w:p w:rsidR="00C656DA" w:rsidRPr="00280D5F" w:rsidP="00A26001">
      <w:pPr>
        <w:pStyle w:val="FootnoteText"/>
        <w:rPr>
          <w:rFonts w:ascii="Verdana" w:hAnsi="Verdana"/>
          <w:sz w:val="18"/>
          <w:szCs w:val="18"/>
        </w:rPr>
      </w:pPr>
      <w:r w:rsidRPr="00280D5F">
        <w:rPr>
          <w:rStyle w:val="FootnoteReference"/>
          <w:rFonts w:ascii="Verdana" w:eastAsia="Arial" w:hAnsi="Verdana" w:cs="Arial"/>
          <w:sz w:val="18"/>
          <w:szCs w:val="18"/>
        </w:rPr>
        <w:footnoteRef/>
      </w:r>
      <w:r w:rsidRPr="00280D5F">
        <w:rPr>
          <w:rFonts w:ascii="Verdana" w:eastAsia="Arial" w:hAnsi="Verdana" w:cs="Arial"/>
          <w:sz w:val="18"/>
          <w:szCs w:val="18"/>
        </w:rPr>
        <w:t xml:space="preserve"> European Commission, Joint report from the negotiators of the European Union and the United Kingdom Government on progress during phase 1 of negotiations under Article 50 TEU on the United Kingdom's orderly withdrawal from the European Union (8 December 2017) para 42. </w:t>
      </w:r>
    </w:p>
  </w:footnote>
  <w:footnote w:id="6">
    <w:p w:rsidR="00C656DA" w:rsidP="003374EB">
      <w:pPr>
        <w:pStyle w:val="FootnoteText"/>
      </w:pPr>
      <w:r w:rsidRPr="00280D5F">
        <w:rPr>
          <w:rStyle w:val="FootnoteReference"/>
          <w:rFonts w:ascii="Verdana" w:eastAsia="Arial" w:hAnsi="Verdana" w:cs="Arial"/>
          <w:sz w:val="18"/>
          <w:szCs w:val="18"/>
        </w:rPr>
        <w:footnoteRef/>
      </w:r>
      <w:r w:rsidRPr="00280D5F">
        <w:rPr>
          <w:rFonts w:ascii="Verdana" w:eastAsia="Arial" w:hAnsi="Verdana" w:cs="Arial"/>
          <w:sz w:val="18"/>
          <w:szCs w:val="18"/>
        </w:rPr>
        <w:t xml:space="preserve"> European Commission, Joint report ibid para 43.</w:t>
      </w:r>
      <w:r w:rsidRPr="590AB605">
        <w:rPr>
          <w:rFonts w:ascii="Arial" w:eastAsia="Arial" w:hAnsi="Arial" w:cs="Arial"/>
        </w:rPr>
        <w:t xml:space="preserve"> </w:t>
      </w:r>
    </w:p>
  </w:footnote>
  <w:footnote w:id="7">
    <w:p w:rsidR="00C656DA" w:rsidRPr="00280D5F" w:rsidP="00D11A47">
      <w:pPr>
        <w:pStyle w:val="FootnoteText"/>
        <w:rPr>
          <w:rFonts w:ascii="Verdana" w:hAnsi="Verdana"/>
          <w:sz w:val="18"/>
          <w:szCs w:val="18"/>
        </w:rPr>
      </w:pPr>
      <w:r w:rsidRPr="00280D5F">
        <w:rPr>
          <w:rStyle w:val="FootnoteReference"/>
          <w:rFonts w:ascii="Verdana" w:eastAsia="Arial" w:hAnsi="Verdana" w:cs="Arial"/>
          <w:sz w:val="18"/>
          <w:szCs w:val="18"/>
        </w:rPr>
        <w:footnoteRef/>
      </w:r>
      <w:r w:rsidRPr="00280D5F">
        <w:rPr>
          <w:rFonts w:ascii="Verdana" w:eastAsia="Arial" w:hAnsi="Verdana" w:cs="Arial"/>
          <w:sz w:val="18"/>
          <w:szCs w:val="18"/>
        </w:rPr>
        <w:t xml:space="preserve"> European Commission, Joint report ibid para 53.</w:t>
      </w:r>
    </w:p>
  </w:footnote>
  <w:footnote w:id="8">
    <w:p w:rsidR="00C656DA" w:rsidRPr="00280D5F" w:rsidP="004822A0">
      <w:pPr>
        <w:pStyle w:val="FootnoteText"/>
        <w:rPr>
          <w:rFonts w:ascii="Verdana" w:hAnsi="Verdana" w:cs="Arial"/>
          <w:sz w:val="18"/>
          <w:szCs w:val="18"/>
        </w:rPr>
      </w:pPr>
      <w:r w:rsidRPr="00280D5F">
        <w:rPr>
          <w:rStyle w:val="FootnoteReference"/>
          <w:rFonts w:ascii="Verdana" w:eastAsia="Arial" w:hAnsi="Verdana" w:cs="Arial"/>
          <w:sz w:val="18"/>
          <w:szCs w:val="18"/>
        </w:rPr>
        <w:footnoteRef/>
      </w:r>
      <w:r w:rsidRPr="00280D5F">
        <w:rPr>
          <w:rFonts w:ascii="Verdana" w:eastAsia="Arial" w:hAnsi="Verdana" w:cs="Arial"/>
          <w:sz w:val="18"/>
          <w:szCs w:val="18"/>
        </w:rPr>
        <w:t xml:space="preserve"> </w:t>
      </w:r>
      <w:r w:rsidRPr="00280D5F">
        <w:rPr>
          <w:rFonts w:ascii="Verdana" w:hAnsi="Verdana" w:cs="Arial"/>
          <w:color w:val="000000"/>
          <w:sz w:val="18"/>
          <w:szCs w:val="18"/>
        </w:rPr>
        <w:t>Draft Agreement on the withdrawal of the United Kingdom of Great Britain and Northern Ireland from the European Union and the European Atomic Energy Community, as agreed, 14 November 2018.</w:t>
      </w:r>
    </w:p>
  </w:footnote>
  <w:footnote w:id="9">
    <w:p w:rsidR="00C656DA" w:rsidRPr="008718B8" w:rsidP="002C390B">
      <w:pPr>
        <w:pStyle w:val="FootnoteText"/>
        <w:rPr>
          <w:rFonts w:ascii="Arial" w:hAnsi="Arial" w:cs="Arial"/>
        </w:rPr>
      </w:pPr>
      <w:r w:rsidRPr="00280D5F">
        <w:rPr>
          <w:rStyle w:val="FootnoteReference"/>
          <w:rFonts w:ascii="Verdana" w:eastAsia="Arial" w:hAnsi="Verdana" w:cs="Arial"/>
          <w:sz w:val="18"/>
          <w:szCs w:val="18"/>
        </w:rPr>
        <w:footnoteRef/>
      </w:r>
      <w:r w:rsidRPr="00280D5F">
        <w:rPr>
          <w:rFonts w:ascii="Verdana" w:eastAsia="Arial" w:hAnsi="Verdana" w:cs="Arial"/>
          <w:sz w:val="18"/>
          <w:szCs w:val="18"/>
        </w:rPr>
        <w:t xml:space="preserve"> </w:t>
      </w:r>
      <w:r>
        <w:fldChar w:fldCharType="begin"/>
      </w:r>
      <w:r>
        <w:instrText xml:space="preserve"> HYPERLINK "https://ec.europa.eu/commission/presscorner/detail/en/memo_18_6423" </w:instrText>
      </w:r>
      <w:r>
        <w:fldChar w:fldCharType="separate"/>
      </w:r>
      <w:r w:rsidRPr="00280D5F">
        <w:rPr>
          <w:rStyle w:val="Hyperlink"/>
          <w:rFonts w:ascii="Verdana" w:eastAsia="Arial" w:hAnsi="Verdana" w:cs="Arial"/>
          <w:sz w:val="18"/>
          <w:szCs w:val="18"/>
        </w:rPr>
        <w:t>Questions and Answers on the Protocol on Ireland and Northern Ireland,</w:t>
      </w:r>
      <w:r>
        <w:fldChar w:fldCharType="end"/>
      </w:r>
      <w:r w:rsidRPr="00280D5F">
        <w:rPr>
          <w:rFonts w:ascii="Verdana" w:eastAsia="Arial" w:hAnsi="Verdana" w:cs="Arial"/>
          <w:sz w:val="18"/>
          <w:szCs w:val="18"/>
        </w:rPr>
        <w:t xml:space="preserve"> 14 November 2018.</w:t>
      </w:r>
    </w:p>
  </w:footnote>
  <w:footnote w:id="10">
    <w:p w:rsidR="00C656DA" w:rsidRPr="00280D5F" w:rsidP="00F2762F">
      <w:pPr>
        <w:pStyle w:val="FootnoteText"/>
        <w:rPr>
          <w:rFonts w:ascii="Verdana" w:hAnsi="Verdana"/>
          <w:sz w:val="18"/>
          <w:szCs w:val="18"/>
        </w:rPr>
      </w:pPr>
      <w:r w:rsidRPr="00280D5F">
        <w:rPr>
          <w:rStyle w:val="FootnoteReference"/>
          <w:rFonts w:ascii="Verdana" w:eastAsia="Arial" w:hAnsi="Verdana" w:cs="Arial"/>
          <w:sz w:val="18"/>
          <w:szCs w:val="18"/>
        </w:rPr>
        <w:footnoteRef/>
      </w:r>
      <w:r w:rsidRPr="00280D5F">
        <w:rPr>
          <w:rFonts w:ascii="Verdana" w:eastAsia="Arial" w:hAnsi="Verdana" w:cs="Arial"/>
          <w:sz w:val="18"/>
          <w:szCs w:val="18"/>
        </w:rPr>
        <w:t xml:space="preserve"> UK Government, Explainer: UK Government commitment to no diminution of rights, safeguards and equality of opportunity in Northern Ireland (2020). Copy on file with authors. </w:t>
      </w:r>
    </w:p>
  </w:footnote>
  <w:footnote w:id="11">
    <w:p w:rsidR="00C656DA" w:rsidRPr="00280D5F" w:rsidP="00024CEE">
      <w:pPr>
        <w:pStyle w:val="FootnoteText"/>
        <w:rPr>
          <w:rFonts w:ascii="Verdana" w:hAnsi="Verdana"/>
          <w:sz w:val="18"/>
          <w:szCs w:val="18"/>
        </w:rPr>
      </w:pPr>
      <w:r w:rsidRPr="00280D5F">
        <w:rPr>
          <w:rStyle w:val="FootnoteReference"/>
          <w:rFonts w:ascii="Verdana" w:hAnsi="Verdana"/>
          <w:sz w:val="18"/>
          <w:szCs w:val="18"/>
        </w:rPr>
        <w:footnoteRef/>
      </w:r>
      <w:r w:rsidRPr="00280D5F">
        <w:rPr>
          <w:rFonts w:ascii="Verdana" w:hAnsi="Verdana"/>
          <w:sz w:val="18"/>
          <w:szCs w:val="18"/>
        </w:rPr>
        <w:t xml:space="preserve"> Para 1, Explainer Document.</w:t>
      </w:r>
    </w:p>
  </w:footnote>
  <w:footnote w:id="12">
    <w:p w:rsidR="00C656DA" w:rsidRPr="00280D5F" w:rsidP="00C94D23">
      <w:pPr>
        <w:pStyle w:val="FootnoteText"/>
        <w:rPr>
          <w:rFonts w:ascii="Verdana" w:hAnsi="Verdana"/>
          <w:sz w:val="18"/>
          <w:szCs w:val="18"/>
        </w:rPr>
      </w:pPr>
      <w:r w:rsidRPr="00280D5F">
        <w:rPr>
          <w:rStyle w:val="FootnoteReference"/>
          <w:rFonts w:ascii="Verdana" w:hAnsi="Verdana"/>
          <w:sz w:val="18"/>
          <w:szCs w:val="18"/>
        </w:rPr>
        <w:footnoteRef/>
      </w:r>
      <w:r w:rsidRPr="00280D5F">
        <w:rPr>
          <w:rFonts w:ascii="Verdana" w:hAnsi="Verdana"/>
          <w:sz w:val="18"/>
          <w:szCs w:val="18"/>
        </w:rPr>
        <w:t xml:space="preserve"> Para 6, Explainer Document.</w:t>
      </w:r>
    </w:p>
  </w:footnote>
  <w:footnote w:id="13">
    <w:p w:rsidR="00C656DA" w:rsidP="00ED03A8">
      <w:pPr>
        <w:pStyle w:val="FootnoteText"/>
        <w:rPr>
          <w:highlight w:val="yellow"/>
        </w:rPr>
      </w:pPr>
      <w:r w:rsidRPr="00280D5F">
        <w:rPr>
          <w:rStyle w:val="FootnoteReference"/>
          <w:rFonts w:ascii="Verdana" w:hAnsi="Verdana"/>
          <w:sz w:val="18"/>
          <w:szCs w:val="18"/>
        </w:rPr>
        <w:footnoteRef/>
      </w:r>
      <w:r w:rsidRPr="00280D5F">
        <w:rPr>
          <w:rFonts w:ascii="Verdana" w:hAnsi="Verdana"/>
          <w:sz w:val="18"/>
          <w:szCs w:val="18"/>
        </w:rPr>
        <w:t xml:space="preserve"> Para 6, Explainer Document.</w:t>
      </w:r>
    </w:p>
  </w:footnote>
  <w:footnote w:id="14">
    <w:p w:rsidR="00C656DA" w:rsidRPr="00280D5F" w:rsidP="00EE2B02">
      <w:pPr>
        <w:pStyle w:val="FootnoteText"/>
        <w:rPr>
          <w:rFonts w:ascii="Verdana" w:hAnsi="Verdana"/>
          <w:sz w:val="18"/>
          <w:szCs w:val="18"/>
        </w:rPr>
      </w:pPr>
      <w:r w:rsidRPr="00280D5F">
        <w:rPr>
          <w:rStyle w:val="FootnoteReference"/>
          <w:rFonts w:ascii="Verdana" w:hAnsi="Verdana"/>
          <w:sz w:val="18"/>
          <w:szCs w:val="18"/>
        </w:rPr>
        <w:footnoteRef/>
      </w:r>
      <w:r w:rsidRPr="00280D5F">
        <w:rPr>
          <w:rFonts w:ascii="Verdana" w:hAnsi="Verdana"/>
          <w:sz w:val="18"/>
          <w:szCs w:val="18"/>
        </w:rPr>
        <w:t xml:space="preserve"> </w:t>
      </w:r>
      <w:r>
        <w:fldChar w:fldCharType="begin"/>
      </w:r>
      <w:r>
        <w:instrText xml:space="preserve"> HYPERLINK "https://supremecourt.uk/cases/uksc-2025-0013" \l "appeal" </w:instrText>
      </w:r>
      <w:r>
        <w:fldChar w:fldCharType="separate"/>
      </w:r>
      <w:r w:rsidRPr="00280D5F">
        <w:rPr>
          <w:rStyle w:val="Hyperlink"/>
          <w:rFonts w:ascii="Verdana" w:hAnsi="Verdana"/>
          <w:i/>
          <w:iCs/>
          <w:sz w:val="18"/>
          <w:szCs w:val="18"/>
        </w:rPr>
        <w:t>Secretary of State for Northern Ireland v Dillon and others</w:t>
      </w:r>
      <w:r>
        <w:fldChar w:fldCharType="end"/>
      </w:r>
      <w:r w:rsidRPr="00280D5F">
        <w:rPr>
          <w:rFonts w:ascii="Verdana" w:hAnsi="Verdana"/>
          <w:sz w:val="18"/>
          <w:szCs w:val="18"/>
        </w:rPr>
        <w:t xml:space="preserve"> Appellant's Written Case, Supreme Court of the United Kingdom, Case Nos UKSC/2025/0013 and UKSC/2025/0013/A</w:t>
      </w:r>
    </w:p>
  </w:footnote>
  <w:footnote w:id="15">
    <w:p w:rsidR="00C656DA" w:rsidP="00B93DBE">
      <w:pPr>
        <w:pStyle w:val="FootnoteText"/>
      </w:pPr>
      <w:r w:rsidRPr="00280D5F">
        <w:rPr>
          <w:rStyle w:val="FootnoteReference"/>
          <w:rFonts w:ascii="Verdana" w:hAnsi="Verdana"/>
          <w:sz w:val="18"/>
          <w:szCs w:val="18"/>
        </w:rPr>
        <w:footnoteRef/>
      </w:r>
      <w:r w:rsidRPr="00280D5F">
        <w:rPr>
          <w:rStyle w:val="FootnoteReference"/>
          <w:rFonts w:ascii="Verdana" w:hAnsi="Verdana"/>
          <w:sz w:val="18"/>
          <w:szCs w:val="18"/>
        </w:rPr>
        <w:t xml:space="preserve"> </w:t>
      </w:r>
      <w:r>
        <w:fldChar w:fldCharType="begin"/>
      </w:r>
      <w:r>
        <w:instrText xml:space="preserve"> HYPERLINK "https://supremecourt.uk/cases/uksc-2025-0013" \l "appeal" </w:instrText>
      </w:r>
      <w:r>
        <w:fldChar w:fldCharType="separate"/>
      </w:r>
      <w:r w:rsidRPr="00280D5F">
        <w:rPr>
          <w:rStyle w:val="Hyperlink"/>
          <w:rFonts w:ascii="Verdana" w:hAnsi="Verdana"/>
          <w:i/>
          <w:iCs/>
          <w:sz w:val="18"/>
          <w:szCs w:val="18"/>
        </w:rPr>
        <w:t>Dillon</w:t>
      </w:r>
      <w:r>
        <w:fldChar w:fldCharType="end"/>
      </w:r>
      <w:r w:rsidRPr="00280D5F">
        <w:rPr>
          <w:rFonts w:ascii="Verdana" w:hAnsi="Verdana"/>
          <w:sz w:val="18"/>
          <w:szCs w:val="18"/>
        </w:rPr>
        <w:t xml:space="preserve"> Appellant's Written Case, ibid, para. 2 and 3.</w:t>
      </w:r>
    </w:p>
  </w:footnote>
  <w:footnote w:id="16">
    <w:p w:rsidR="00C656DA" w:rsidRPr="00280D5F" w:rsidP="00143DEB">
      <w:pPr>
        <w:pStyle w:val="FootnoteText"/>
        <w:rPr>
          <w:rFonts w:ascii="Verdana" w:hAnsi="Verdana" w:cs="Arial"/>
          <w:sz w:val="18"/>
          <w:szCs w:val="18"/>
        </w:rPr>
      </w:pPr>
      <w:r w:rsidRPr="00280D5F">
        <w:rPr>
          <w:rStyle w:val="FootnoteReference"/>
          <w:rFonts w:ascii="Verdana" w:hAnsi="Verdana" w:cs="Arial"/>
          <w:sz w:val="18"/>
          <w:szCs w:val="18"/>
        </w:rPr>
        <w:footnoteRef/>
      </w:r>
      <w:r w:rsidRPr="00280D5F">
        <w:rPr>
          <w:rFonts w:ascii="Verdana" w:hAnsi="Verdana" w:cs="Arial"/>
          <w:sz w:val="18"/>
          <w:szCs w:val="18"/>
        </w:rPr>
        <w:t xml:space="preserve"> </w:t>
      </w:r>
      <w:r w:rsidRPr="00280D5F">
        <w:rPr>
          <w:rFonts w:ascii="Verdana" w:hAnsi="Verdana" w:cs="Arial"/>
          <w:i/>
          <w:iCs/>
          <w:sz w:val="18"/>
          <w:szCs w:val="18"/>
        </w:rPr>
        <w:t>NV Algemene Transport- en Expeditie Onderneming van Gend en Loos v Nederlandse Administratie der Belastingen</w:t>
      </w:r>
      <w:r w:rsidRPr="00280D5F">
        <w:rPr>
          <w:rFonts w:ascii="Verdana" w:hAnsi="Verdana" w:cs="Arial"/>
          <w:sz w:val="18"/>
          <w:szCs w:val="18"/>
        </w:rPr>
        <w:t xml:space="preserve"> (1963) (Case 26/62) EU:</w:t>
      </w:r>
      <w:r w:rsidRPr="00280D5F">
        <w:rPr>
          <w:rFonts w:ascii="Verdana" w:hAnsi="Verdana" w:cs="Arial"/>
          <w:sz w:val="18"/>
          <w:szCs w:val="18"/>
        </w:rPr>
        <w:t>C:1963:1</w:t>
      </w:r>
    </w:p>
  </w:footnote>
  <w:footnote w:id="17">
    <w:p w:rsidR="00C656DA" w:rsidRPr="00280D5F" w:rsidP="00DB7D4D">
      <w:pPr>
        <w:autoSpaceDE w:val="0"/>
        <w:autoSpaceDN w:val="0"/>
        <w:adjustRightInd w:val="0"/>
        <w:spacing w:after="0" w:line="240" w:lineRule="auto"/>
        <w:ind w:right="-720"/>
        <w:rPr>
          <w:rFonts w:ascii="Verdana" w:hAnsi="Verdana" w:cs="Arial"/>
          <w:sz w:val="18"/>
          <w:szCs w:val="18"/>
        </w:rPr>
      </w:pPr>
      <w:r w:rsidRPr="00280D5F">
        <w:rPr>
          <w:rStyle w:val="FootnoteReference"/>
          <w:rFonts w:ascii="Verdana" w:hAnsi="Verdana" w:cs="Arial"/>
          <w:sz w:val="18"/>
          <w:szCs w:val="18"/>
        </w:rPr>
        <w:footnoteRef/>
      </w:r>
      <w:r w:rsidRPr="00280D5F">
        <w:rPr>
          <w:rFonts w:ascii="Verdana" w:hAnsi="Verdana" w:cs="Arial"/>
          <w:sz w:val="18"/>
          <w:szCs w:val="18"/>
        </w:rPr>
        <w:t xml:space="preserve"> </w:t>
      </w:r>
      <w:r w:rsidRPr="00280D5F">
        <w:rPr>
          <w:rFonts w:ascii="Verdana" w:hAnsi="Verdana" w:cs="Arial"/>
          <w:i/>
          <w:iCs/>
          <w:sz w:val="18"/>
          <w:szCs w:val="18"/>
        </w:rPr>
        <w:t>Demirel v</w:t>
      </w:r>
      <w:r w:rsidRPr="00280D5F">
        <w:rPr>
          <w:rFonts w:ascii="Verdana" w:hAnsi="Verdana" w:cs="Arial"/>
          <w:sz w:val="18"/>
          <w:szCs w:val="18"/>
        </w:rPr>
        <w:t xml:space="preserve"> </w:t>
      </w:r>
      <w:r w:rsidRPr="00280D5F">
        <w:rPr>
          <w:rFonts w:ascii="Verdana" w:hAnsi="Verdana" w:cs="Arial"/>
          <w:i/>
          <w:iCs/>
          <w:sz w:val="18"/>
          <w:szCs w:val="18"/>
        </w:rPr>
        <w:t xml:space="preserve">Stadt Schwäbisch Gmünd </w:t>
      </w:r>
      <w:r w:rsidRPr="00280D5F">
        <w:rPr>
          <w:rFonts w:ascii="Verdana" w:hAnsi="Verdana" w:cs="Arial"/>
          <w:sz w:val="18"/>
          <w:szCs w:val="18"/>
        </w:rPr>
        <w:t>Case 12/86; ECLI:EU:</w:t>
      </w:r>
      <w:r w:rsidRPr="00280D5F">
        <w:rPr>
          <w:rFonts w:ascii="Verdana" w:hAnsi="Verdana" w:cs="Arial"/>
          <w:sz w:val="18"/>
          <w:szCs w:val="18"/>
        </w:rPr>
        <w:t>C:1987:400</w:t>
      </w:r>
      <w:r w:rsidRPr="00280D5F">
        <w:rPr>
          <w:rFonts w:ascii="Verdana" w:hAnsi="Verdana" w:cs="Arial"/>
          <w:sz w:val="18"/>
          <w:szCs w:val="18"/>
        </w:rPr>
        <w:t>, (</w:t>
      </w:r>
      <w:r w:rsidRPr="00280D5F">
        <w:rPr>
          <w:rFonts w:ascii="Verdana" w:hAnsi="Verdana" w:cs="Arial"/>
          <w:color w:val="333333"/>
          <w:sz w:val="18"/>
          <w:szCs w:val="18"/>
          <w:shd w:val="clear" w:color="auto" w:fill="FFFFFF"/>
        </w:rPr>
        <w:t>30 September 1987</w:t>
      </w:r>
      <w:r w:rsidRPr="00280D5F">
        <w:rPr>
          <w:rFonts w:ascii="Verdana" w:hAnsi="Verdana" w:cs="Arial"/>
          <w:sz w:val="18"/>
          <w:szCs w:val="18"/>
        </w:rPr>
        <w:t>).</w:t>
      </w:r>
    </w:p>
    <w:p w:rsidR="00C656DA">
      <w:pPr>
        <w:pStyle w:val="FootnoteText"/>
      </w:pPr>
    </w:p>
  </w:footnote>
  <w:footnote w:id="18">
    <w:p w:rsidR="00C656DA" w:rsidRPr="00280D5F" w:rsidP="006D7601">
      <w:pPr>
        <w:pStyle w:val="FootnoteText"/>
        <w:rPr>
          <w:rFonts w:ascii="Verdana" w:hAnsi="Verdana"/>
          <w:sz w:val="18"/>
          <w:szCs w:val="18"/>
        </w:rPr>
      </w:pPr>
      <w:r w:rsidRPr="00280D5F">
        <w:rPr>
          <w:rStyle w:val="FootnoteReference"/>
          <w:rFonts w:ascii="Verdana" w:hAnsi="Verdana"/>
          <w:sz w:val="18"/>
          <w:szCs w:val="18"/>
        </w:rPr>
        <w:footnoteRef/>
      </w:r>
      <w:r w:rsidRPr="00280D5F">
        <w:rPr>
          <w:rFonts w:ascii="Verdana" w:hAnsi="Verdana"/>
          <w:i/>
          <w:iCs/>
          <w:sz w:val="18"/>
          <w:szCs w:val="18"/>
        </w:rPr>
        <w:t xml:space="preserve"> In the Matter of an Application by Martina Dillon, John McEvoy, Brigid Hughes and Lynda McManus for Judicial Review</w:t>
      </w:r>
      <w:r w:rsidRPr="00280D5F">
        <w:rPr>
          <w:rFonts w:ascii="Verdana" w:hAnsi="Verdana"/>
          <w:sz w:val="18"/>
          <w:szCs w:val="18"/>
        </w:rPr>
        <w:t xml:space="preserve"> [2024] NICA 59, para. 71-160</w:t>
      </w:r>
    </w:p>
  </w:footnote>
  <w:footnote w:id="19">
    <w:p w:rsidR="00C656DA" w:rsidP="0063742D">
      <w:pPr>
        <w:pStyle w:val="FootnoteText"/>
      </w:pPr>
      <w:r w:rsidRPr="00280D5F">
        <w:rPr>
          <w:rStyle w:val="FootnoteReference"/>
          <w:rFonts w:ascii="Verdana" w:hAnsi="Verdana"/>
          <w:sz w:val="18"/>
          <w:szCs w:val="18"/>
        </w:rPr>
        <w:footnoteRef/>
      </w:r>
      <w:r w:rsidRPr="00280D5F">
        <w:rPr>
          <w:rFonts w:ascii="Verdana" w:hAnsi="Verdana"/>
          <w:sz w:val="18"/>
          <w:szCs w:val="18"/>
        </w:rPr>
        <w:t xml:space="preserve"> Para. 78-79.</w:t>
      </w:r>
    </w:p>
  </w:footnote>
  <w:footnote w:id="20">
    <w:p w:rsidR="00C656DA" w:rsidRPr="00280D5F" w:rsidP="00B67DFA">
      <w:pPr>
        <w:pStyle w:val="FootnoteText"/>
        <w:rPr>
          <w:rFonts w:ascii="Verdana" w:hAnsi="Verdana"/>
          <w:sz w:val="18"/>
          <w:szCs w:val="18"/>
        </w:rPr>
      </w:pPr>
      <w:r w:rsidRPr="00280D5F">
        <w:rPr>
          <w:rStyle w:val="FootnoteReference"/>
          <w:rFonts w:ascii="Verdana" w:hAnsi="Verdana"/>
          <w:sz w:val="18"/>
          <w:szCs w:val="18"/>
        </w:rPr>
        <w:footnoteRef/>
      </w:r>
      <w:r w:rsidRPr="00280D5F">
        <w:rPr>
          <w:rFonts w:ascii="Verdana" w:hAnsi="Verdana"/>
          <w:sz w:val="18"/>
          <w:szCs w:val="18"/>
        </w:rPr>
        <w:t xml:space="preserve"> Para. 87.</w:t>
      </w:r>
    </w:p>
  </w:footnote>
  <w:footnote w:id="21">
    <w:p w:rsidR="00C656DA" w:rsidRPr="00280D5F" w:rsidP="00865208">
      <w:pPr>
        <w:pStyle w:val="FootnoteText"/>
        <w:rPr>
          <w:rFonts w:ascii="Verdana" w:hAnsi="Verdana"/>
          <w:sz w:val="18"/>
          <w:szCs w:val="18"/>
        </w:rPr>
      </w:pPr>
      <w:r w:rsidRPr="00280D5F">
        <w:rPr>
          <w:rStyle w:val="FootnoteReference"/>
          <w:rFonts w:ascii="Verdana" w:hAnsi="Verdana"/>
          <w:sz w:val="18"/>
          <w:szCs w:val="18"/>
        </w:rPr>
        <w:footnoteRef/>
      </w:r>
      <w:r w:rsidRPr="00280D5F">
        <w:rPr>
          <w:rFonts w:ascii="Verdana" w:hAnsi="Verdana"/>
          <w:sz w:val="18"/>
          <w:szCs w:val="18"/>
        </w:rPr>
        <w:t xml:space="preserve"> </w:t>
      </w:r>
      <w:r w:rsidRPr="00280D5F">
        <w:rPr>
          <w:rFonts w:ascii="Verdana" w:hAnsi="Verdana"/>
          <w:i/>
          <w:iCs/>
          <w:sz w:val="18"/>
          <w:szCs w:val="18"/>
        </w:rPr>
        <w:t>In the Matter of an Application by Martina Dillon, John McEvoy, Brigid Hughes and Lynda McManus for Judicial Review</w:t>
      </w:r>
      <w:r w:rsidRPr="00280D5F">
        <w:rPr>
          <w:rFonts w:ascii="Verdana" w:hAnsi="Verdana"/>
          <w:sz w:val="18"/>
          <w:szCs w:val="18"/>
        </w:rPr>
        <w:t xml:space="preserve"> [2026] UKSC 15.</w:t>
      </w:r>
    </w:p>
  </w:footnote>
  <w:footnote w:id="22">
    <w:p w:rsidR="00C656DA" w:rsidRPr="00280D5F" w:rsidP="00AB0FF5">
      <w:pPr>
        <w:pStyle w:val="FootnoteText"/>
        <w:rPr>
          <w:rFonts w:ascii="Verdana" w:hAnsi="Verdana"/>
          <w:sz w:val="18"/>
          <w:szCs w:val="18"/>
        </w:rPr>
      </w:pPr>
      <w:r w:rsidRPr="00280D5F">
        <w:rPr>
          <w:rStyle w:val="FootnoteReference"/>
          <w:rFonts w:ascii="Verdana" w:hAnsi="Verdana"/>
          <w:sz w:val="18"/>
          <w:szCs w:val="18"/>
        </w:rPr>
        <w:footnoteRef/>
      </w:r>
      <w:r w:rsidRPr="00280D5F">
        <w:rPr>
          <w:rFonts w:ascii="Verdana" w:hAnsi="Verdana"/>
          <w:sz w:val="18"/>
          <w:szCs w:val="18"/>
        </w:rPr>
        <w:t xml:space="preserve"> Para. 113.</w:t>
      </w:r>
    </w:p>
  </w:footnote>
  <w:footnote w:id="23">
    <w:p w:rsidR="00C656DA" w:rsidRPr="00280D5F" w:rsidP="00722636">
      <w:pPr>
        <w:pStyle w:val="FootnoteText"/>
        <w:rPr>
          <w:rFonts w:ascii="Verdana" w:hAnsi="Verdana" w:cs="Arial"/>
          <w:sz w:val="18"/>
          <w:szCs w:val="18"/>
        </w:rPr>
      </w:pPr>
      <w:r w:rsidRPr="00280D5F">
        <w:rPr>
          <w:rStyle w:val="FootnoteReference"/>
          <w:rFonts w:ascii="Verdana" w:eastAsia="Arial" w:hAnsi="Verdana" w:cs="Arial"/>
          <w:sz w:val="18"/>
          <w:szCs w:val="18"/>
        </w:rPr>
        <w:footnoteRef/>
      </w:r>
      <w:r w:rsidRPr="00280D5F">
        <w:rPr>
          <w:rFonts w:ascii="Verdana" w:eastAsia="Arial" w:hAnsi="Verdana" w:cs="Arial"/>
          <w:sz w:val="18"/>
          <w:szCs w:val="18"/>
        </w:rPr>
        <w:t xml:space="preserve"> Para 114:</w:t>
      </w:r>
    </w:p>
    <w:p w:rsidR="00C656DA" w:rsidRPr="008718B8" w:rsidP="00722636">
      <w:pPr>
        <w:pStyle w:val="Default"/>
      </w:pPr>
      <w:r w:rsidRPr="00280D5F">
        <w:rPr>
          <w:rFonts w:ascii="Verdana" w:eastAsia="Arial" w:hAnsi="Verdana" w:cs="Arial"/>
          <w:sz w:val="18"/>
          <w:szCs w:val="18"/>
        </w:rPr>
        <w:t xml:space="preserve">‘114. </w:t>
      </w:r>
      <w:r w:rsidRPr="00280D5F">
        <w:rPr>
          <w:rFonts w:ascii="Verdana" w:eastAsia="Arial" w:hAnsi="Verdana" w:cs="Arial"/>
          <w:sz w:val="18"/>
          <w:szCs w:val="18"/>
        </w:rPr>
        <w:t>It is clear that the</w:t>
      </w:r>
      <w:r w:rsidRPr="00280D5F">
        <w:rPr>
          <w:rFonts w:ascii="Verdana" w:eastAsia="Arial" w:hAnsi="Verdana" w:cs="Arial"/>
          <w:sz w:val="18"/>
          <w:szCs w:val="18"/>
        </w:rPr>
        <w:t xml:space="preserve"> </w:t>
      </w:r>
      <w:r w:rsidRPr="00280D5F">
        <w:rPr>
          <w:rFonts w:ascii="Verdana" w:eastAsia="Arial" w:hAnsi="Verdana" w:cs="Arial"/>
          <w:sz w:val="18"/>
          <w:szCs w:val="18"/>
        </w:rPr>
        <w:t>particular provisions</w:t>
      </w:r>
      <w:r w:rsidRPr="00280D5F">
        <w:rPr>
          <w:rFonts w:ascii="Verdana" w:eastAsia="Arial" w:hAnsi="Verdana" w:cs="Arial"/>
          <w:sz w:val="18"/>
          <w:szCs w:val="18"/>
        </w:rPr>
        <w:t xml:space="preserve"> of the RSEO chapter on which the applicants rely, when read in conjunction with article 2(1) of the Windsor Framework, cannot have direct effect. The applicants rely in this regard on three matters in the RSEO chapter. First, they point to the parties’ affirmation of their commitment to “the civil rights … of everyone in the community” in paragraph 1. Secondly, they rely on the statement in paragraph 11 that the participants believe that it is essential to acknowledge and address the suffering of the victi</w:t>
      </w:r>
      <w:r w:rsidRPr="00280D5F">
        <w:rPr>
          <w:rFonts w:ascii="Verdana" w:eastAsia="Arial" w:hAnsi="Verdana" w:cs="Arial"/>
          <w:sz w:val="18"/>
          <w:szCs w:val="18"/>
        </w:rPr>
        <w:t xml:space="preserve">ms of violence as a necessary element of reconciliation. Thirdly, they rely on the recognition in paragraph 12 that victims have a right to remember as well as to contribute to a changed society. These provisions are expressed at a high level of generality. The reference to “civil rights” in paragraph 1 is accompanied by broad references to “mutual respect” and “religious liberties”. While paragraphs 11 and 12 refer respectively to the suffering of the victims of violence and to their right to remember and </w:t>
      </w:r>
      <w:r w:rsidRPr="00280D5F">
        <w:rPr>
          <w:rFonts w:ascii="Verdana" w:eastAsia="Arial" w:hAnsi="Verdana" w:cs="Arial"/>
          <w:sz w:val="18"/>
          <w:szCs w:val="18"/>
        </w:rPr>
        <w:t>to contribute to a changed society, such language is far too general to give rise to any directly enforceable rights in relation to inquests, civil proceedings or prosecutions. We note that certain other provisions of the Belfast Agreement, such as the draft clauses for incorporation in legislation on constitutional issues, are, by contrast, drafted with a high degree of specificity</w:t>
      </w:r>
      <w:r w:rsidRPr="00280D5F">
        <w:rPr>
          <w:rFonts w:ascii="Verdana" w:eastAsia="Arial" w:hAnsi="Verdana" w:cs="Arial"/>
          <w:sz w:val="18"/>
          <w:szCs w:val="18"/>
        </w:rPr>
        <w:t xml:space="preserve">. </w:t>
      </w:r>
      <w:r w:rsidRPr="00280D5F">
        <w:rPr>
          <w:rFonts w:ascii="Verdana" w:eastAsia="Arial" w:hAnsi="Verdana"/>
          <w:sz w:val="18"/>
          <w:szCs w:val="18"/>
        </w:rPr>
        <w:t>’</w:t>
      </w:r>
    </w:p>
  </w:footnote>
  <w:footnote w:id="24">
    <w:p w:rsidR="00C656DA" w:rsidRPr="00280D5F">
      <w:pPr>
        <w:pStyle w:val="FootnoteText"/>
        <w:rPr>
          <w:rFonts w:ascii="Verdana" w:hAnsi="Verdana"/>
          <w:sz w:val="18"/>
          <w:szCs w:val="18"/>
        </w:rPr>
      </w:pPr>
      <w:r w:rsidRPr="00280D5F">
        <w:rPr>
          <w:rStyle w:val="FootnoteReference"/>
          <w:rFonts w:ascii="Verdana" w:hAnsi="Verdana"/>
          <w:sz w:val="18"/>
          <w:szCs w:val="18"/>
        </w:rPr>
        <w:footnoteRef/>
      </w:r>
      <w:r w:rsidRPr="00280D5F">
        <w:rPr>
          <w:rFonts w:ascii="Verdana" w:hAnsi="Verdana"/>
          <w:sz w:val="18"/>
          <w:szCs w:val="18"/>
        </w:rPr>
        <w:t xml:space="preserve"> The UKSC referred to paragraphs 1, 11 and 12 of the RSEO provisions but does not seme to have considered whether the references in the RSEO provisions to the European Convention on Human Rights provided a basis for the Victims Directive to be applicable.</w:t>
      </w:r>
    </w:p>
  </w:footnote>
  <w:footnote w:id="25">
    <w:p w:rsidR="00C656DA" w:rsidRPr="00280D5F" w:rsidP="00943E1B">
      <w:pPr>
        <w:pStyle w:val="Default"/>
        <w:rPr>
          <w:rFonts w:ascii="Verdana" w:hAnsi="Verdana" w:cs="Arial"/>
          <w:sz w:val="18"/>
          <w:szCs w:val="18"/>
        </w:rPr>
      </w:pPr>
      <w:r w:rsidRPr="00280D5F">
        <w:rPr>
          <w:rStyle w:val="FootnoteReference"/>
          <w:rFonts w:ascii="Verdana" w:eastAsia="Arial" w:hAnsi="Verdana" w:cs="Arial"/>
          <w:sz w:val="18"/>
          <w:szCs w:val="18"/>
        </w:rPr>
        <w:footnoteRef/>
      </w:r>
      <w:r w:rsidRPr="00280D5F">
        <w:rPr>
          <w:rFonts w:ascii="Verdana" w:eastAsia="Arial" w:hAnsi="Verdana" w:cs="Arial"/>
          <w:sz w:val="18"/>
          <w:szCs w:val="18"/>
        </w:rPr>
        <w:t xml:space="preserve"> Para 118: </w:t>
      </w:r>
    </w:p>
    <w:p w:rsidR="00C656DA" w:rsidRPr="008718B8" w:rsidP="00943E1B">
      <w:pPr>
        <w:autoSpaceDE w:val="0"/>
        <w:autoSpaceDN w:val="0"/>
        <w:adjustRightInd w:val="0"/>
      </w:pPr>
      <w:r w:rsidRPr="00280D5F">
        <w:rPr>
          <w:rFonts w:ascii="Verdana" w:eastAsia="Arial" w:hAnsi="Verdana" w:cs="Arial"/>
          <w:color w:val="000000"/>
          <w:sz w:val="18"/>
          <w:szCs w:val="18"/>
        </w:rPr>
        <w:t xml:space="preserve">‘…We also consider that article 2(1) may be capable of having direct effect in conjunction with other EU instruments falling within the ambit of the rights listed with bullet points in paragraph 1 of the RSEO chapter, or within the ambit of paragraphs 11 or 12, if the </w:t>
      </w:r>
      <w:r w:rsidRPr="00280D5F">
        <w:rPr>
          <w:rFonts w:ascii="Verdana" w:eastAsia="Arial" w:hAnsi="Verdana" w:cs="Arial"/>
          <w:i/>
          <w:iCs/>
          <w:color w:val="000000"/>
          <w:sz w:val="18"/>
          <w:szCs w:val="18"/>
        </w:rPr>
        <w:t xml:space="preserve">Demirel </w:t>
      </w:r>
      <w:r w:rsidRPr="00280D5F">
        <w:rPr>
          <w:rFonts w:ascii="Verdana" w:eastAsia="Arial" w:hAnsi="Verdana" w:cs="Arial"/>
          <w:color w:val="000000"/>
          <w:sz w:val="18"/>
          <w:szCs w:val="18"/>
        </w:rPr>
        <w:t>requirements are satisfied in respect of the obligation imposed. Both the Secretary of State and the applicants accepted as much before us, at least in relation to paragraph 1.’</w:t>
      </w:r>
      <w:r w:rsidRPr="590AB605">
        <w:rPr>
          <w:rFonts w:ascii="Arial" w:eastAsia="Arial" w:hAnsi="Arial" w:cs="Arial"/>
          <w:color w:val="000000"/>
          <w:sz w:val="20"/>
          <w:szCs w:val="20"/>
        </w:rPr>
        <w:t xml:space="preserve"> </w:t>
      </w:r>
    </w:p>
  </w:footnote>
  <w:footnote w:id="26">
    <w:p w:rsidR="00C656DA" w:rsidRPr="00280D5F" w:rsidP="009E5A93">
      <w:pPr>
        <w:pStyle w:val="FootnoteText"/>
        <w:rPr>
          <w:rFonts w:ascii="Verdana" w:eastAsia="Arial" w:hAnsi="Verdana"/>
          <w:sz w:val="18"/>
          <w:szCs w:val="18"/>
        </w:rPr>
      </w:pPr>
      <w:r w:rsidRPr="00280D5F">
        <w:rPr>
          <w:rStyle w:val="FootnoteReference"/>
          <w:rFonts w:ascii="Verdana" w:hAnsi="Verdana"/>
          <w:sz w:val="18"/>
          <w:szCs w:val="18"/>
        </w:rPr>
        <w:footnoteRef/>
      </w:r>
      <w:r w:rsidRPr="00280D5F">
        <w:rPr>
          <w:rFonts w:ascii="Verdana" w:hAnsi="Verdana"/>
          <w:sz w:val="18"/>
          <w:szCs w:val="18"/>
        </w:rPr>
        <w:t xml:space="preserve"> International Court of Justice, </w:t>
      </w:r>
      <w:r w:rsidRPr="00280D5F">
        <w:rPr>
          <w:rFonts w:ascii="Verdana" w:hAnsi="Verdana"/>
          <w:i/>
          <w:iCs/>
          <w:sz w:val="18"/>
          <w:szCs w:val="18"/>
        </w:rPr>
        <w:t>Kasikili/Sedudu Island (Botswana/Namibia)</w:t>
      </w:r>
      <w:r w:rsidRPr="00280D5F">
        <w:rPr>
          <w:rFonts w:ascii="Verdana" w:hAnsi="Verdana"/>
          <w:sz w:val="18"/>
          <w:szCs w:val="18"/>
        </w:rPr>
        <w:t xml:space="preserve"> (Judgment) [1999] ICJ Rep 1045; UN </w:t>
      </w:r>
      <w:r w:rsidRPr="00280D5F">
        <w:rPr>
          <w:rFonts w:ascii="Verdana" w:eastAsia="Arial" w:hAnsi="Verdana"/>
          <w:sz w:val="18"/>
          <w:szCs w:val="18"/>
        </w:rPr>
        <w:t xml:space="preserve">International Law Commission, </w:t>
      </w:r>
      <w:r w:rsidRPr="00280D5F">
        <w:rPr>
          <w:rFonts w:ascii="Verdana" w:eastAsia="Arial" w:hAnsi="Verdana"/>
          <w:i/>
          <w:iCs/>
          <w:sz w:val="18"/>
          <w:szCs w:val="18"/>
        </w:rPr>
        <w:t>Draft Conclusions on Subsequent Agreements and Subsequent Practice in Relation to the Interpretation of Treaties</w:t>
      </w:r>
      <w:r w:rsidRPr="00280D5F">
        <w:rPr>
          <w:rFonts w:ascii="Verdana" w:eastAsia="Arial" w:hAnsi="Verdana"/>
          <w:sz w:val="18"/>
          <w:szCs w:val="18"/>
        </w:rPr>
        <w:t xml:space="preserve"> (2018).</w:t>
      </w:r>
    </w:p>
  </w:footnote>
  <w:footnote w:id="27">
    <w:p w:rsidR="00C656DA" w:rsidRPr="00280D5F" w:rsidP="00803440">
      <w:pPr>
        <w:pStyle w:val="FootnoteText"/>
        <w:rPr>
          <w:rFonts w:ascii="Verdana" w:hAnsi="Verdana"/>
          <w:sz w:val="18"/>
          <w:szCs w:val="18"/>
        </w:rPr>
      </w:pPr>
      <w:r w:rsidRPr="00280D5F">
        <w:rPr>
          <w:rStyle w:val="FootnoteReference"/>
          <w:rFonts w:ascii="Verdana" w:hAnsi="Verdana"/>
          <w:sz w:val="18"/>
          <w:szCs w:val="18"/>
        </w:rPr>
        <w:footnoteRef/>
      </w:r>
      <w:r w:rsidRPr="00280D5F">
        <w:rPr>
          <w:rFonts w:ascii="Verdana" w:hAnsi="Verdana"/>
          <w:sz w:val="18"/>
          <w:szCs w:val="18"/>
        </w:rPr>
        <w:t xml:space="preserve"> International Court of Justice, </w:t>
      </w:r>
      <w:r w:rsidRPr="00280D5F">
        <w:rPr>
          <w:rFonts w:ascii="Verdana" w:eastAsia="Arial" w:hAnsi="Verdana"/>
          <w:i/>
          <w:iCs/>
          <w:sz w:val="18"/>
          <w:szCs w:val="18"/>
        </w:rPr>
        <w:t>Nuclear Tests (New Zealand v France)</w:t>
      </w:r>
      <w:r w:rsidRPr="00280D5F">
        <w:rPr>
          <w:rFonts w:ascii="Verdana" w:eastAsia="Arial" w:hAnsi="Verdana"/>
          <w:sz w:val="18"/>
          <w:szCs w:val="18"/>
        </w:rPr>
        <w:t xml:space="preserve"> (Judgment) [1974] ICJ Rep 457</w:t>
      </w:r>
      <w:r w:rsidRPr="00280D5F">
        <w:rPr>
          <w:rFonts w:ascii="Verdana" w:hAnsi="Verdana"/>
          <w:sz w:val="18"/>
          <w:szCs w:val="18"/>
        </w:rPr>
        <w:t xml:space="preserve">; UN International Law Commission, ’Guiding Principles Applicable to Unilateral Declarations of States Capable of Creating Legal </w:t>
      </w:r>
      <w:r w:rsidRPr="00280D5F">
        <w:rPr>
          <w:rFonts w:ascii="Verdana" w:hAnsi="Verdana"/>
          <w:sz w:val="18"/>
          <w:szCs w:val="18"/>
        </w:rPr>
        <w:t>Obligations‘ (</w:t>
      </w:r>
      <w:r w:rsidRPr="00280D5F">
        <w:rPr>
          <w:rFonts w:ascii="Verdana" w:hAnsi="Verdana"/>
          <w:sz w:val="18"/>
          <w:szCs w:val="18"/>
        </w:rPr>
        <w:t>2006).</w:t>
      </w:r>
    </w:p>
  </w:footnote>
  <w:footnote w:id="28">
    <w:p w:rsidR="00C656DA" w:rsidRPr="00280D5F" w:rsidP="00DC3D0D">
      <w:pPr>
        <w:pStyle w:val="FootnoteText"/>
        <w:rPr>
          <w:rFonts w:ascii="Verdana" w:hAnsi="Verdana"/>
          <w:sz w:val="18"/>
          <w:szCs w:val="18"/>
        </w:rPr>
      </w:pPr>
      <w:r w:rsidRPr="00280D5F">
        <w:rPr>
          <w:rStyle w:val="FootnoteReference"/>
          <w:rFonts w:ascii="Verdana" w:hAnsi="Verdana"/>
          <w:sz w:val="18"/>
          <w:szCs w:val="18"/>
        </w:rPr>
        <w:footnoteRef/>
      </w:r>
      <w:r w:rsidRPr="00280D5F">
        <w:rPr>
          <w:rFonts w:ascii="Verdana" w:hAnsi="Verdana"/>
          <w:sz w:val="18"/>
          <w:szCs w:val="18"/>
        </w:rPr>
        <w:t xml:space="preserve"> </w:t>
      </w:r>
      <w:r w:rsidRPr="00280D5F">
        <w:rPr>
          <w:rFonts w:ascii="Verdana" w:hAnsi="Verdana"/>
          <w:i/>
          <w:iCs/>
          <w:sz w:val="18"/>
          <w:szCs w:val="18"/>
        </w:rPr>
        <w:t>Angesom</w:t>
      </w:r>
      <w:r w:rsidRPr="00280D5F">
        <w:rPr>
          <w:rFonts w:ascii="Verdana" w:hAnsi="Verdana"/>
          <w:sz w:val="18"/>
          <w:szCs w:val="18"/>
        </w:rPr>
        <w:t xml:space="preserve"> [2023] NIKB 102.</w:t>
      </w:r>
    </w:p>
  </w:footnote>
  <w:footnote w:id="29">
    <w:p w:rsidR="00C656DA" w:rsidRPr="00312F74" w:rsidP="00DC3D0D">
      <w:pPr>
        <w:pStyle w:val="FootnoteText"/>
      </w:pPr>
      <w:r w:rsidRPr="00280D5F">
        <w:rPr>
          <w:rStyle w:val="FootnoteReference"/>
          <w:rFonts w:ascii="Verdana" w:hAnsi="Verdana"/>
          <w:sz w:val="18"/>
          <w:szCs w:val="18"/>
        </w:rPr>
        <w:footnoteRef/>
      </w:r>
      <w:r w:rsidRPr="00280D5F">
        <w:rPr>
          <w:rFonts w:ascii="Verdana" w:hAnsi="Verdana"/>
          <w:sz w:val="18"/>
          <w:szCs w:val="18"/>
        </w:rPr>
        <w:t xml:space="preserve"> </w:t>
      </w:r>
      <w:r w:rsidRPr="00280D5F">
        <w:rPr>
          <w:rFonts w:ascii="Verdana" w:hAnsi="Verdana"/>
          <w:i/>
          <w:iCs/>
          <w:sz w:val="18"/>
          <w:szCs w:val="18"/>
        </w:rPr>
        <w:t>Illegal Migration Act case</w:t>
      </w:r>
      <w:r w:rsidRPr="00280D5F">
        <w:rPr>
          <w:rFonts w:ascii="Verdana" w:hAnsi="Verdana"/>
          <w:sz w:val="18"/>
          <w:szCs w:val="18"/>
        </w:rPr>
        <w:t xml:space="preserve"> [2024] NIKB 35.</w:t>
      </w:r>
      <w:r>
        <w:t xml:space="preserve"> </w:t>
      </w:r>
    </w:p>
  </w:footnote>
  <w:footnote w:id="30">
    <w:p w:rsidR="00C656DA" w:rsidRPr="00280D5F" w:rsidP="00E7380A">
      <w:pPr>
        <w:pStyle w:val="FootnoteText"/>
        <w:rPr>
          <w:rFonts w:ascii="Verdana" w:hAnsi="Verdana"/>
          <w:sz w:val="18"/>
          <w:szCs w:val="18"/>
        </w:rPr>
      </w:pPr>
      <w:r w:rsidRPr="00280D5F">
        <w:rPr>
          <w:rStyle w:val="FootnoteReference"/>
          <w:rFonts w:ascii="Verdana" w:eastAsia="Arial" w:hAnsi="Verdana" w:cs="Arial"/>
          <w:sz w:val="18"/>
          <w:szCs w:val="18"/>
        </w:rPr>
        <w:footnoteRef/>
      </w:r>
      <w:r w:rsidRPr="00280D5F">
        <w:rPr>
          <w:rFonts w:ascii="Verdana" w:eastAsia="Arial" w:hAnsi="Verdana" w:cs="Arial"/>
          <w:sz w:val="18"/>
          <w:szCs w:val="18"/>
        </w:rPr>
        <w:t xml:space="preserve"> UK Government, Explainer: UK Government commitment to no diminution of rights, safeguards and equality of opportunity in Northern Ireland (2020) para 13. </w:t>
      </w:r>
    </w:p>
  </w:footnote>
  <w:footnote w:id="31">
    <w:p w:rsidR="00C656DA" w:rsidRPr="00280D5F" w:rsidP="00A90C99">
      <w:pPr>
        <w:pStyle w:val="FootnoteText"/>
        <w:rPr>
          <w:rFonts w:ascii="Verdana" w:eastAsia="Arial" w:hAnsi="Verdana" w:cs="Arial"/>
          <w:sz w:val="18"/>
          <w:szCs w:val="18"/>
        </w:rPr>
      </w:pPr>
      <w:r w:rsidRPr="00280D5F">
        <w:rPr>
          <w:rStyle w:val="FootnoteReference"/>
          <w:rFonts w:ascii="Verdana" w:eastAsia="Arial" w:hAnsi="Verdana" w:cs="Arial"/>
          <w:sz w:val="18"/>
          <w:szCs w:val="18"/>
        </w:rPr>
        <w:footnoteRef/>
      </w:r>
      <w:r w:rsidRPr="00280D5F">
        <w:rPr>
          <w:rFonts w:ascii="Verdana" w:eastAsia="Arial" w:hAnsi="Verdana" w:cs="Arial"/>
          <w:sz w:val="18"/>
          <w:szCs w:val="18"/>
        </w:rPr>
        <w:t xml:space="preserve"> </w:t>
      </w:r>
      <w:r w:rsidRPr="00280D5F">
        <w:rPr>
          <w:rFonts w:ascii="Verdana" w:eastAsia="Arial" w:hAnsi="Verdana" w:cs="Arial"/>
          <w:i/>
          <w:iCs/>
          <w:sz w:val="18"/>
          <w:szCs w:val="18"/>
        </w:rPr>
        <w:t>In re SPUC Pro-Life Ltd (Abortion)</w:t>
      </w:r>
      <w:r w:rsidRPr="00280D5F">
        <w:rPr>
          <w:rFonts w:ascii="Verdana" w:eastAsia="Arial" w:hAnsi="Verdana" w:cs="Arial"/>
          <w:sz w:val="18"/>
          <w:szCs w:val="18"/>
        </w:rPr>
        <w:t xml:space="preserve"> [2023] NICA 35, para. 54.</w:t>
      </w:r>
    </w:p>
  </w:footnote>
  <w:footnote w:id="32">
    <w:p w:rsidR="00C656DA" w:rsidRPr="00280D5F" w:rsidP="00FF2386">
      <w:pPr>
        <w:pStyle w:val="FootnoteText"/>
        <w:rPr>
          <w:rFonts w:ascii="Verdana" w:hAnsi="Verdana"/>
          <w:sz w:val="18"/>
          <w:szCs w:val="18"/>
        </w:rPr>
      </w:pPr>
      <w:r w:rsidRPr="00280D5F">
        <w:rPr>
          <w:rStyle w:val="FootnoteReference"/>
          <w:rFonts w:ascii="Verdana" w:eastAsia="Arial" w:hAnsi="Verdana" w:cs="Arial"/>
          <w:sz w:val="18"/>
          <w:szCs w:val="18"/>
        </w:rPr>
        <w:footnoteRef/>
      </w:r>
      <w:r w:rsidRPr="00280D5F">
        <w:rPr>
          <w:rFonts w:ascii="Verdana" w:eastAsia="Arial" w:hAnsi="Verdana" w:cs="Arial"/>
          <w:sz w:val="18"/>
          <w:szCs w:val="18"/>
        </w:rPr>
        <w:t xml:space="preserve"> </w:t>
      </w:r>
      <w:r w:rsidRPr="00280D5F">
        <w:rPr>
          <w:rFonts w:ascii="Verdana" w:eastAsia="Arial" w:hAnsi="Verdana" w:cs="Arial"/>
          <w:i/>
          <w:iCs/>
          <w:sz w:val="18"/>
          <w:szCs w:val="18"/>
        </w:rPr>
        <w:t>Dillon</w:t>
      </w:r>
      <w:r w:rsidRPr="00280D5F">
        <w:rPr>
          <w:rFonts w:ascii="Verdana" w:eastAsia="Arial" w:hAnsi="Verdana" w:cs="Arial"/>
          <w:sz w:val="18"/>
          <w:szCs w:val="18"/>
        </w:rPr>
        <w:t xml:space="preserve"> [2026] UKSC 15, para 128.</w:t>
      </w:r>
    </w:p>
  </w:footnote>
  <w:footnote w:id="33">
    <w:p w:rsidR="00C656DA" w:rsidRPr="00280D5F" w:rsidP="00E62163">
      <w:pPr>
        <w:pStyle w:val="FootnoteText"/>
        <w:rPr>
          <w:rFonts w:ascii="Verdana" w:hAnsi="Verdana"/>
          <w:color w:val="000000" w:themeColor="text1"/>
          <w:sz w:val="18"/>
          <w:szCs w:val="18"/>
        </w:rPr>
      </w:pPr>
      <w:r w:rsidRPr="00280D5F">
        <w:rPr>
          <w:rStyle w:val="FootnoteReference"/>
          <w:rFonts w:ascii="Verdana" w:hAnsi="Verdana"/>
          <w:color w:val="000000" w:themeColor="text1"/>
          <w:sz w:val="18"/>
          <w:szCs w:val="18"/>
        </w:rPr>
        <w:footnoteRef/>
      </w:r>
      <w:r w:rsidRPr="00280D5F">
        <w:rPr>
          <w:rFonts w:ascii="Verdana" w:hAnsi="Verdana"/>
          <w:color w:val="000000" w:themeColor="text1"/>
          <w:sz w:val="18"/>
          <w:szCs w:val="18"/>
        </w:rPr>
        <w:t xml:space="preserve"> </w:t>
      </w:r>
      <w:r w:rsidRPr="00280D5F">
        <w:rPr>
          <w:rFonts w:ascii="Verdana" w:hAnsi="Verdana"/>
          <w:i/>
          <w:iCs/>
          <w:color w:val="000000" w:themeColor="text1"/>
          <w:sz w:val="18"/>
          <w:szCs w:val="18"/>
        </w:rPr>
        <w:t>Marleasing SA v La Comercial Internacional de Alimentación SA</w:t>
      </w:r>
      <w:r w:rsidRPr="00280D5F">
        <w:rPr>
          <w:rFonts w:ascii="Verdana" w:hAnsi="Verdana"/>
          <w:color w:val="000000" w:themeColor="text1"/>
          <w:sz w:val="18"/>
          <w:szCs w:val="18"/>
        </w:rPr>
        <w:t xml:space="preserve"> (Case C-106/89) EU:C:1990:395; See also on the </w:t>
      </w:r>
      <w:r w:rsidRPr="00280D5F">
        <w:rPr>
          <w:rFonts w:ascii="Verdana" w:eastAsia="Arial" w:hAnsi="Verdana" w:cs="Arial"/>
          <w:color w:val="000000" w:themeColor="text1"/>
          <w:sz w:val="18"/>
          <w:szCs w:val="18"/>
        </w:rPr>
        <w:t xml:space="preserve">principle of consistent interpretation Eleni Frantziou and Anurag Deb </w:t>
      </w:r>
      <w:r>
        <w:fldChar w:fldCharType="begin"/>
      </w:r>
      <w:r>
        <w:instrText xml:space="preserve"> HYPERLINK "https://ukconstitutionallaw.org/2025/12/04/eleni-frantziou-and-anurag-deb-direct-effect-disapplication-and-the-eu-charter-of-fundamental-rights-still-together-in-northern-ireland-after-dillon/" </w:instrText>
      </w:r>
      <w:r>
        <w:fldChar w:fldCharType="separate"/>
      </w:r>
      <w:r w:rsidRPr="00280D5F">
        <w:rPr>
          <w:rStyle w:val="Hyperlink"/>
          <w:rFonts w:ascii="Verdana" w:hAnsi="Verdana" w:eastAsiaTheme="minorHAnsi" w:cs="Times New Roman"/>
          <w:sz w:val="18"/>
          <w:szCs w:val="18"/>
        </w:rPr>
        <w:t>'Direct Effect, Disapplication, and the EU Charter of Fundamental Rights: Still Together in Northern Ireland after Dillon?'</w:t>
      </w:r>
      <w:r>
        <w:fldChar w:fldCharType="end"/>
      </w:r>
      <w:r w:rsidRPr="00280D5F">
        <w:rPr>
          <w:rFonts w:ascii="Verdana" w:eastAsia="Arial" w:hAnsi="Verdana" w:cs="Arial"/>
          <w:color w:val="000000" w:themeColor="text1"/>
          <w:sz w:val="18"/>
          <w:szCs w:val="18"/>
        </w:rPr>
        <w:t xml:space="preserve"> [2025] UK Constitutional Law Blog</w:t>
      </w:r>
    </w:p>
    <w:p w:rsidR="00C656DA" w:rsidP="00E62163">
      <w:pPr>
        <w:pStyle w:val="FootnoteText"/>
      </w:pPr>
    </w:p>
  </w:footnote>
  <w:footnote w:id="34">
    <w:p w:rsidR="00C656DA" w:rsidRPr="00280D5F" w:rsidP="00E62163">
      <w:pPr>
        <w:pStyle w:val="FootnoteText"/>
        <w:rPr>
          <w:rFonts w:ascii="Verdana" w:hAnsi="Verdana"/>
          <w:sz w:val="18"/>
          <w:szCs w:val="18"/>
        </w:rPr>
      </w:pPr>
      <w:r w:rsidRPr="00280D5F">
        <w:rPr>
          <w:rStyle w:val="FootnoteReference"/>
          <w:rFonts w:ascii="Verdana" w:hAnsi="Verdana"/>
          <w:sz w:val="18"/>
          <w:szCs w:val="18"/>
        </w:rPr>
        <w:footnoteRef/>
      </w:r>
      <w:r w:rsidRPr="00280D5F">
        <w:rPr>
          <w:rFonts w:ascii="Verdana" w:hAnsi="Verdana"/>
          <w:sz w:val="18"/>
          <w:szCs w:val="18"/>
        </w:rPr>
        <w:t xml:space="preserve"> </w:t>
      </w:r>
      <w:r w:rsidRPr="00280D5F">
        <w:rPr>
          <w:rFonts w:ascii="Verdana" w:hAnsi="Verdana"/>
          <w:i/>
          <w:iCs/>
          <w:sz w:val="18"/>
          <w:szCs w:val="18"/>
        </w:rPr>
        <w:t>Francovich and Bonifaci v Italian Republic</w:t>
      </w:r>
      <w:r w:rsidRPr="00280D5F">
        <w:rPr>
          <w:rFonts w:ascii="Verdana" w:hAnsi="Verdana"/>
          <w:sz w:val="18"/>
          <w:szCs w:val="18"/>
        </w:rPr>
        <w:t xml:space="preserve"> (1991) (Joined Cases C-6/90 and C-9/90) EU:</w:t>
      </w:r>
      <w:r w:rsidRPr="00280D5F">
        <w:rPr>
          <w:rFonts w:ascii="Verdana" w:hAnsi="Verdana"/>
          <w:sz w:val="18"/>
          <w:szCs w:val="18"/>
        </w:rPr>
        <w:t>C:1991:428</w:t>
      </w:r>
    </w:p>
  </w:footnote>
  <w:footnote w:id="35">
    <w:p w:rsidR="00C656DA" w:rsidRPr="00280D5F">
      <w:pPr>
        <w:pStyle w:val="FootnoteText"/>
        <w:rPr>
          <w:sz w:val="18"/>
          <w:szCs w:val="18"/>
        </w:rPr>
      </w:pPr>
      <w:r w:rsidRPr="00280D5F">
        <w:rPr>
          <w:rStyle w:val="FootnoteReference"/>
          <w:sz w:val="18"/>
          <w:szCs w:val="18"/>
        </w:rPr>
        <w:footnoteRef/>
      </w:r>
      <w:r w:rsidRPr="00280D5F">
        <w:rPr>
          <w:sz w:val="18"/>
          <w:szCs w:val="18"/>
        </w:rPr>
        <w:t xml:space="preserve"> </w:t>
      </w:r>
      <w:r w:rsidRPr="00280D5F">
        <w:rPr>
          <w:rFonts w:ascii="Arial" w:eastAsia="Arial" w:hAnsi="Arial" w:cs="Arial"/>
          <w:color w:val="000000" w:themeColor="text1"/>
          <w:sz w:val="18"/>
          <w:szCs w:val="18"/>
        </w:rPr>
        <w:t xml:space="preserve">We note that the Court of Justice of the European Union has not given an interpretation about the Victims Directive directly relevant to the issues in </w:t>
      </w:r>
      <w:r w:rsidRPr="00280D5F">
        <w:rPr>
          <w:rFonts w:ascii="Arial" w:eastAsia="Arial" w:hAnsi="Arial" w:cs="Arial"/>
          <w:i/>
          <w:iCs/>
          <w:color w:val="000000" w:themeColor="text1"/>
          <w:sz w:val="18"/>
          <w:szCs w:val="18"/>
        </w:rPr>
        <w:t>Dillon</w:t>
      </w:r>
      <w:r w:rsidRPr="00280D5F">
        <w:rPr>
          <w:rFonts w:ascii="Arial" w:eastAsia="Arial" w:hAnsi="Arial" w:cs="Arial"/>
          <w:color w:val="000000" w:themeColor="text1"/>
          <w:sz w:val="18"/>
          <w:szCs w:val="18"/>
        </w:rPr>
        <w:t>. Any interpretation of the Victims Directive should adopt a purposive approach and should consider the relevance of the Charter of Fundamental Rights. Such an approach might lead to an interpretation of the Directive closer to that of the NI courts, than that of the UKSC.</w:t>
      </w:r>
    </w:p>
  </w:footnote>
  <w:footnote w:id="36">
    <w:p w:rsidR="00C656DA" w:rsidRPr="00280D5F" w:rsidP="007E3B16">
      <w:pPr>
        <w:pStyle w:val="FootnoteText"/>
        <w:rPr>
          <w:rFonts w:ascii="Verdana" w:hAnsi="Verdana"/>
          <w:sz w:val="18"/>
          <w:szCs w:val="18"/>
        </w:rPr>
      </w:pPr>
      <w:r w:rsidRPr="00280D5F">
        <w:rPr>
          <w:rStyle w:val="FootnoteReference"/>
          <w:rFonts w:ascii="Verdana" w:eastAsia="Arial" w:hAnsi="Verdana" w:cs="Arial"/>
          <w:sz w:val="18"/>
          <w:szCs w:val="18"/>
        </w:rPr>
        <w:footnoteRef/>
      </w:r>
      <w:r w:rsidRPr="00280D5F">
        <w:rPr>
          <w:rFonts w:ascii="Verdana" w:eastAsia="Arial" w:hAnsi="Verdana" w:cs="Arial"/>
          <w:sz w:val="18"/>
          <w:szCs w:val="18"/>
        </w:rPr>
        <w:t xml:space="preserve"> Critiquing this interpretation through a feminist lens see </w:t>
      </w:r>
      <w:r w:rsidRPr="00280D5F">
        <w:rPr>
          <w:rFonts w:ascii="Verdana" w:eastAsia="Arial" w:hAnsi="Verdana" w:cs="Arial"/>
          <w:sz w:val="18"/>
          <w:szCs w:val="18"/>
          <w:lang w:val="en-US"/>
        </w:rPr>
        <w:t>Aoife O'Donoghue 'Women on Northern Ireland and the Supreme Court's Decision in Dillon' [</w:t>
      </w:r>
      <w:r w:rsidRPr="00280D5F">
        <w:rPr>
          <w:rFonts w:ascii="Verdana" w:eastAsia="Arial" w:hAnsi="Verdana" w:cs="Arial"/>
          <w:sz w:val="18"/>
          <w:szCs w:val="18"/>
          <w:lang w:val="en-US"/>
        </w:rPr>
        <w:t>2026]DFLW</w:t>
      </w:r>
      <w:r w:rsidRPr="00280D5F">
        <w:rPr>
          <w:rFonts w:ascii="Verdana" w:eastAsia="Arial" w:hAnsi="Verdana" w:cs="Arial"/>
          <w:sz w:val="18"/>
          <w:szCs w:val="18"/>
          <w:lang w:val="en-US"/>
        </w:rPr>
        <w:t xml:space="preserve"> May 2026 </w:t>
      </w:r>
      <w:r>
        <w:fldChar w:fldCharType="begin"/>
      </w:r>
      <w:r>
        <w:instrText xml:space="preserve"> HYPERLINK "https://dflw.ie/women-in-northern-ireland-and-the-uk-supreme-courts-decision-in-re-dillon-2026-uksc-15/" </w:instrText>
      </w:r>
      <w:r>
        <w:fldChar w:fldCharType="separate"/>
      </w:r>
      <w:r w:rsidRPr="00280D5F">
        <w:rPr>
          <w:rStyle w:val="Hyperlink"/>
          <w:rFonts w:ascii="Verdana" w:eastAsia="Arial" w:hAnsi="Verdana" w:cs="Arial"/>
          <w:sz w:val="18"/>
          <w:szCs w:val="18"/>
          <w:lang w:val="en-US"/>
        </w:rPr>
        <w:t>https://dflw.ie/women-in-northern-ireland-and-the-uk-supreme-courts-decision-in-re-dillon-2026-uksc-15/</w:t>
      </w:r>
      <w:r>
        <w:fldChar w:fldCharType="end"/>
      </w:r>
    </w:p>
  </w:footnote>
  <w:footnote w:id="37">
    <w:p w:rsidR="00C656DA" w:rsidP="00CD1F06">
      <w:pPr>
        <w:pStyle w:val="FootnoteText"/>
        <w:rPr>
          <w:rStyle w:val="Hyperlink"/>
        </w:rPr>
      </w:pPr>
      <w:r w:rsidRPr="00280D5F">
        <w:rPr>
          <w:rStyle w:val="FootnoteReference"/>
          <w:rFonts w:ascii="Verdana" w:eastAsia="Arial" w:hAnsi="Verdana" w:cs="Arial"/>
          <w:sz w:val="18"/>
          <w:szCs w:val="18"/>
        </w:rPr>
        <w:footnoteRef/>
      </w:r>
      <w:r w:rsidRPr="00280D5F">
        <w:rPr>
          <w:rFonts w:ascii="Verdana" w:eastAsia="Arial" w:hAnsi="Verdana" w:cs="Arial"/>
          <w:sz w:val="18"/>
          <w:szCs w:val="18"/>
        </w:rPr>
        <w:t xml:space="preserve"> </w:t>
      </w:r>
      <w:r w:rsidRPr="00280D5F">
        <w:rPr>
          <w:rFonts w:ascii="Verdana" w:eastAsia="Arial" w:hAnsi="Verdana" w:cs="Arial"/>
          <w:sz w:val="18"/>
          <w:szCs w:val="18"/>
          <w:lang w:val="en-US"/>
        </w:rPr>
        <w:t xml:space="preserve">Colin Murray 'Hollowing out Northern Ireland’s Post-Brexit Rights Protections in Re Dillon [2026] UKSC 15' [2026]UK Constitutional Law 14 May 2026 </w:t>
      </w:r>
      <w:r>
        <w:fldChar w:fldCharType="begin"/>
      </w:r>
      <w:r>
        <w:instrText xml:space="preserve"> HYPERLINK "https://ukconstitutionallaw.org/2026/05/14/colin-murray-hollowing-out-northern-irelands-post-brexit-rights-protections-in-re-dillon-2026-uksc-15/" </w:instrText>
      </w:r>
      <w:r>
        <w:fldChar w:fldCharType="separate"/>
      </w:r>
      <w:r w:rsidRPr="00280D5F">
        <w:rPr>
          <w:rStyle w:val="Hyperlink"/>
          <w:rFonts w:ascii="Verdana" w:eastAsia="Arial" w:hAnsi="Verdana" w:cs="Arial"/>
          <w:sz w:val="18"/>
          <w:szCs w:val="18"/>
          <w:lang w:val="en-US"/>
        </w:rPr>
        <w:t>https://ukconstitutionallaw.org/2026/05/14/colin-murray-hollowing-out-northern-irelands-post-brexit-rights-protections-in-re-dillon-2026-uksc-15/</w:t>
      </w:r>
      <w:r>
        <w:fldChar w:fldCharType="end"/>
      </w:r>
    </w:p>
  </w:footnote>
  <w:footnote w:id="38">
    <w:p w:rsidR="00C656DA" w:rsidRPr="00280D5F" w:rsidP="003C43CD">
      <w:pPr>
        <w:pStyle w:val="FootnoteText"/>
        <w:rPr>
          <w:rFonts w:ascii="Verdana" w:hAnsi="Verdana"/>
          <w:sz w:val="18"/>
          <w:szCs w:val="18"/>
        </w:rPr>
      </w:pPr>
      <w:r w:rsidRPr="00280D5F">
        <w:rPr>
          <w:rStyle w:val="FootnoteReference"/>
          <w:rFonts w:ascii="Verdana" w:eastAsia="Arial" w:hAnsi="Verdana" w:cs="Arial"/>
          <w:sz w:val="18"/>
          <w:szCs w:val="18"/>
        </w:rPr>
        <w:footnoteRef/>
      </w:r>
      <w:r w:rsidRPr="00280D5F">
        <w:rPr>
          <w:rFonts w:ascii="Verdana" w:eastAsia="Arial" w:hAnsi="Verdana" w:cs="Arial"/>
          <w:sz w:val="18"/>
          <w:szCs w:val="18"/>
        </w:rPr>
        <w:t xml:space="preserve"> </w:t>
      </w:r>
      <w:r>
        <w:fldChar w:fldCharType="begin"/>
      </w:r>
      <w:r>
        <w:instrText xml:space="preserve"> HYPERLINK "https://www.executiveoffice-ni.gov.uk/topics/ending-violence-against-women-and-girls" </w:instrText>
      </w:r>
      <w:r>
        <w:fldChar w:fldCharType="separate"/>
      </w:r>
      <w:r w:rsidRPr="00280D5F">
        <w:rPr>
          <w:rStyle w:val="Hyperlink"/>
          <w:rFonts w:ascii="Verdana" w:eastAsia="Arial" w:hAnsi="Verdana" w:cs="Arial"/>
          <w:sz w:val="18"/>
          <w:szCs w:val="18"/>
        </w:rPr>
        <w:t>Ending Violence against Women and Girls.</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19107D"/>
    <w:multiLevelType w:val="hybridMultilevel"/>
    <w:tmpl w:val="F1389B4C"/>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27D1C5C2"/>
    <w:multiLevelType w:val="hybridMultilevel"/>
    <w:tmpl w:val="9F2A9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2D29FFB1"/>
    <w:multiLevelType w:val="hybridMultilevel"/>
    <w:tmpl w:val="463E49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316E1CB"/>
    <w:multiLevelType w:val="hybridMultilevel"/>
    <w:tmpl w:val="6FCC55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65F6BAB"/>
    <w:multiLevelType w:val="hybridMultilevel"/>
    <w:tmpl w:val="F1A6F1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A60F023"/>
    <w:multiLevelType w:val="hybridMultilevel"/>
    <w:tmpl w:val="D1B81F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721BFDB5"/>
    <w:multiLevelType w:val="hybridMultilevel"/>
    <w:tmpl w:val="3982AFB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75A7FBAB"/>
    <w:multiLevelType w:val="hybridMultilevel"/>
    <w:tmpl w:val="586CAA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7"/>
  </w:num>
  <w:num w:numId="4">
    <w:abstractNumId w:val="6"/>
  </w:num>
  <w:num w:numId="5">
    <w:abstractNumId w:val="0"/>
  </w:num>
  <w:num w:numId="6">
    <w:abstractNumId w:val="5"/>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NotTrackMoves/>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uiPriority w:val="9"/>
    <w:qFormat/>
    <w:rsid w:val="26DC6E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uiPriority w:val="29"/>
    <w:qFormat/>
    <w:rsid w:val="26DC6E8D"/>
    <w:pPr>
      <w:spacing w:before="160"/>
      <w:jc w:val="center"/>
    </w:pPr>
    <w:rPr>
      <w:i/>
      <w:iCs/>
      <w:color w:val="404040" w:themeColor="text1" w:themeTint="BF"/>
    </w:rPr>
  </w:style>
  <w:style w:type="paragraph" w:styleId="ListParagraph">
    <w:name w:val="List Paragraph"/>
    <w:basedOn w:val="Normal"/>
    <w:uiPriority w:val="34"/>
    <w:qFormat/>
    <w:rsid w:val="26DC6E8D"/>
    <w:pPr>
      <w:ind w:left="720"/>
      <w:contextualSpacing/>
    </w:pPr>
  </w:style>
  <w:style w:type="character" w:styleId="FootnoteReference">
    <w:name w:val="footnote reference"/>
    <w:basedOn w:val="DefaultParagraphFont"/>
    <w:uiPriority w:val="99"/>
    <w:semiHidden/>
    <w:unhideWhenUsed/>
    <w:rsid w:val="26DC6E8D"/>
    <w:rPr>
      <w:vertAlign w:val="superscript"/>
    </w:rPr>
  </w:style>
  <w:style w:type="character" w:customStyle="1" w:styleId="normaltextrun">
    <w:name w:val="normaltextrun"/>
    <w:basedOn w:val="DefaultParagraphFont"/>
    <w:uiPriority w:val="1"/>
    <w:rsid w:val="26DC6E8D"/>
    <w:rPr>
      <w:rFonts w:asciiTheme="minorHAnsi" w:eastAsiaTheme="minorEastAsia" w:hAnsiTheme="minorHAnsi" w:cs="Times New Roman"/>
      <w:sz w:val="22"/>
      <w:szCs w:val="22"/>
    </w:rPr>
  </w:style>
  <w:style w:type="character" w:customStyle="1" w:styleId="apple-converted-space">
    <w:name w:val="apple-converted-space"/>
    <w:basedOn w:val="DefaultParagraphFont"/>
    <w:uiPriority w:val="1"/>
    <w:rsid w:val="26DC6E8D"/>
    <w:rPr>
      <w:rFonts w:asciiTheme="minorHAnsi" w:eastAsiaTheme="minorEastAsia" w:hAnsiTheme="minorHAnsi" w:cs="Times New Roman"/>
      <w:sz w:val="22"/>
      <w:szCs w:val="22"/>
    </w:rPr>
  </w:style>
  <w:style w:type="character" w:customStyle="1" w:styleId="eop">
    <w:name w:val="eop"/>
    <w:basedOn w:val="DefaultParagraphFont"/>
    <w:uiPriority w:val="1"/>
    <w:rsid w:val="26DC6E8D"/>
    <w:rPr>
      <w:rFonts w:asciiTheme="minorHAnsi" w:eastAsiaTheme="minorEastAsia" w:hAnsiTheme="minorHAnsi" w:cs="Times New Roman"/>
      <w:sz w:val="22"/>
      <w:szCs w:val="22"/>
    </w:rPr>
  </w:style>
  <w:style w:type="paragraph" w:styleId="Revision">
    <w:name w:val="Revision"/>
    <w:hidden/>
    <w:uiPriority w:val="99"/>
    <w:semiHidden/>
    <w:rsid w:val="0040061B"/>
    <w:pPr>
      <w:spacing w:after="0" w:line="240" w:lineRule="auto"/>
    </w:pPr>
  </w:style>
  <w:style w:type="paragraph" w:styleId="Footer">
    <w:name w:val="footer"/>
    <w:basedOn w:val="Normal"/>
    <w:link w:val="FooterChar"/>
    <w:uiPriority w:val="99"/>
    <w:unhideWhenUsed/>
    <w:rsid w:val="00010A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0A91"/>
  </w:style>
  <w:style w:type="character" w:styleId="PageNumber">
    <w:name w:val="page number"/>
    <w:basedOn w:val="DefaultParagraphFont"/>
    <w:uiPriority w:val="99"/>
    <w:semiHidden/>
    <w:unhideWhenUsed/>
    <w:rsid w:val="00010A91"/>
  </w:style>
  <w:style w:type="paragraph" w:styleId="FootnoteText">
    <w:name w:val="footnote text"/>
    <w:basedOn w:val="Normal"/>
    <w:link w:val="FootnoteTextChar"/>
    <w:uiPriority w:val="99"/>
    <w:semiHidden/>
    <w:unhideWhenUsed/>
    <w:rsid w:val="007507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075D"/>
    <w:rPr>
      <w:sz w:val="20"/>
      <w:szCs w:val="20"/>
    </w:rPr>
  </w:style>
  <w:style w:type="character" w:styleId="Hyperlink">
    <w:name w:val="Hyperlink"/>
    <w:basedOn w:val="DefaultParagraphFont"/>
    <w:uiPriority w:val="99"/>
    <w:unhideWhenUsed/>
    <w:rsid w:val="002C390B"/>
    <w:rPr>
      <w:color w:val="0000FF"/>
      <w:u w:val="single"/>
    </w:rPr>
  </w:style>
  <w:style w:type="paragraph" w:customStyle="1" w:styleId="Default">
    <w:name w:val="Default"/>
    <w:rsid w:val="00722636"/>
    <w:pPr>
      <w:autoSpaceDE w:val="0"/>
      <w:autoSpaceDN w:val="0"/>
      <w:adjustRightInd w:val="0"/>
      <w:spacing w:after="0" w:line="240" w:lineRule="auto"/>
    </w:pPr>
    <w:rPr>
      <w:rFonts w:ascii="Calibri" w:hAnsi="Calibri" w:cs="Calibri"/>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f0b9487-4fa8-42a8-aeb4-bf2e2c22d4e8}" enabled="0" method="" siteId="{6f0b9487-4fa8-42a8-aeb4-bf2e2c22d4e8}" removed="1"/>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ART0012</dc:title>
  <cp:revision>0</cp:revision>
</cp:coreProperties>
</file>