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3E79" w:rsidRPr="009A0000" w:rsidP="0009552F">
      <w:pPr>
        <w:jc w:val="center"/>
        <w:rPr>
          <w:b/>
          <w:bCs/>
        </w:rPr>
      </w:pPr>
      <w:r>
        <w:rPr>
          <w:b/>
          <w:bCs/>
        </w:rPr>
        <w:t>Written evidence s</w:t>
      </w:r>
      <w:r w:rsidRPr="009A0000">
        <w:rPr>
          <w:b/>
          <w:bCs/>
        </w:rPr>
        <w:t>ubmitted by Professor Matthew Francis and Dr Bianca Slocombe, Centre for Peace and Security, Coventry University</w:t>
      </w:r>
    </w:p>
    <w:p w:rsidR="00293E79" w:rsidRPr="009A0000" w:rsidP="009A0000">
      <w:pPr>
        <w:pStyle w:val="Heading2"/>
      </w:pPr>
      <w:r w:rsidRPr="009A0000">
        <w:t>About the authors</w:t>
      </w:r>
    </w:p>
    <w:p w:rsidR="00293E79" w:rsidRPr="009A0000" w:rsidP="009A0000">
      <w:pPr>
        <w:pStyle w:val="ListParagraph"/>
        <w:numPr>
          <w:ilvl w:val="0"/>
          <w:numId w:val="1"/>
        </w:numPr>
      </w:pPr>
      <w:r w:rsidRPr="009A0000">
        <w:t>We are Professor Matthew Francis and Dr Bianca Slocombe, both based in the Centre for Peace and Security at Coventry University. Our research examines the role of sacred and protected values – values held as non-negotiable and resistant to economic reasoning – in conflict, radicalisation and international negotiation. We submit this evidence in our personal and professional capacity as researchers in this field.</w:t>
      </w:r>
    </w:p>
    <w:p w:rsidR="00293E79" w:rsidRPr="009A0000" w:rsidP="009A0000">
      <w:pPr>
        <w:pStyle w:val="ListParagraph"/>
        <w:numPr>
          <w:ilvl w:val="0"/>
          <w:numId w:val="1"/>
        </w:numPr>
      </w:pPr>
      <w:r w:rsidRPr="009A0000">
        <w:t xml:space="preserve">This submission draws on </w:t>
      </w:r>
      <w:r>
        <w:t>our</w:t>
      </w:r>
      <w:r w:rsidRPr="009A0000">
        <w:t xml:space="preserve"> work applying sacred values to state negotiations, including </w:t>
      </w:r>
      <w:r>
        <w:t xml:space="preserve">a </w:t>
      </w:r>
      <w:r>
        <w:t>recent review</w:t>
      </w:r>
      <w:r>
        <w:t xml:space="preserve"> </w:t>
      </w:r>
      <w:r>
        <w:t xml:space="preserve">of </w:t>
      </w:r>
      <w:r w:rsidRPr="009A0000">
        <w:t>theoretical and experimental literature on sacred values and their application to state-level decision-making and negotiation.</w:t>
      </w:r>
      <w:r>
        <w:rPr>
          <w:rStyle w:val="FootnoteReference"/>
        </w:rPr>
        <w:footnoteReference w:id="2"/>
      </w:r>
      <w:r>
        <w:t xml:space="preserve"> </w:t>
      </w:r>
      <w:r>
        <w:t xml:space="preserve">Our work has benefited from </w:t>
      </w:r>
      <w:r w:rsidRPr="00AF3490">
        <w:t xml:space="preserve">funding and </w:t>
      </w:r>
      <w:r>
        <w:t>some</w:t>
      </w:r>
      <w:r w:rsidRPr="00AF3490">
        <w:t xml:space="preserve"> engagement with </w:t>
      </w:r>
      <w:r>
        <w:t xml:space="preserve">specific </w:t>
      </w:r>
      <w:r w:rsidRPr="00AF3490">
        <w:t>HMG teams.</w:t>
      </w:r>
    </w:p>
    <w:p w:rsidR="00293E79" w:rsidRPr="009A0000" w:rsidP="009A0000">
      <w:pPr>
        <w:pStyle w:val="Heading2"/>
      </w:pPr>
      <w:r w:rsidRPr="009A0000">
        <w:t>Summary</w:t>
      </w:r>
    </w:p>
    <w:p w:rsidR="00293E79" w:rsidRPr="009A0000" w:rsidP="009A0000">
      <w:pPr>
        <w:pStyle w:val="ListParagraph"/>
        <w:numPr>
          <w:ilvl w:val="0"/>
          <w:numId w:val="1"/>
        </w:numPr>
      </w:pPr>
      <w:r w:rsidRPr="009A0000">
        <w:t>We respond only to the Committee's questions on the factors shaping Russia's risk calculus, and on whether the Government is targeting the right places in the right ways. Our central point is that current UK thinking on deterrence – as reflected in the framing of “costs and constraints”, risk calculus, and denial versus punishment – rests on an implicit assumption that adversary decision-making is instrumental: that behaviour changes when the material costs of action are raised, or the material benefits red</w:t>
      </w:r>
      <w:r w:rsidRPr="009A0000">
        <w:t>uced. A substantial body of evidence shows this assumption does not hold once a value is perceived as sacred, rather than merely important. We recommend the Committee explicitly test which elements of Russian strategic behaviour are values-driven rather than cost-driven, since the two require different, and sometimes opposite, responses.</w:t>
      </w:r>
    </w:p>
    <w:p w:rsidR="00293E79" w:rsidRPr="009A0000" w:rsidP="009A0000">
      <w:pPr>
        <w:pStyle w:val="Heading2"/>
      </w:pPr>
      <w:r w:rsidRPr="009A0000">
        <w:t>Russia’s risk calculus: beyond a material cost-benefit model</w:t>
      </w:r>
    </w:p>
    <w:p w:rsidR="00293E79" w:rsidRPr="009A0000" w:rsidP="009A0000">
      <w:pPr>
        <w:pStyle w:val="ListParagraph"/>
        <w:numPr>
          <w:ilvl w:val="0"/>
          <w:numId w:val="1"/>
        </w:numPr>
      </w:pPr>
      <w:r w:rsidRPr="009A0000">
        <w:t>Deterrence by denial and deterrence by punishment are both, in essence, instrumental strategies: they work by altering an adversary’s calculation of the costs, risks or achievable benefits of an action. This assumes the adversary is weighing options on a single, tradeable scale.</w:t>
      </w:r>
    </w:p>
    <w:p w:rsidR="00293E79" w:rsidP="009A0000">
      <w:pPr>
        <w:pStyle w:val="ListParagraph"/>
        <w:numPr>
          <w:ilvl w:val="0"/>
          <w:numId w:val="1"/>
        </w:numPr>
      </w:pPr>
      <w:r w:rsidRPr="009A0000">
        <w:t xml:space="preserve">Research on sacred values indicates that when a value, territory or grievance is held as sacred rather than instrumental, this assumption breaks down. Adherents to sacred values show insensitivity to material incentives and disincentives alike: in some studies, the offer of economic benefit and the threat of sanctions produced statistically identical, and identically negative, responses. </w:t>
      </w:r>
      <w:r w:rsidRPr="009A0000">
        <w:t>Offering cost or reward for concession over a sacred value is registered not as persuasion but as insult and can produce an outrage-driven ‘backfire effect’, specifically greater entrenchment, anger and willingness to escalate.</w:t>
      </w:r>
    </w:p>
    <w:p w:rsidR="00293E79" w:rsidRPr="009A0000" w:rsidP="009A0000">
      <w:pPr>
        <w:pStyle w:val="ListParagraph"/>
        <w:numPr>
          <w:ilvl w:val="0"/>
          <w:numId w:val="1"/>
        </w:numPr>
      </w:pPr>
      <w:r>
        <w:t>Adherence to sacred values doesn’t just affect choices and behaviour, it also</w:t>
      </w:r>
      <w:r>
        <w:t xml:space="preserve"> affects brain function. In fMRI studies, when considering sacred values</w:t>
      </w:r>
      <w:r>
        <w:t xml:space="preserve"> participants were shown to use a different region of the brain, than when considering instrumental values.</w:t>
      </w:r>
      <w:r>
        <w:rPr>
          <w:rStyle w:val="FootnoteReference"/>
        </w:rPr>
        <w:footnoteReference w:id="3"/>
      </w:r>
      <w:r>
        <w:t xml:space="preserve"> We literally think differently when considering sacred values.</w:t>
      </w:r>
      <w:r>
        <w:t xml:space="preserve"> </w:t>
      </w:r>
    </w:p>
    <w:p w:rsidR="00293E79" w:rsidRPr="009A0000" w:rsidP="009A0000">
      <w:pPr>
        <w:pStyle w:val="ListParagraph"/>
        <w:numPr>
          <w:ilvl w:val="0"/>
          <w:numId w:val="1"/>
        </w:numPr>
      </w:pPr>
      <w:r w:rsidRPr="009A0000">
        <w:t>This matters directly for the Committee’s questions regarding Russia. Where Russian aggression is motivated by material or bureaucratic interest (e.g., resource access), a costs-and-constraints approach should function broadly as intended. But where action is tied to values treated as sacred – for example a self-conception of civilisational superiority, historical grievance and territorial ‘return’, or interpretations of NATO enlargement as existential encroachment – our evidence suggests sanctions and cost</w:t>
      </w:r>
      <w:r w:rsidRPr="009A0000">
        <w:t>-imposition may not only fail to deter but could entrench the very behaviour they are meant to constrain, particularly where domestic ritual, rhetoric and identity-fusion reinforce these values.</w:t>
      </w:r>
    </w:p>
    <w:p w:rsidR="00293E79" w:rsidRPr="009A0000" w:rsidP="009A0000">
      <w:pPr>
        <w:pStyle w:val="ListParagraph"/>
        <w:numPr>
          <w:ilvl w:val="0"/>
          <w:numId w:val="1"/>
        </w:numPr>
      </w:pPr>
      <w:r w:rsidRPr="009A0000">
        <w:t>The literature also indicates that where sacred values are in play, holders consistently misjudge their relative material strength against stronger adversaries, and are less swayed by arguments about the likely success or failure of an action. This is a specific risk within a deterrence-by-punishment framing: demonstrations of NATO’s material superiority may carry less weight than assumed if elements of Russian risk-taking are value, rather than capability, driven.</w:t>
      </w:r>
    </w:p>
    <w:p w:rsidR="00293E79" w:rsidRPr="009A0000" w:rsidP="009A0000">
      <w:pPr>
        <w:pStyle w:val="Heading2"/>
      </w:pPr>
      <w:r w:rsidRPr="009A0000">
        <w:t>Is the Government targeting the right places, in the right ways?</w:t>
      </w:r>
    </w:p>
    <w:p w:rsidR="00293E79" w:rsidRPr="009A0000" w:rsidP="009A0000">
      <w:pPr>
        <w:pStyle w:val="ListParagraph"/>
        <w:numPr>
          <w:ilvl w:val="0"/>
          <w:numId w:val="1"/>
        </w:numPr>
      </w:pPr>
      <w:r w:rsidRPr="009A0000">
        <w:t>On current evidence, we cannot say definitively that the Government’s targeting is wrong, but we can say it is very likely incomplete, since it does not appear to distinguish between value types before applying cost-based tools.</w:t>
      </w:r>
    </w:p>
    <w:p w:rsidR="00293E79" w:rsidRPr="009A0000" w:rsidP="009A0000">
      <w:pPr>
        <w:pStyle w:val="ListParagraph"/>
        <w:numPr>
          <w:ilvl w:val="0"/>
          <w:numId w:val="1"/>
        </w:numPr>
      </w:pPr>
      <w:r w:rsidRPr="009A0000">
        <w:t>We recommend the Committee ask the Government whether current assessments of Russian decision-making differentiate between: (a) instrumental, negotiable interests, where cost-and-constraint tools apply well; and (b) values treated as sacred or non-negotiable, where different tools are needed.</w:t>
      </w:r>
    </w:p>
    <w:p w:rsidR="00293E79" w:rsidRPr="009A0000" w:rsidP="009A0000">
      <w:pPr>
        <w:pStyle w:val="ListParagraph"/>
        <w:numPr>
          <w:ilvl w:val="0"/>
          <w:numId w:val="1"/>
        </w:numPr>
      </w:pPr>
      <w:r w:rsidRPr="009A0000">
        <w:t xml:space="preserve">Where sacred values are in play, the research evidence suggests two adjustments. First, symbolic recognition of a value (without conceding the substantive policy position) can reduce the outrage that fuels escalation, and </w:t>
      </w:r>
      <w:r w:rsidRPr="009A0000">
        <w:t>can open space for later, separate, material negotiation, but only once the value itself is no longer perceived to be under active threat. Second, the Government should test rather than assume the sincerity of claimed sacred grievances: not all invoked Russian ‘sacred’ grievances are genuine or fixed, and some may be strategically deployed for domestic legitimacy or negotiating leverage rather than sincerely held. Reframing or shifting the context of such a claim can reduce its salience over time.</w:t>
      </w:r>
    </w:p>
    <w:p w:rsidR="00293E79" w:rsidRPr="009A0000" w:rsidP="009A0000">
      <w:pPr>
        <w:pStyle w:val="ListParagraph"/>
        <w:numPr>
          <w:ilvl w:val="0"/>
          <w:numId w:val="1"/>
        </w:numPr>
      </w:pPr>
      <w:r w:rsidRPr="009A0000">
        <w:t>We are not suggesting sacred values dominate Russian decision-making, nor that cost-and-constraint approaches should be abandoned. The evidence is genuinely mixed and under-tested for state-to-state contexts of this kind. Our point is narrower: the current framework does not appear to test for this distinction at all, and doing so is a low-cost addition to existing analytical processes.</w:t>
      </w:r>
    </w:p>
    <w:p w:rsidR="00293E79" w:rsidRPr="009A0000" w:rsidP="009A0000">
      <w:pPr>
        <w:pStyle w:val="Heading2"/>
      </w:pPr>
      <w:r w:rsidRPr="009A0000">
        <w:t>Recommendation</w:t>
      </w:r>
    </w:p>
    <w:p w:rsidR="00293E79" w:rsidRPr="009A0000" w:rsidP="009A0000">
      <w:pPr>
        <w:pStyle w:val="ListParagraph"/>
        <w:numPr>
          <w:ilvl w:val="0"/>
          <w:numId w:val="1"/>
        </w:numPr>
      </w:pPr>
      <w:r w:rsidRPr="009A0000">
        <w:t>We recommend the Committee ask the Government to set out how its current assessment of Russia’s risk calculus accounts for non-material, values-based motivations distinct from cost-benefit reasoning, and whether its deterrence toolkit is calibrated to avoid inadvertently triggering backfire effects where sacred values, rather than material interests, are engaged.</w:t>
      </w:r>
    </w:p>
    <w:p w:rsidR="00293E79" w:rsidRPr="0009552F">
      <w:pPr>
        <w:rPr>
          <w:i/>
          <w:iCs/>
        </w:rPr>
      </w:pPr>
      <w:r w:rsidRPr="0009552F">
        <w:rPr>
          <w:i/>
          <w:iCs/>
        </w:rPr>
        <w:t>8 July 2026</w:t>
      </w:r>
    </w:p>
    <w:sectPr w:rsidSect="009A0000">
      <w:headerReference w:type="default" r:id="rId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93E79" w:rsidP="00BD52E6">
      <w:pPr>
        <w:spacing w:after="0" w:line="240" w:lineRule="auto"/>
      </w:pPr>
      <w:r>
        <w:separator/>
      </w:r>
    </w:p>
  </w:footnote>
  <w:footnote w:type="continuationSeparator" w:id="1">
    <w:p w:rsidR="00293E79" w:rsidP="00BD52E6">
      <w:pPr>
        <w:spacing w:after="0" w:line="240" w:lineRule="auto"/>
      </w:pPr>
      <w:r>
        <w:continuationSeparator/>
      </w:r>
    </w:p>
  </w:footnote>
  <w:footnote w:id="2">
    <w:p w:rsidR="00293E79">
      <w:pPr>
        <w:pStyle w:val="FootnoteText"/>
      </w:pPr>
      <w:r>
        <w:rPr>
          <w:rStyle w:val="FootnoteReference"/>
        </w:rPr>
        <w:footnoteRef/>
      </w:r>
      <w:r>
        <w:t xml:space="preserve"> </w:t>
      </w:r>
      <w:r>
        <w:t xml:space="preserve">Francis, M. &amp; Slocombe, B. (2024) </w:t>
      </w:r>
      <w:r w:rsidRPr="006659CC">
        <w:rPr>
          <w:i/>
          <w:iCs/>
        </w:rPr>
        <w:t>Sacred Values: A Research Assessment</w:t>
      </w:r>
      <w:r>
        <w:t>.</w:t>
      </w:r>
      <w:r w:rsidRPr="006659CC">
        <w:t xml:space="preserve"> </w:t>
      </w:r>
      <w:r>
        <w:t>A</w:t>
      </w:r>
      <w:r w:rsidRPr="006659CC">
        <w:t>vailable upon request</w:t>
      </w:r>
      <w:r>
        <w:t>.</w:t>
      </w:r>
    </w:p>
  </w:footnote>
  <w:footnote w:id="3">
    <w:p w:rsidR="00293E79" w:rsidP="009D0F77">
      <w:pPr>
        <w:pStyle w:val="FootnoteText"/>
      </w:pPr>
      <w:r>
        <w:rPr>
          <w:rStyle w:val="FootnoteReference"/>
        </w:rPr>
        <w:footnoteRef/>
      </w:r>
      <w:r>
        <w:t xml:space="preserve"> Berns, G., Bell, E., Capra, C. M., Prietula, M., Moore, S., Anderson, B., Ginges, J., &amp; Atran, S. (2012). The Price of Your Soul: Neural Evidence for the Non-Utilitarian Representation of Sacred Values.</w:t>
      </w:r>
    </w:p>
    <w:p w:rsidR="00293E79" w:rsidP="009D0F77">
      <w:pPr>
        <w:pStyle w:val="FootnoteText"/>
      </w:pPr>
      <w:r w:rsidRPr="006D5CE8">
        <w:rPr>
          <w:i/>
          <w:iCs/>
        </w:rPr>
        <w:t>Philosophical Transactions of the Royal Society of London. Series B, Biological Sciences</w:t>
      </w:r>
      <w:r>
        <w:t>, 367, 754–</w:t>
      </w:r>
    </w:p>
    <w:p w:rsidR="00293E79" w:rsidP="009D0F77">
      <w:pPr>
        <w:pStyle w:val="FootnoteText"/>
      </w:pPr>
      <w:r>
        <w:t>762. https://doi.org/10.1098/rstb.2011.0262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52F" w:rsidRPr="00B73325" w:rsidP="0009552F">
    <w:pPr>
      <w:pStyle w:val="Header"/>
      <w:jc w:val="right"/>
      <w:rPr>
        <w:rFonts w:ascii="Arial" w:hAnsi="Arial" w:cs="Arial"/>
        <w:sz w:val="22"/>
        <w:szCs w:val="22"/>
      </w:rPr>
    </w:pPr>
    <w:r w:rsidRPr="00B73325">
      <w:rPr>
        <w:rFonts w:ascii="Arial" w:hAnsi="Arial" w:cs="Arial"/>
        <w:sz w:val="22"/>
        <w:szCs w:val="22"/>
      </w:rPr>
      <w:t>RUS0008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60811"/>
    <w:multiLevelType w:val="hybridMultilevel"/>
    <w:tmpl w:val="6B24D5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18767B"/>
    <w:multiLevelType w:val="hybridMultilevel"/>
    <w:tmpl w:val="5FA25A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08C0334"/>
    <w:multiLevelType w:val="hybridMultilevel"/>
    <w:tmpl w:val="F3D4B2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4211A34"/>
    <w:multiLevelType w:val="hybridMultilevel"/>
    <w:tmpl w:val="D6700B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CC879C8"/>
    <w:multiLevelType w:val="hybridMultilevel"/>
    <w:tmpl w:val="539052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A0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0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0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000"/>
    <w:rPr>
      <w:rFonts w:eastAsiaTheme="majorEastAsia" w:cstheme="majorBidi"/>
      <w:color w:val="272727" w:themeColor="text1" w:themeTint="D8"/>
    </w:rPr>
  </w:style>
  <w:style w:type="paragraph" w:styleId="Title">
    <w:name w:val="Title"/>
    <w:basedOn w:val="Normal"/>
    <w:next w:val="Normal"/>
    <w:link w:val="TitleChar"/>
    <w:uiPriority w:val="10"/>
    <w:qFormat/>
    <w:rsid w:val="009A0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000"/>
    <w:pPr>
      <w:spacing w:before="160"/>
      <w:jc w:val="center"/>
    </w:pPr>
    <w:rPr>
      <w:i/>
      <w:iCs/>
      <w:color w:val="404040" w:themeColor="text1" w:themeTint="BF"/>
    </w:rPr>
  </w:style>
  <w:style w:type="character" w:customStyle="1" w:styleId="QuoteChar">
    <w:name w:val="Quote Char"/>
    <w:basedOn w:val="DefaultParagraphFont"/>
    <w:link w:val="Quote"/>
    <w:uiPriority w:val="29"/>
    <w:rsid w:val="009A0000"/>
    <w:rPr>
      <w:i/>
      <w:iCs/>
      <w:color w:val="404040" w:themeColor="text1" w:themeTint="BF"/>
    </w:rPr>
  </w:style>
  <w:style w:type="paragraph" w:styleId="ListParagraph">
    <w:name w:val="List Paragraph"/>
    <w:basedOn w:val="Normal"/>
    <w:uiPriority w:val="34"/>
    <w:qFormat/>
    <w:rsid w:val="009A0000"/>
    <w:pPr>
      <w:ind w:left="720"/>
      <w:contextualSpacing/>
    </w:pPr>
  </w:style>
  <w:style w:type="character" w:styleId="IntenseEmphasis">
    <w:name w:val="Intense Emphasis"/>
    <w:basedOn w:val="DefaultParagraphFont"/>
    <w:uiPriority w:val="21"/>
    <w:qFormat/>
    <w:rsid w:val="009A0000"/>
    <w:rPr>
      <w:i/>
      <w:iCs/>
      <w:color w:val="0F4761" w:themeColor="accent1" w:themeShade="BF"/>
    </w:rPr>
  </w:style>
  <w:style w:type="paragraph" w:styleId="IntenseQuote">
    <w:name w:val="Intense Quote"/>
    <w:basedOn w:val="Normal"/>
    <w:next w:val="Normal"/>
    <w:link w:val="IntenseQuoteChar"/>
    <w:uiPriority w:val="30"/>
    <w:qFormat/>
    <w:rsid w:val="009A0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000"/>
    <w:rPr>
      <w:i/>
      <w:iCs/>
      <w:color w:val="0F4761" w:themeColor="accent1" w:themeShade="BF"/>
    </w:rPr>
  </w:style>
  <w:style w:type="character" w:styleId="IntenseReference">
    <w:name w:val="Intense Reference"/>
    <w:basedOn w:val="DefaultParagraphFont"/>
    <w:uiPriority w:val="32"/>
    <w:qFormat/>
    <w:rsid w:val="009A0000"/>
    <w:rPr>
      <w:b/>
      <w:bCs/>
      <w:smallCaps/>
      <w:color w:val="0F4761" w:themeColor="accent1" w:themeShade="BF"/>
      <w:spacing w:val="5"/>
    </w:rPr>
  </w:style>
  <w:style w:type="paragraph" w:styleId="FootnoteText">
    <w:name w:val="footnote text"/>
    <w:basedOn w:val="Normal"/>
    <w:link w:val="FootnoteTextChar"/>
    <w:uiPriority w:val="99"/>
    <w:semiHidden/>
    <w:unhideWhenUsed/>
    <w:rsid w:val="00BD52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52E6"/>
    <w:rPr>
      <w:sz w:val="20"/>
      <w:szCs w:val="20"/>
    </w:rPr>
  </w:style>
  <w:style w:type="character" w:styleId="FootnoteReference">
    <w:name w:val="footnote reference"/>
    <w:basedOn w:val="DefaultParagraphFont"/>
    <w:uiPriority w:val="99"/>
    <w:semiHidden/>
    <w:unhideWhenUsed/>
    <w:rsid w:val="00BD52E6"/>
    <w:rPr>
      <w:vertAlign w:val="superscript"/>
    </w:rPr>
  </w:style>
  <w:style w:type="paragraph" w:styleId="Header">
    <w:name w:val="header"/>
    <w:basedOn w:val="Normal"/>
    <w:link w:val="HeaderChar"/>
    <w:uiPriority w:val="99"/>
    <w:unhideWhenUsed/>
    <w:rsid w:val="000955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52F"/>
  </w:style>
  <w:style w:type="paragraph" w:styleId="Footer">
    <w:name w:val="footer"/>
    <w:basedOn w:val="Normal"/>
    <w:link w:val="FooterChar"/>
    <w:uiPriority w:val="99"/>
    <w:unhideWhenUsed/>
    <w:rsid w:val="000955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7907aa-61dd-4361-a1c7-2177be7ef5ea">
      <Terms xmlns="http://schemas.microsoft.com/office/infopath/2007/PartnerControls"/>
    </lcf76f155ced4ddcb4097134ff3c332f>
    <TaxCatchAll xmlns="ed779eea-0ffa-4a2c-8e21-0ffd00ea57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0D5CDB2666364D963169A70EE4B25E" ma:contentTypeVersion="11" ma:contentTypeDescription="Create a new document." ma:contentTypeScope="" ma:versionID="0de9ee30d5f94574ffa7729050b63328">
  <xsd:schema xmlns:xsd="http://www.w3.org/2001/XMLSchema" xmlns:xs="http://www.w3.org/2001/XMLSchema" xmlns:p="http://schemas.microsoft.com/office/2006/metadata/properties" xmlns:ns2="437907aa-61dd-4361-a1c7-2177be7ef5ea" xmlns:ns3="ed779eea-0ffa-4a2c-8e21-0ffd00ea5718" targetNamespace="http://schemas.microsoft.com/office/2006/metadata/properties" ma:root="true" ma:fieldsID="761774d5c231279a0f2c1fc885a5ff9a" ns2:_="" ns3:_="">
    <xsd:import namespace="437907aa-61dd-4361-a1c7-2177be7ef5ea"/>
    <xsd:import namespace="ed779eea-0ffa-4a2c-8e21-0ffd00ea57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907aa-61dd-4361-a1c7-2177be7ef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79eea-0ffa-4a2c-8e21-0ffd00ea57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271961-4fbb-4a18-ad42-a9e7d7e86133}" ma:internalName="TaxCatchAll" ma:showField="CatchAllData" ma:web="ed779eea-0ffa-4a2c-8e21-0ffd00ea57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99F73EB-F390-4B7E-8B26-C6376BBF8C44}">
  <ds:schemaRefs>
    <ds:schemaRef ds:uri="http://schemas.microsoft.com/office/2006/metadata/properties"/>
    <ds:schemaRef ds:uri="http://schemas.microsoft.com/office/infopath/2007/PartnerControls"/>
    <ds:schemaRef ds:uri="437907aa-61dd-4361-a1c7-2177be7ef5ea"/>
    <ds:schemaRef ds:uri="ed779eea-0ffa-4a2c-8e21-0ffd00ea5718"/>
  </ds:schemaRefs>
</ds:datastoreItem>
</file>

<file path=customXml/itemProps2.xml><?xml version="1.0" encoding="utf-8"?>
<ds:datastoreItem xmlns:ds="http://schemas.openxmlformats.org/officeDocument/2006/customXml" ds:itemID="{C252A145-38CB-47A3-B1D6-5B3CE141AC22}">
  <ds:schemaRefs>
    <ds:schemaRef ds:uri="http://schemas.microsoft.com/sharepoint/v3/contenttype/forms"/>
  </ds:schemaRefs>
</ds:datastoreItem>
</file>

<file path=customXml/itemProps3.xml><?xml version="1.0" encoding="utf-8"?>
<ds:datastoreItem xmlns:ds="http://schemas.openxmlformats.org/officeDocument/2006/customXml" ds:itemID="{C748B3E8-57AB-474A-BFFE-FD282DBFF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907aa-61dd-4361-a1c7-2177be7ef5ea"/>
    <ds:schemaRef ds:uri="ed779eea-0ffa-4a2c-8e21-0ffd00ea5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05BA57-C25E-0B4D-B33E-8CCF6F57728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RUS0008</dc:title>
  <cp:revision>0</cp:revision>
</cp:coreProperties>
</file>