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76B7" w:rsidRPr="006C6E61" w:rsidP="00387426">
      <w:pPr>
        <w:jc w:val="center"/>
        <w:rPr>
          <w:b/>
          <w:bCs/>
        </w:rPr>
      </w:pPr>
      <w:r w:rsidRPr="006C6E61">
        <w:rPr>
          <w:b/>
          <w:bCs/>
        </w:rPr>
        <w:t>Written evidence submitted by Paul van Hooft, Jacob Parakilas, John Kennedy, Stuart Dee and James Black</w:t>
      </w:r>
      <w:r w:rsidRPr="006C6E61">
        <w:rPr>
          <w:b/>
          <w:bCs/>
        </w:rPr>
        <w:t>,</w:t>
      </w:r>
      <w:r>
        <w:rPr>
          <w:rStyle w:val="FootnoteReference"/>
          <w:b/>
          <w:bCs/>
        </w:rPr>
        <w:footnoteReference w:id="2"/>
      </w:r>
      <w:r w:rsidRPr="006C6E61">
        <w:rPr>
          <w:b/>
          <w:bCs/>
        </w:rPr>
        <w:t xml:space="preserve"> RAND Europe</w:t>
      </w:r>
      <w:r>
        <w:rPr>
          <w:rStyle w:val="FootnoteReference"/>
          <w:b/>
          <w:bCs/>
        </w:rPr>
        <w:footnoteReference w:id="3"/>
      </w:r>
    </w:p>
    <w:p w:rsidR="007776B7" w:rsidRPr="008226CC" w:rsidP="008226CC">
      <w:r w:rsidRPr="00387426">
        <w:rPr>
          <w:b/>
          <w:bCs/>
        </w:rPr>
        <w:t>About RAND Europe</w:t>
      </w:r>
    </w:p>
    <w:p w:rsidR="007776B7" w:rsidP="006561DC">
      <w:r>
        <w:fldChar w:fldCharType="begin"/>
      </w:r>
      <w:r>
        <w:instrText xml:space="preserve"> HYPERLINK "https://www.rand.org/randeurope.html" </w:instrText>
      </w:r>
      <w:r>
        <w:fldChar w:fldCharType="separate"/>
      </w:r>
      <w:r w:rsidRPr="008F4859">
        <w:rPr>
          <w:rStyle w:val="Hyperlink"/>
        </w:rPr>
        <w:t>RAND Europe</w:t>
      </w:r>
      <w:r>
        <w:fldChar w:fldCharType="end"/>
      </w:r>
      <w:r w:rsidRPr="006561DC">
        <w:t xml:space="preserve"> is a no</w:t>
      </w:r>
      <w:r>
        <w:t>n</w:t>
      </w:r>
      <w:r w:rsidRPr="006561DC">
        <w:t xml:space="preserve">-profit research </w:t>
      </w:r>
      <w:r>
        <w:t>institute</w:t>
      </w:r>
      <w:r w:rsidRPr="006561DC">
        <w:t xml:space="preserve"> with a mission to improve governmental strategy, policy and decision making through research, wargaming, and analysis. Globally, RAND is the world’s largest non-profit </w:t>
      </w:r>
      <w:r>
        <w:t xml:space="preserve">policy </w:t>
      </w:r>
      <w:r w:rsidRPr="006561DC">
        <w:t>research organisation</w:t>
      </w:r>
      <w:r>
        <w:t>,</w:t>
      </w:r>
      <w:r w:rsidRPr="006561DC">
        <w:t xml:space="preserve"> with offices in the United Kingdom, Belgium and the Netherlands</w:t>
      </w:r>
      <w:r>
        <w:t>, as well as Australia and the United States</w:t>
      </w:r>
      <w:r w:rsidRPr="006561DC">
        <w:t xml:space="preserve">. RAND has </w:t>
      </w:r>
      <w:r>
        <w:t>80</w:t>
      </w:r>
      <w:r w:rsidRPr="006561DC">
        <w:t xml:space="preserve"> years of experience conducting government-sponsored research across a range of policy areas, including defence, foreign policy, health, education, climate, i</w:t>
      </w:r>
      <w:r w:rsidRPr="006561DC">
        <w:t>nnovation and emerging technology</w:t>
      </w:r>
      <w:r>
        <w:t xml:space="preserve">. </w:t>
      </w:r>
    </w:p>
    <w:p w:rsidR="007776B7" w:rsidP="006561DC">
      <w:r>
        <w:t xml:space="preserve">RAND is perhaps most well-known for its pioneering work developing deterrence theory, which continues to this day, including via the RAND Europe Deterrence Initiative (REDI). This includes recent and ongoing deterrence research for the UK Ministry of Defence, the Defence Nuclear Organisation, the Defence Science and Technology Laboratory, the Foreign, Commonwealth and Development Office, and other allied governments and militaries, as well as research and wargaming supporting the government of Ukraine. </w:t>
      </w:r>
    </w:p>
    <w:p w:rsidR="007776B7" w:rsidP="006561DC">
      <w:pPr>
        <w:rPr>
          <w:b/>
          <w:bCs/>
        </w:rPr>
      </w:pPr>
      <w:r>
        <w:rPr>
          <w:b/>
          <w:bCs/>
        </w:rPr>
        <w:t>Summary</w:t>
      </w:r>
    </w:p>
    <w:p w:rsidR="007776B7" w:rsidP="00813AB8">
      <w:r>
        <w:t xml:space="preserve">The UK retains a sovereign strategic nuclear deterrent and highly capable, if increasingly small and readiness-challenged, conventional forces, </w:t>
      </w:r>
      <w:r>
        <w:t xml:space="preserve">as well as </w:t>
      </w:r>
      <w:r>
        <w:t>the ability to leverage alliances such as NATO and partnerships such as with Ukraine to achieve an outsized deterrent effect on Russia. At the same time, there are critical gaps, especially in the context of the need to reduce reliance on the United States for extended nuclear deterrence and for many of the strategic enablers on which NATO plans depend.</w:t>
      </w:r>
    </w:p>
    <w:p w:rsidR="007776B7" w:rsidP="00813AB8">
      <w:r>
        <w:t>Th</w:t>
      </w:r>
      <w:r>
        <w:t>is</w:t>
      </w:r>
      <w:r>
        <w:t xml:space="preserve"> evidence submission from RAND Europe stresses the need for the UK and its European allies to also address the oft-overlooked conceptual and moral components of our deterrence posture</w:t>
      </w:r>
      <w:r>
        <w:t>. This means</w:t>
      </w:r>
      <w:r>
        <w:t xml:space="preserve"> rebuilding </w:t>
      </w:r>
      <w:r>
        <w:t>‘</w:t>
      </w:r>
      <w:r>
        <w:t>Deterrence IQ</w:t>
      </w:r>
      <w:r>
        <w:t>’</w:t>
      </w:r>
      <w:r>
        <w:t xml:space="preserve">, communicating resolve, </w:t>
      </w:r>
      <w:r>
        <w:t>and developing a long-term deterrence campaign for Russia based on a robust</w:t>
      </w:r>
      <w:r>
        <w:t xml:space="preserve"> empirical</w:t>
      </w:r>
      <w:r>
        <w:t xml:space="preserve"> assessment of Russia’s strategic culture, how its leaders think, what they fear, and how the UK and others can apply pressure in ways that deliver maximum deterrent effect whilst managing escalation. </w:t>
      </w:r>
    </w:p>
    <w:p w:rsidR="007776B7" w:rsidP="00813AB8">
      <w:pPr>
        <w:keepNext/>
        <w:rPr>
          <w:b/>
          <w:bCs/>
        </w:rPr>
      </w:pPr>
      <w:r>
        <w:rPr>
          <w:b/>
          <w:bCs/>
        </w:rPr>
        <w:t xml:space="preserve">Introduction: Tenets of effective deterrence </w:t>
      </w:r>
    </w:p>
    <w:p w:rsidR="007776B7" w:rsidP="002F590B">
      <w:r>
        <w:t>To understand the strengths and weakness of the UK’s overarching deterrence posture</w:t>
      </w:r>
      <w:r>
        <w:t xml:space="preserve"> towards Russia</w:t>
      </w:r>
      <w:r>
        <w:t>, we should start with the traditional formula of what constitutes deterrence</w:t>
      </w:r>
      <w:r>
        <w:t xml:space="preserve">. </w:t>
      </w:r>
      <w:r>
        <w:t>In that conception</w:t>
      </w:r>
      <w:r>
        <w:t xml:space="preserve">, </w:t>
      </w:r>
      <w:r>
        <w:t>a deterring actor needs</w:t>
      </w:r>
      <w:r>
        <w:t xml:space="preserve"> three elements:</w:t>
      </w:r>
      <w:r>
        <w:t xml:space="preserve"> </w:t>
      </w:r>
    </w:p>
    <w:p w:rsidR="007776B7" w:rsidP="00387426">
      <w:pPr>
        <w:pStyle w:val="ListParagraph"/>
        <w:numPr>
          <w:ilvl w:val="0"/>
          <w:numId w:val="9"/>
        </w:numPr>
      </w:pPr>
      <w:r>
        <w:t>C</w:t>
      </w:r>
      <w:r>
        <w:t>apability to</w:t>
      </w:r>
      <w:r>
        <w:t xml:space="preserve"> inflict costs</w:t>
      </w:r>
      <w:r>
        <w:t xml:space="preserve"> </w:t>
      </w:r>
      <w:r>
        <w:t xml:space="preserve">that are greater than the benefits of the action; </w:t>
      </w:r>
    </w:p>
    <w:p w:rsidR="007776B7" w:rsidP="00387426">
      <w:pPr>
        <w:pStyle w:val="ListParagraph"/>
        <w:numPr>
          <w:ilvl w:val="0"/>
          <w:numId w:val="9"/>
        </w:numPr>
      </w:pPr>
      <w:r>
        <w:t>R</w:t>
      </w:r>
      <w:r>
        <w:t xml:space="preserve">esolve to inflict </w:t>
      </w:r>
      <w:r>
        <w:t xml:space="preserve">those </w:t>
      </w:r>
      <w:r>
        <w:t>costs</w:t>
      </w:r>
      <w:r>
        <w:t xml:space="preserve">; and </w:t>
      </w:r>
    </w:p>
    <w:p w:rsidR="007776B7" w:rsidP="00387426">
      <w:pPr>
        <w:pStyle w:val="ListParagraph"/>
        <w:numPr>
          <w:ilvl w:val="0"/>
          <w:numId w:val="9"/>
        </w:numPr>
      </w:pPr>
      <w:r>
        <w:t>C</w:t>
      </w:r>
      <w:r>
        <w:t xml:space="preserve">ommunication of </w:t>
      </w:r>
      <w:r>
        <w:t xml:space="preserve">that </w:t>
      </w:r>
      <w:r>
        <w:t>Capability and Resolve</w:t>
      </w:r>
      <w:r>
        <w:t xml:space="preserve">. </w:t>
      </w:r>
    </w:p>
    <w:p w:rsidR="007776B7" w:rsidP="002F590B">
      <w:r>
        <w:t>C</w:t>
      </w:r>
      <w:r>
        <w:t xml:space="preserve">osts can accrue to the adversary </w:t>
      </w:r>
      <w:r>
        <w:t>in</w:t>
      </w:r>
      <w:r>
        <w:t xml:space="preserve"> two</w:t>
      </w:r>
      <w:r>
        <w:t xml:space="preserve"> distinct ways. Deterrence by </w:t>
      </w:r>
      <w:r>
        <w:t xml:space="preserve">Denial strategies </w:t>
      </w:r>
      <w:r>
        <w:t>seek to raise the</w:t>
      </w:r>
      <w:r>
        <w:t xml:space="preserve"> perceived</w:t>
      </w:r>
      <w:r>
        <w:t xml:space="preserve"> </w:t>
      </w:r>
      <w:r>
        <w:t xml:space="preserve">material, human, and/or financial </w:t>
      </w:r>
      <w:r>
        <w:t>costs of an</w:t>
      </w:r>
      <w:r>
        <w:t xml:space="preserve"> adversary accomplish</w:t>
      </w:r>
      <w:r>
        <w:t>ing</w:t>
      </w:r>
      <w:r>
        <w:t xml:space="preserve"> their goals</w:t>
      </w:r>
      <w:r>
        <w:t xml:space="preserve"> to an unacceptable level</w:t>
      </w:r>
      <w:r>
        <w:t>, while Deterrence by</w:t>
      </w:r>
      <w:r>
        <w:t xml:space="preserve"> Punishment strategies </w:t>
      </w:r>
      <w:r>
        <w:t xml:space="preserve">rely on a state’s </w:t>
      </w:r>
      <w:r>
        <w:t xml:space="preserve">perceived </w:t>
      </w:r>
      <w:r>
        <w:t>ability to damage or destroy an adversary’s most valued assets if it continues to pursue its unwanted actions</w:t>
      </w:r>
      <w:r>
        <w:t>.</w:t>
      </w:r>
      <w:r>
        <w:t xml:space="preserve"> </w:t>
      </w:r>
      <w:r>
        <w:t>Arguably, communicating the resolve to punish unwanted actions in the future is more difficult than communic</w:t>
      </w:r>
      <w:r>
        <w:t>ating the resolve to raise costs immediately through denial.</w:t>
      </w:r>
    </w:p>
    <w:p w:rsidR="007776B7" w:rsidP="002F590B">
      <w:r>
        <w:t xml:space="preserve">Crucially, what an adversary such as Russia truly values may differ from what the UK itself values – or what the UK </w:t>
      </w:r>
      <w:r w:rsidRPr="00CE0DC1">
        <w:rPr>
          <w:i/>
          <w:iCs/>
        </w:rPr>
        <w:t>thinks</w:t>
      </w:r>
      <w:r>
        <w:t xml:space="preserve"> Russia values</w:t>
      </w:r>
      <w:r>
        <w:t>.</w:t>
      </w:r>
      <w:r>
        <w:t xml:space="preserve"> </w:t>
      </w:r>
      <w:r>
        <w:t>S</w:t>
      </w:r>
      <w:r>
        <w:t>o</w:t>
      </w:r>
      <w:r>
        <w:t>,</w:t>
      </w:r>
      <w:r>
        <w:t xml:space="preserve"> our deterrence approach must be calibrated to Russian strategic culture</w:t>
      </w:r>
      <w:r>
        <w:t>, how their leaders think,</w:t>
      </w:r>
      <w:r>
        <w:t xml:space="preserve"> and what they fear</w:t>
      </w:r>
      <w:r>
        <w:t>, whilst seeking to avoid inadvertent escalation by instilling dread, but not panic, in the Kremlin</w:t>
      </w:r>
      <w:r>
        <w:t>.</w:t>
      </w:r>
      <w:r>
        <w:rPr>
          <w:rStyle w:val="FootnoteReference"/>
        </w:rPr>
        <w:footnoteReference w:id="4"/>
      </w:r>
      <w:r>
        <w:t xml:space="preserve"> </w:t>
      </w:r>
    </w:p>
    <w:p w:rsidR="007776B7" w:rsidP="002F590B">
      <w:r>
        <w:t>In the subsequent sections, we will examine in turn the strengths of the UK’s</w:t>
      </w:r>
      <w:r>
        <w:t xml:space="preserve"> current</w:t>
      </w:r>
      <w:r>
        <w:t xml:space="preserve"> approach; its weaknesses (especially around escalation management); and the need to re-examine from first principles the UK’s deterrent capability specifically vis-à-vis Russia.</w:t>
      </w:r>
    </w:p>
    <w:p w:rsidR="007776B7" w:rsidRPr="00387426" w:rsidP="00387426">
      <w:pPr>
        <w:rPr>
          <w:b/>
          <w:bCs/>
        </w:rPr>
      </w:pPr>
      <w:r w:rsidRPr="00387426">
        <w:rPr>
          <w:b/>
          <w:bCs/>
        </w:rPr>
        <w:t>Comparative strengths: integration within NATO and the strategic deterrent</w:t>
      </w:r>
    </w:p>
    <w:p w:rsidR="007776B7" w:rsidP="00387426">
      <w:r>
        <w:t xml:space="preserve">As a key </w:t>
      </w:r>
      <w:r>
        <w:t>NATO</w:t>
      </w:r>
      <w:r>
        <w:t xml:space="preserve"> Ally</w:t>
      </w:r>
      <w:r>
        <w:t>, the UK contributes specific</w:t>
      </w:r>
      <w:r>
        <w:t xml:space="preserve"> and significant</w:t>
      </w:r>
      <w:r>
        <w:t xml:space="preserve"> capabilities </w:t>
      </w:r>
      <w:r>
        <w:t>which can impose costs on Russia</w:t>
      </w:r>
      <w:r>
        <w:t>:</w:t>
      </w:r>
    </w:p>
    <w:p w:rsidR="007776B7" w:rsidP="00D266D1">
      <w:pPr>
        <w:pStyle w:val="ListParagraph"/>
        <w:numPr>
          <w:ilvl w:val="0"/>
          <w:numId w:val="2"/>
        </w:numPr>
      </w:pPr>
      <w:r>
        <w:t>The most significant</w:t>
      </w:r>
      <w:r>
        <w:t xml:space="preserve"> deterrent at the highest level of escalation </w:t>
      </w:r>
      <w:r>
        <w:t xml:space="preserve">is of course the UK’s nuclear deterrent, in the form of its </w:t>
      </w:r>
      <w:r w:rsidRPr="00734708">
        <w:rPr>
          <w:i/>
          <w:iCs/>
        </w:rPr>
        <w:t>Vanguard-</w:t>
      </w:r>
      <w:r>
        <w:t>class submarines</w:t>
      </w:r>
      <w:r>
        <w:t>, which form the core of its Continuous At</w:t>
      </w:r>
      <w:r>
        <w:t>-</w:t>
      </w:r>
      <w:r>
        <w:t>Sea Deterrent (CASD)</w:t>
      </w:r>
      <w:r>
        <w:t xml:space="preserve"> through Operation Relentless</w:t>
      </w:r>
      <w:r>
        <w:t xml:space="preserve">. </w:t>
      </w:r>
      <w:r>
        <w:t>In addition to being a sovereign capability</w:t>
      </w:r>
      <w:r>
        <w:t>,</w:t>
      </w:r>
      <w:r>
        <w:rPr>
          <w:rStyle w:val="FootnoteReference"/>
        </w:rPr>
        <w:footnoteReference w:id="5"/>
      </w:r>
      <w:r>
        <w:t xml:space="preserve"> the UK’s CASD is assigned to NATO </w:t>
      </w:r>
      <w:r>
        <w:t xml:space="preserve">(unlike its French counterpart) </w:t>
      </w:r>
      <w:r>
        <w:t xml:space="preserve">and forms part of NATO’s strategic deterrence posture. </w:t>
      </w:r>
      <w:r>
        <w:t xml:space="preserve">As currently conceived, </w:t>
      </w:r>
      <w:r>
        <w:t xml:space="preserve">however, </w:t>
      </w:r>
      <w:r>
        <w:t>CASD represents a tool of last resort, which limits its relevance under the threshold of full-scale war.</w:t>
      </w:r>
      <w:r>
        <w:rPr>
          <w:rStyle w:val="FootnoteReference"/>
        </w:rPr>
        <w:footnoteReference w:id="6"/>
      </w:r>
      <w:r w:rsidRPr="00753C0C">
        <w:rPr>
          <w:vertAlign w:val="superscript"/>
        </w:rPr>
        <w:t>,</w:t>
      </w:r>
      <w:r>
        <w:rPr>
          <w:rStyle w:val="FootnoteReference"/>
        </w:rPr>
        <w:footnoteReference w:id="7"/>
      </w:r>
      <w:r>
        <w:t xml:space="preserve"> </w:t>
      </w:r>
    </w:p>
    <w:p w:rsidR="007776B7" w:rsidP="00E45AAE">
      <w:r>
        <w:t xml:space="preserve">Additionally, the UK can </w:t>
      </w:r>
      <w:r>
        <w:t>impose a limited amount of costs on Russia through conventional</w:t>
      </w:r>
      <w:r>
        <w:t xml:space="preserve"> military</w:t>
      </w:r>
      <w:r>
        <w:t xml:space="preserve"> means</w:t>
      </w:r>
      <w:r>
        <w:t>. The most significant of these include:</w:t>
      </w:r>
    </w:p>
    <w:p w:rsidR="007776B7" w:rsidP="00387426">
      <w:pPr>
        <w:pStyle w:val="ListParagraph"/>
        <w:numPr>
          <w:ilvl w:val="0"/>
          <w:numId w:val="2"/>
        </w:numPr>
      </w:pPr>
      <w:r>
        <w:t>Its fleet of nuclear-powered</w:t>
      </w:r>
      <w:r>
        <w:t xml:space="preserve"> </w:t>
      </w:r>
      <w:r w:rsidRPr="00387426">
        <w:rPr>
          <w:i/>
          <w:iCs/>
        </w:rPr>
        <w:t>Astute</w:t>
      </w:r>
      <w:r>
        <w:t>-class</w:t>
      </w:r>
      <w:r>
        <w:t xml:space="preserve"> attack submarines, which can strike Russian land targets at a distance with conventionally</w:t>
      </w:r>
      <w:r>
        <w:t xml:space="preserve"> </w:t>
      </w:r>
      <w:r>
        <w:t xml:space="preserve">armed cruise missiles, as well as sinking Russian naval vessels and submarines and supporting special operations and surveillance activities. </w:t>
      </w:r>
    </w:p>
    <w:p w:rsidR="007776B7" w:rsidP="00387426">
      <w:pPr>
        <w:pStyle w:val="ListParagraph"/>
        <w:numPr>
          <w:ilvl w:val="0"/>
          <w:numId w:val="2"/>
        </w:numPr>
      </w:pPr>
      <w:r>
        <w:t xml:space="preserve">A fairly robust modern strike fighter fleet, including </w:t>
      </w:r>
      <w:r>
        <w:t>low-observable</w:t>
      </w:r>
      <w:r>
        <w:t xml:space="preserve"> F-35B aircraft (whose reach can be increased by being embarked on the UK’s two </w:t>
      </w:r>
      <w:r w:rsidRPr="00E45AAE">
        <w:rPr>
          <w:i/>
          <w:iCs/>
        </w:rPr>
        <w:t>Queen Elizabeth</w:t>
      </w:r>
      <w:r>
        <w:t>-class aircraft carriers) and Eurofighter Typhoon multirole aircraft armed with standoff weapons, including Storm Shadow,</w:t>
      </w:r>
      <w:r>
        <w:t xml:space="preserve"> </w:t>
      </w:r>
      <w:r>
        <w:t xml:space="preserve">which has been used to great effect </w:t>
      </w:r>
      <w:r>
        <w:t>against Russian targets by Ukraine</w:t>
      </w:r>
      <w:r>
        <w:t xml:space="preserve">. </w:t>
      </w:r>
      <w:r>
        <w:t xml:space="preserve">However, there </w:t>
      </w:r>
      <w:r>
        <w:t xml:space="preserve">are significant limits to the strategic effect that can be achieved with these aircraft due to </w:t>
      </w:r>
      <w:r>
        <w:t xml:space="preserve">the </w:t>
      </w:r>
      <w:r>
        <w:t xml:space="preserve">small </w:t>
      </w:r>
      <w:r>
        <w:t xml:space="preserve">fleet </w:t>
      </w:r>
      <w:r>
        <w:t>size</w:t>
      </w:r>
      <w:r>
        <w:t>,</w:t>
      </w:r>
      <w:r>
        <w:t xml:space="preserve"> readiness issues,</w:t>
      </w:r>
      <w:r>
        <w:t xml:space="preserve"> </w:t>
      </w:r>
      <w:r>
        <w:t xml:space="preserve">a </w:t>
      </w:r>
      <w:r>
        <w:t xml:space="preserve">limited stockpiles of munitions, and </w:t>
      </w:r>
      <w:r>
        <w:t xml:space="preserve">the </w:t>
      </w:r>
      <w:r>
        <w:t xml:space="preserve">lack of </w:t>
      </w:r>
      <w:r>
        <w:t xml:space="preserve">robust </w:t>
      </w:r>
      <w:r>
        <w:t>s</w:t>
      </w:r>
      <w:r>
        <w:t xml:space="preserve">overeign capability for effective </w:t>
      </w:r>
      <w:r>
        <w:t>S</w:t>
      </w:r>
      <w:r>
        <w:t xml:space="preserve">uppression or </w:t>
      </w:r>
      <w:r>
        <w:t>D</w:t>
      </w:r>
      <w:r>
        <w:t xml:space="preserve">estruction of </w:t>
      </w:r>
      <w:r>
        <w:t>E</w:t>
      </w:r>
      <w:r>
        <w:t xml:space="preserve">nemy </w:t>
      </w:r>
      <w:r>
        <w:t>A</w:t>
      </w:r>
      <w:r>
        <w:t xml:space="preserve">ir </w:t>
      </w:r>
      <w:r>
        <w:t>D</w:t>
      </w:r>
      <w:r>
        <w:t>efences</w:t>
      </w:r>
      <w:r>
        <w:t xml:space="preserve"> (SEAD / DEAD), including also electronic warfare (EW) at </w:t>
      </w:r>
      <w:r>
        <w:t xml:space="preserve">larger </w:t>
      </w:r>
      <w:r>
        <w:t>scale</w:t>
      </w:r>
      <w:r>
        <w:t>s</w:t>
      </w:r>
      <w:r>
        <w:t>.</w:t>
      </w:r>
      <w:r>
        <w:rPr>
          <w:rStyle w:val="FootnoteReference"/>
        </w:rPr>
        <w:footnoteReference w:id="8"/>
      </w:r>
    </w:p>
    <w:p w:rsidR="007776B7" w:rsidP="0056000A">
      <w:r>
        <w:t xml:space="preserve">The UK can also deny Russia from achieving gains through aggression against its allies </w:t>
      </w:r>
      <w:r>
        <w:t xml:space="preserve">and partners </w:t>
      </w:r>
      <w:r>
        <w:t>with other conventional means</w:t>
      </w:r>
      <w:r>
        <w:t xml:space="preserve">, </w:t>
      </w:r>
      <w:r>
        <w:t xml:space="preserve">including </w:t>
      </w:r>
      <w:r>
        <w:t>through</w:t>
      </w:r>
      <w:r>
        <w:t>:</w:t>
      </w:r>
      <w:r>
        <w:t xml:space="preserve"> </w:t>
      </w:r>
    </w:p>
    <w:p w:rsidR="007776B7" w:rsidP="00387426">
      <w:pPr>
        <w:pStyle w:val="ListParagraph"/>
        <w:numPr>
          <w:ilvl w:val="0"/>
          <w:numId w:val="2"/>
        </w:numPr>
      </w:pPr>
      <w:r>
        <w:t xml:space="preserve">Its role as a NATO </w:t>
      </w:r>
      <w:r>
        <w:t xml:space="preserve">Framework Nation </w:t>
      </w:r>
      <w:r>
        <w:t xml:space="preserve">and </w:t>
      </w:r>
      <w:r>
        <w:t xml:space="preserve">with a </w:t>
      </w:r>
      <w:r>
        <w:t xml:space="preserve">forward presence in </w:t>
      </w:r>
      <w:r>
        <w:t>Estonia</w:t>
      </w:r>
      <w:r>
        <w:t>.</w:t>
      </w:r>
    </w:p>
    <w:p w:rsidR="007776B7" w:rsidP="00387426">
      <w:pPr>
        <w:pStyle w:val="ListParagraph"/>
        <w:numPr>
          <w:ilvl w:val="0"/>
          <w:numId w:val="2"/>
        </w:numPr>
      </w:pPr>
      <w:r>
        <w:t xml:space="preserve">Its </w:t>
      </w:r>
      <w:r>
        <w:t>leading role</w:t>
      </w:r>
      <w:r>
        <w:t xml:space="preserve"> in the Joint Expeditionary Force (JEF)</w:t>
      </w:r>
      <w:r>
        <w:t>, which binds it politically, strategically and operationally with a subset of NATO nations which are particularly capable and alert to the Russian threat</w:t>
      </w:r>
      <w:r>
        <w:t>.</w:t>
      </w:r>
    </w:p>
    <w:p w:rsidR="007776B7" w:rsidP="00657C69">
      <w:pPr>
        <w:pStyle w:val="ListParagraph"/>
        <w:numPr>
          <w:ilvl w:val="0"/>
          <w:numId w:val="2"/>
        </w:numPr>
      </w:pPr>
      <w:r>
        <w:t xml:space="preserve">Bilateral cooperation via treaties with France, Germany, Poland and Norway – most notably a growing coordination with France on nuclear matters since the Northwood Declaration and </w:t>
      </w:r>
      <w:r>
        <w:t xml:space="preserve">the participation of </w:t>
      </w:r>
      <w:r>
        <w:t>both nations’ conventional forces in the Combined Joint Expeditionary Force (CJEF).</w:t>
      </w:r>
      <w:r>
        <w:rPr>
          <w:rStyle w:val="FootnoteReference"/>
        </w:rPr>
        <w:footnoteReference w:id="9"/>
      </w:r>
      <w:r>
        <w:t xml:space="preserve"> </w:t>
      </w:r>
    </w:p>
    <w:p w:rsidR="007776B7" w:rsidP="00387426">
      <w:pPr>
        <w:pStyle w:val="ListParagraph"/>
        <w:numPr>
          <w:ilvl w:val="0"/>
          <w:numId w:val="2"/>
        </w:numPr>
      </w:pPr>
      <w:r>
        <w:t>A leading role in planning for Multinational Force Ukraine (MFU) and a record of strong support to Ukraine (materiel, training, etc.) in fighting Russia’s invasion.</w:t>
      </w:r>
    </w:p>
    <w:p w:rsidR="007776B7" w:rsidP="0056000A">
      <w:r>
        <w:t>Beyond the military value of UK capabilities, the UK’s integration of its deterrent into NAT</w:t>
      </w:r>
      <w:r>
        <w:t>O</w:t>
      </w:r>
      <w:r>
        <w:t xml:space="preserve">, its </w:t>
      </w:r>
      <w:r>
        <w:t xml:space="preserve">Framework Nation </w:t>
      </w:r>
      <w:r>
        <w:t xml:space="preserve">status, </w:t>
      </w:r>
      <w:r>
        <w:t xml:space="preserve">its new treaties and coordination on nuclear matters with France, as well as the </w:t>
      </w:r>
      <w:r>
        <w:t xml:space="preserve">presence of its conventional forces in multinational forces in NATO’s Northeast, also send a message to Russia that the UK is committed to the security of its allies and is willing to </w:t>
      </w:r>
      <w:r>
        <w:t xml:space="preserve">accept </w:t>
      </w:r>
      <w:r>
        <w:t>risks on their behalf.</w:t>
      </w:r>
    </w:p>
    <w:p w:rsidR="007776B7" w:rsidP="00810854">
      <w:r>
        <w:t xml:space="preserve">While the details are non-public, the UK is also understood to have a substantial offensive cyber capability, principally via the National Cyber Force. Because of the nature of cyber capability, this is both less well understood and more difficult to communicate in a public fashion, but its importance should not be understated. </w:t>
      </w:r>
    </w:p>
    <w:p w:rsidR="007776B7" w:rsidP="00810854">
      <w:r>
        <w:t xml:space="preserve">Similarly, the UK has </w:t>
      </w:r>
      <w:r>
        <w:t xml:space="preserve">highly </w:t>
      </w:r>
      <w:r>
        <w:t xml:space="preserve">respected intelligence services and </w:t>
      </w:r>
      <w:r>
        <w:t xml:space="preserve">Special Forces, of utility in countering Russia both below and above the threshold of open conflict. </w:t>
      </w:r>
    </w:p>
    <w:p w:rsidR="007776B7" w:rsidRPr="00387426" w:rsidP="00387426">
      <w:pPr>
        <w:rPr>
          <w:b/>
          <w:bCs/>
        </w:rPr>
      </w:pPr>
      <w:r w:rsidRPr="00387426">
        <w:rPr>
          <w:b/>
          <w:bCs/>
        </w:rPr>
        <w:t>Comparative weaknesses: escalation management and communicating resolve</w:t>
      </w:r>
    </w:p>
    <w:p w:rsidR="007776B7" w:rsidP="00E26894">
      <w:r>
        <w:t xml:space="preserve">However, there are </w:t>
      </w:r>
      <w:r>
        <w:t xml:space="preserve">significant </w:t>
      </w:r>
      <w:r>
        <w:t xml:space="preserve">gaps in </w:t>
      </w:r>
      <w:r>
        <w:t>the conventional</w:t>
      </w:r>
      <w:r>
        <w:t xml:space="preserve"> and nuclear postures of the UK and its allies at the sub</w:t>
      </w:r>
      <w:r>
        <w:t>-</w:t>
      </w:r>
      <w:r>
        <w:t>strategic level.</w:t>
      </w:r>
      <w:r>
        <w:rPr>
          <w:rStyle w:val="FootnoteReference"/>
        </w:rPr>
        <w:footnoteReference w:id="10"/>
      </w:r>
      <w:r>
        <w:t xml:space="preserve"> </w:t>
      </w:r>
      <w:r>
        <w:t xml:space="preserve">Beyond the huge disparities in sizes of nuclear arsenals between the United States and Russia on the one hand, and the UK and France on the other, </w:t>
      </w:r>
      <w:r>
        <w:t>Russia has approximately 2000 non-strategic nuclear weapons</w:t>
      </w:r>
      <w:r>
        <w:t>,</w:t>
      </w:r>
      <w:r>
        <w:rPr>
          <w:rStyle w:val="FootnoteReference"/>
        </w:rPr>
        <w:footnoteReference w:id="11"/>
      </w:r>
      <w:r>
        <w:t xml:space="preserve"> which </w:t>
      </w:r>
      <w:r>
        <w:t>may give it escalation dominance</w:t>
      </w:r>
      <w:r>
        <w:t xml:space="preserve"> in scenarios </w:t>
      </w:r>
      <w:r>
        <w:t>of major but not existential conflict</w:t>
      </w:r>
      <w:r>
        <w:t>.</w:t>
      </w:r>
      <w:r>
        <w:rPr>
          <w:rStyle w:val="FootnoteReference"/>
        </w:rPr>
        <w:footnoteReference w:id="12"/>
      </w:r>
      <w:r>
        <w:t xml:space="preserve"> NATO, by contrast, </w:t>
      </w:r>
      <w:r>
        <w:t xml:space="preserve">has relatively few – the United States stores roughly 100 B-61 nuclear gravity bombs across airbases in Europe, which remain under its control but can in principle be deployed from Dual Capable Aircraft (DCA) belonging to one of several NATO </w:t>
      </w:r>
      <w:r>
        <w:t>Allies</w:t>
      </w:r>
      <w:r>
        <w:t>.</w:t>
      </w:r>
      <w:r>
        <w:rPr>
          <w:rStyle w:val="FootnoteReference"/>
        </w:rPr>
        <w:footnoteReference w:id="13"/>
      </w:r>
      <w:r>
        <w:t xml:space="preserve"> </w:t>
      </w:r>
      <w:r>
        <w:t xml:space="preserve">This is offset to some degree by NATO’s comparative advantage in long range conventional strike capabilities – however, the bulk of that capability is </w:t>
      </w:r>
      <w:r>
        <w:t>American</w:t>
      </w:r>
      <w:r>
        <w:t xml:space="preserve"> and the operational control of the weapons remains in the hands of the US President</w:t>
      </w:r>
      <w:r>
        <w:t>.</w:t>
      </w:r>
    </w:p>
    <w:p w:rsidR="007776B7" w:rsidP="00E26894">
      <w:r>
        <w:t>Russia</w:t>
      </w:r>
      <w:r>
        <w:t xml:space="preserve"> also </w:t>
      </w:r>
      <w:r>
        <w:t>possesses</w:t>
      </w:r>
      <w:r>
        <w:t xml:space="preserve"> </w:t>
      </w:r>
      <w:r>
        <w:t>its own substantial long range conventional strike complex</w:t>
      </w:r>
      <w:r>
        <w:t>,</w:t>
      </w:r>
      <w:r>
        <w:rPr>
          <w:rStyle w:val="FootnoteReference"/>
        </w:rPr>
        <w:footnoteReference w:id="14"/>
      </w:r>
      <w:r>
        <w:t xml:space="preserve"> which has evolved over the course of its full-scale invasion of Ukraine.</w:t>
      </w:r>
      <w:r>
        <w:rPr>
          <w:rStyle w:val="FootnoteReference"/>
        </w:rPr>
        <w:footnoteReference w:id="15"/>
      </w:r>
      <w:r>
        <w:t xml:space="preserve"> This includes </w:t>
      </w:r>
      <w:r>
        <w:t xml:space="preserve">ballistic missiles, cruise missiles, </w:t>
      </w:r>
      <w:r>
        <w:t xml:space="preserve">some </w:t>
      </w:r>
      <w:r>
        <w:t xml:space="preserve">hypersonic weapons, and </w:t>
      </w:r>
      <w:r>
        <w:t>tens of thousands of</w:t>
      </w:r>
      <w:r>
        <w:t xml:space="preserve"> cheap but increasingly sophisticated one-way attack (OWA) drones</w:t>
      </w:r>
      <w:r>
        <w:t xml:space="preserve"> (e.g. Shahed variants)</w:t>
      </w:r>
      <w:r>
        <w:t>.</w:t>
      </w:r>
      <w:r>
        <w:t xml:space="preserve"> More to the point, while the Russian long-range strike complex has suffered both reputational and physical damage over the last four years – from its failure to destroy Ukraine’s air defence network in the opening hours of the invasion to the loss of a substantial fraction of its strategic bombers thanks to the Ukrainian Operation Spider’s Web – it has also become more sophisticated</w:t>
      </w:r>
      <w:r>
        <w:t>,</w:t>
      </w:r>
      <w:r>
        <w:rPr>
          <w:rStyle w:val="FootnoteReference"/>
        </w:rPr>
        <w:footnoteReference w:id="16"/>
      </w:r>
      <w:r>
        <w:t xml:space="preserve"> making substantial improvements to its ability to strike high</w:t>
      </w:r>
      <w:r>
        <w:t>-</w:t>
      </w:r>
      <w:r>
        <w:t>value, time</w:t>
      </w:r>
      <w:r>
        <w:t>-</w:t>
      </w:r>
      <w:r>
        <w:t>sensitive targets</w:t>
      </w:r>
      <w:r>
        <w:t>, as well as to overwhelm defences, and the industrial bases that sustain them, through</w:t>
      </w:r>
      <w:r>
        <w:t xml:space="preserve"> repeated</w:t>
      </w:r>
      <w:r>
        <w:t xml:space="preserve"> saturation attacks</w:t>
      </w:r>
      <w:r>
        <w:t>.</w:t>
      </w:r>
      <w:r>
        <w:rPr>
          <w:rStyle w:val="FootnoteReference"/>
        </w:rPr>
        <w:footnoteReference w:id="17"/>
      </w:r>
    </w:p>
    <w:p w:rsidR="007776B7" w:rsidP="00697B7C">
      <w:r>
        <w:t>To better manage escalation</w:t>
      </w:r>
      <w:r>
        <w:t xml:space="preserve"> in scenarios where there may be a major war between NATO and Russia, but where the stakes are not yet existential and the strategic deterrent therefore not entirely credible</w:t>
      </w:r>
      <w:r>
        <w:t xml:space="preserve">, the UK and its allies are </w:t>
      </w:r>
      <w:r>
        <w:t>developing and acquiring:</w:t>
      </w:r>
    </w:p>
    <w:p w:rsidR="007776B7" w:rsidP="00D42D87">
      <w:pPr>
        <w:pStyle w:val="ListParagraph"/>
        <w:numPr>
          <w:ilvl w:val="0"/>
          <w:numId w:val="2"/>
        </w:numPr>
      </w:pPr>
      <w:r>
        <w:t>Conventional weapons that can achieve strategic effects</w:t>
      </w:r>
      <w:r>
        <w:t>. Prominent examples</w:t>
      </w:r>
      <w:r>
        <w:t xml:space="preserve"> </w:t>
      </w:r>
      <w:r>
        <w:t>include</w:t>
      </w:r>
      <w:r>
        <w:t xml:space="preserve"> Deep Precision Strike (DPS)</w:t>
      </w:r>
      <w:r>
        <w:t>, being acquired jointly between the UK and Germany</w:t>
      </w:r>
      <w:r>
        <w:t>, as well as other national and minilateral projects, of which the European Long-Range Strike Approach (ELSA) is the most ambitious</w:t>
      </w:r>
      <w:r>
        <w:t>. These are relevant for both denying Russian aggression through theatre</w:t>
      </w:r>
      <w:r>
        <w:t>-</w:t>
      </w:r>
      <w:r>
        <w:t xml:space="preserve">level interdiction, as well as potentially punishing aggression by targeting </w:t>
      </w:r>
      <w:r>
        <w:t xml:space="preserve">Russian headquarters, </w:t>
      </w:r>
      <w:r>
        <w:t xml:space="preserve">defence </w:t>
      </w:r>
      <w:r>
        <w:t xml:space="preserve">industry and energy </w:t>
      </w:r>
      <w:r>
        <w:t>sites</w:t>
      </w:r>
      <w:r>
        <w:t xml:space="preserve"> (as Ukraine has successfully demonstrated</w:t>
      </w:r>
      <w:r>
        <w:rPr>
          <w:rStyle w:val="FootnoteReference"/>
        </w:rPr>
        <w:footnoteReference w:id="18"/>
      </w:r>
      <w:r>
        <w:t>)</w:t>
      </w:r>
      <w:r>
        <w:t>.</w:t>
      </w:r>
    </w:p>
    <w:p w:rsidR="007776B7" w:rsidP="00387426">
      <w:pPr>
        <w:pStyle w:val="ListParagraph"/>
        <w:numPr>
          <w:ilvl w:val="0"/>
          <w:numId w:val="2"/>
        </w:numPr>
      </w:pPr>
      <w:r>
        <w:t>Integrated Air and Missile Defence</w:t>
      </w:r>
      <w:r>
        <w:t xml:space="preserve"> (IAMD)</w:t>
      </w:r>
      <w:r>
        <w:t xml:space="preserve">. </w:t>
      </w:r>
      <w:r>
        <w:t xml:space="preserve">A capable IAMD system can </w:t>
      </w:r>
      <w:r>
        <w:t xml:space="preserve">deny </w:t>
      </w:r>
      <w:r>
        <w:t xml:space="preserve">an adversary </w:t>
      </w:r>
      <w:r>
        <w:t xml:space="preserve">easy coercive victories </w:t>
      </w:r>
      <w:r>
        <w:t>by intercepting and neutralising the strategic effect of even complex, layered attacks on key infrastructure and defence capabilities</w:t>
      </w:r>
      <w:r>
        <w:t>.</w:t>
      </w:r>
      <w:r>
        <w:t xml:space="preserve"> This is currently sorely lacking in the UK context.</w:t>
      </w:r>
    </w:p>
    <w:p w:rsidR="007776B7" w:rsidP="00387426">
      <w:pPr>
        <w:pStyle w:val="ListParagraph"/>
        <w:numPr>
          <w:ilvl w:val="0"/>
          <w:numId w:val="2"/>
        </w:numPr>
      </w:pPr>
      <w:r>
        <w:t xml:space="preserve">Means of delivering U.S. non-strategic nuclear weapons. The UK </w:t>
      </w:r>
      <w:r>
        <w:t xml:space="preserve">has planned to rejoin NATO’s </w:t>
      </w:r>
      <w:r>
        <w:t>Dual-Capable Aircraft (</w:t>
      </w:r>
      <w:r>
        <w:t>DCA</w:t>
      </w:r>
      <w:r>
        <w:t>)</w:t>
      </w:r>
      <w:r>
        <w:t xml:space="preserve"> tasks and </w:t>
      </w:r>
      <w:r>
        <w:t xml:space="preserve">is </w:t>
      </w:r>
      <w:r>
        <w:t>acquir</w:t>
      </w:r>
      <w:r>
        <w:t>ing</w:t>
      </w:r>
      <w:r>
        <w:t xml:space="preserve"> the F-35A.</w:t>
      </w:r>
      <w:r>
        <w:t xml:space="preserve"> With the operational control in </w:t>
      </w:r>
      <w:r>
        <w:t>American</w:t>
      </w:r>
      <w:r>
        <w:t xml:space="preserve"> hands, there are limits to how effective the UK – or other DCA allies – can manage escalatio</w:t>
      </w:r>
      <w:r>
        <w:t>n.</w:t>
      </w:r>
    </w:p>
    <w:p w:rsidR="007776B7" w:rsidP="00697B7C">
      <w:r>
        <w:t xml:space="preserve">Yet, </w:t>
      </w:r>
      <w:r>
        <w:t xml:space="preserve">many of </w:t>
      </w:r>
      <w:r>
        <w:t>these capabilities are unlikely to be available</w:t>
      </w:r>
      <w:r>
        <w:t xml:space="preserve"> in meaningful numbers (or even at all)</w:t>
      </w:r>
      <w:r>
        <w:t xml:space="preserve"> until the early 2030s</w:t>
      </w:r>
      <w:r>
        <w:t>, even with optimistic assumptions about acquisition timelines</w:t>
      </w:r>
      <w:r>
        <w:t>.</w:t>
      </w:r>
      <w:r>
        <w:t xml:space="preserve"> </w:t>
      </w:r>
      <w:r>
        <w:t xml:space="preserve">Given the current geopolitical uncertainty regarding Russia’s and China’s intentions, </w:t>
      </w:r>
      <w:r>
        <w:t>as well as</w:t>
      </w:r>
      <w:r>
        <w:t xml:space="preserve"> shifting</w:t>
      </w:r>
      <w:r>
        <w:t xml:space="preserve"> American strategic priorities</w:t>
      </w:r>
      <w:r>
        <w:t xml:space="preserve"> between regions</w:t>
      </w:r>
      <w:r>
        <w:t xml:space="preserve">, </w:t>
      </w:r>
      <w:r>
        <w:t>this leaves a time window of substantial danger for the UK and its European allies</w:t>
      </w:r>
      <w:r>
        <w:t>.</w:t>
      </w:r>
      <w:r>
        <w:rPr>
          <w:rStyle w:val="FootnoteReference"/>
        </w:rPr>
        <w:footnoteReference w:id="19"/>
      </w:r>
    </w:p>
    <w:p w:rsidR="007776B7" w:rsidP="002F590B">
      <w:r>
        <w:t xml:space="preserve">To bridge the deterrence gaps in the short term, </w:t>
      </w:r>
      <w:r>
        <w:t>the UK could consider the following capabilities and missions</w:t>
      </w:r>
      <w:r>
        <w:t>, which are, however, distinctly unpromising</w:t>
      </w:r>
      <w:r>
        <w:t>:</w:t>
      </w:r>
    </w:p>
    <w:p w:rsidR="007776B7" w:rsidP="00387426">
      <w:pPr>
        <w:pStyle w:val="ListParagraph"/>
        <w:numPr>
          <w:ilvl w:val="0"/>
          <w:numId w:val="2"/>
        </w:numPr>
      </w:pPr>
      <w:r>
        <w:t xml:space="preserve">The UK </w:t>
      </w:r>
      <w:r>
        <w:t xml:space="preserve">could </w:t>
      </w:r>
      <w:r>
        <w:t>lower the yield and assign a sub</w:t>
      </w:r>
      <w:r>
        <w:t>-</w:t>
      </w:r>
      <w:r>
        <w:t xml:space="preserve">strategic function to a number of its submarine-launched </w:t>
      </w:r>
      <w:r>
        <w:t xml:space="preserve">nuclear </w:t>
      </w:r>
      <w:r>
        <w:t xml:space="preserve">ballistic missiles. However, </w:t>
      </w:r>
      <w:r>
        <w:t xml:space="preserve">unlike aircraft that can take off and be recalled, </w:t>
      </w:r>
      <w:r>
        <w:t>submarine-launched weapons are poor for signalling</w:t>
      </w:r>
      <w:r>
        <w:t xml:space="preserve">. They create a distinguishability problem with a significant risk of catastrophic escalation by Russian leaders who assume that the sea-launched ballistic missile (SLBM) is armed with a strategic warhead and thus respond in kind. Moreover, </w:t>
      </w:r>
      <w:r>
        <w:t>launching missiles reveals the submar</w:t>
      </w:r>
      <w:r>
        <w:t>ine’s position, thereby undermining the submarine’s survivability.</w:t>
      </w:r>
    </w:p>
    <w:p w:rsidR="007776B7" w:rsidRPr="00D266D1" w:rsidP="00387426">
      <w:pPr>
        <w:pStyle w:val="ListParagraph"/>
        <w:numPr>
          <w:ilvl w:val="0"/>
          <w:numId w:val="2"/>
        </w:numPr>
      </w:pPr>
      <w:r>
        <w:t>The UK and its allies could consider investing non-kinetic and kinetic left</w:t>
      </w:r>
      <w:r>
        <w:t xml:space="preserve">-of-launch capabilities to threaten Russia’s dual-capable mobile missile launchers. However, the Royal Air Force and the air forces of </w:t>
      </w:r>
      <w:r>
        <w:t xml:space="preserve">European NATO Allies </w:t>
      </w:r>
      <w:r>
        <w:t xml:space="preserve">are not yet </w:t>
      </w:r>
      <w:r>
        <w:t xml:space="preserve">fully optimised </w:t>
      </w:r>
      <w:r>
        <w:t>for SEAD/DEAD tasks, which would be a precondition to effectively hunt and neutralise Russian launchers on the move.</w:t>
      </w:r>
      <w:r>
        <w:t xml:space="preserve"> Without </w:t>
      </w:r>
      <w:r>
        <w:t>significant numbers of aircraft, such a risky strategy</w:t>
      </w:r>
      <w:r>
        <w:t xml:space="preserve"> is unlikely to succeed; the difficulties the United States and Israel encountered in neutralising Iran’s mobile launchers point to the complexity of</w:t>
      </w:r>
      <w:r>
        <w:t xml:space="preserve"> the task even against a more minor adversary.</w:t>
      </w:r>
      <w:r>
        <w:t xml:space="preserve"> </w:t>
      </w:r>
      <w:r>
        <w:t xml:space="preserve"> </w:t>
      </w:r>
    </w:p>
    <w:p w:rsidR="007776B7" w:rsidP="00FB06C5">
      <w:r>
        <w:t>A more promising potential avenue to provide the UK with escalation options, though with more limited strategic effects, are investments in less capable but lower-cost weapons:</w:t>
      </w:r>
    </w:p>
    <w:p w:rsidR="007776B7" w:rsidP="00387426">
      <w:pPr>
        <w:pStyle w:val="ListParagraph"/>
        <w:numPr>
          <w:ilvl w:val="0"/>
          <w:numId w:val="2"/>
        </w:numPr>
      </w:pPr>
      <w:r>
        <w:t>These can be deployed in large numbers to reverse trends in cost asymmetry</w:t>
      </w:r>
      <w:r>
        <w:rPr>
          <w:rStyle w:val="FootnoteReference"/>
        </w:rPr>
        <w:footnoteReference w:id="20"/>
      </w:r>
      <w:r>
        <w:t xml:space="preserve"> between exquisite NATO systems (e.g. Tomahawk, Storm Shadow) and the cheap-but-plentiful drones and missiles fielded by Russia. Examples of ‘green shoots’ </w:t>
      </w:r>
      <w:r>
        <w:t xml:space="preserve">in UK Defence </w:t>
      </w:r>
      <w:r>
        <w:t>include the recent Projects Nightfall and Brakestop to develop low-cost ground-launched ballistic and cruise missiles</w:t>
      </w:r>
      <w:r>
        <w:t xml:space="preserve"> respectively</w:t>
      </w:r>
      <w:r>
        <w:t xml:space="preserve">, or the British Army’s procurement of </w:t>
      </w:r>
      <w:r>
        <w:t xml:space="preserve">tens of </w:t>
      </w:r>
      <w:r>
        <w:t xml:space="preserve">thousands of OWAs via Project Aksa.  </w:t>
      </w:r>
    </w:p>
    <w:p w:rsidR="007776B7" w:rsidP="00387426">
      <w:pPr>
        <w:pStyle w:val="ListParagraph"/>
        <w:numPr>
          <w:ilvl w:val="0"/>
          <w:numId w:val="2"/>
        </w:numPr>
      </w:pPr>
      <w:r>
        <w:t xml:space="preserve">Some of </w:t>
      </w:r>
      <w:r>
        <w:t>these</w:t>
      </w:r>
      <w:r>
        <w:t xml:space="preserve"> OWAs</w:t>
      </w:r>
      <w:r>
        <w:t xml:space="preserve"> are available from British suppliers (or British/Ukrainian joint ventures), some can be purchased from allies (as in the case of the American LUCAS drone), and some proven models could be purchased directly from Ukrainian industry, given the recent relaxation of Ukraine’s arms export ban.</w:t>
      </w:r>
      <w:r>
        <w:rPr>
          <w:rStyle w:val="FootnoteReference"/>
        </w:rPr>
        <w:footnoteReference w:id="21"/>
      </w:r>
      <w:r>
        <w:t xml:space="preserve"> While these weapons are by and large not as effective as </w:t>
      </w:r>
      <w:r>
        <w:t xml:space="preserve">cruise or ballistic missiles, their </w:t>
      </w:r>
      <w:r>
        <w:t>effectiveness</w:t>
      </w:r>
      <w:r>
        <w:t xml:space="preserve"> is now being demonstrated nightly by Ukraine</w:t>
      </w:r>
      <w:r>
        <w:t xml:space="preserve"> – and more to the point, they are cheap to buy en masse and quick to field.</w:t>
      </w:r>
      <w:r>
        <w:rPr>
          <w:rStyle w:val="FootnoteReference"/>
        </w:rPr>
        <w:footnoteReference w:id="22"/>
      </w:r>
      <w:r>
        <w:t xml:space="preserve"> </w:t>
      </w:r>
    </w:p>
    <w:p w:rsidR="007776B7" w:rsidP="002E699B">
      <w:pPr>
        <w:pStyle w:val="ListParagraph"/>
        <w:numPr>
          <w:ilvl w:val="0"/>
          <w:numId w:val="2"/>
        </w:numPr>
      </w:pPr>
      <w:r>
        <w:t xml:space="preserve">Moreover, Britain’s genuine </w:t>
      </w:r>
      <w:r>
        <w:t xml:space="preserve">niche </w:t>
      </w:r>
      <w:r>
        <w:t xml:space="preserve">strengths in cyber and electronic warfare </w:t>
      </w:r>
      <w:r>
        <w:t>would give them operational advantages that their low speed and unimposing physical form might not suggest.</w:t>
      </w:r>
      <w:r>
        <w:t xml:space="preserve"> The D</w:t>
      </w:r>
      <w:r>
        <w:t xml:space="preserve">efence </w:t>
      </w:r>
      <w:r>
        <w:t>I</w:t>
      </w:r>
      <w:r>
        <w:t xml:space="preserve">nvestment </w:t>
      </w:r>
      <w:r>
        <w:t>P</w:t>
      </w:r>
      <w:r>
        <w:t>lan (DIP)</w:t>
      </w:r>
      <w:r>
        <w:t xml:space="preserve"> suggests that £210 million </w:t>
      </w:r>
      <w:r>
        <w:t>is being set aside for this purpose</w:t>
      </w:r>
      <w:r>
        <w:t>. Whilst</w:t>
      </w:r>
      <w:r>
        <w:t xml:space="preserve"> </w:t>
      </w:r>
      <w:r>
        <w:t>a good start</w:t>
      </w:r>
      <w:r>
        <w:t>,</w:t>
      </w:r>
      <w:r>
        <w:rPr>
          <w:rStyle w:val="FootnoteReference"/>
        </w:rPr>
        <w:footnoteReference w:id="23"/>
      </w:r>
      <w:r>
        <w:t xml:space="preserve"> </w:t>
      </w:r>
      <w:r>
        <w:t xml:space="preserve">this </w:t>
      </w:r>
      <w:r>
        <w:t>would be strengthened in the medium term by investing in production facilities</w:t>
      </w:r>
      <w:r>
        <w:t xml:space="preserve"> and ongoing spiral development</w:t>
      </w:r>
      <w:r>
        <w:t xml:space="preserve"> to backstop the initial tranche of off</w:t>
      </w:r>
      <w:r>
        <w:t>-</w:t>
      </w:r>
      <w:r>
        <w:t>the</w:t>
      </w:r>
      <w:r>
        <w:t>-</w:t>
      </w:r>
      <w:r>
        <w:t>shelf purchases.</w:t>
      </w:r>
      <w:r>
        <w:rPr>
          <w:rStyle w:val="FootnoteReference"/>
        </w:rPr>
        <w:footnoteReference w:id="24"/>
      </w:r>
    </w:p>
    <w:p w:rsidR="007776B7" w:rsidP="00387426">
      <w:r>
        <w:t>Still, it must be emphasised that low-cost weapons and OWAs, while useful at the tactical and operational level, have fundamental limitations as tools of escalation management at the strategic level. As such, they should be pursued as part of a ‘high-low mix’ of capabilities, alongside high-end conventional capabilities and modernisation of the defence nuclear enterprise. In short: drones are useful, but no ‘silver bullet’ solution.</w:t>
      </w:r>
    </w:p>
    <w:p w:rsidR="007776B7" w:rsidP="00387426">
      <w:r>
        <w:t xml:space="preserve">Crucially, too, having enhanced strike weapons – whether exquisite or affordable – is of little operational or deterrent effect if not paired with robust command, control (C2), and intelligence, surveillance and reconnaissance (ISR) capabilities. Here, again, the DIP signals intent to enhance C2 and </w:t>
      </w:r>
      <w:r>
        <w:t xml:space="preserve">the </w:t>
      </w:r>
      <w:r>
        <w:t>networking of sensors and shooters via a Digital Targeting Web, as well as spending on improved space-based and aerial ISR assets.</w:t>
      </w:r>
      <w:r>
        <w:rPr>
          <w:rStyle w:val="FootnoteReference"/>
        </w:rPr>
        <w:footnoteReference w:id="25"/>
      </w:r>
      <w:r>
        <w:t xml:space="preserve"> But it is simply not clear that the level</w:t>
      </w:r>
      <w:r>
        <w:t xml:space="preserve"> or profile</w:t>
      </w:r>
      <w:r>
        <w:t xml:space="preserve"> of investment is sufficient for timely delivery of UK Defence’s ambitious visions for an artificial intelligence (AI)-enabled ‘kill web’ capable of prosecuting thousands of Russian military targets whilst also being resilient enough to thwart Russian attempts to disrupt UK C2 via kinetic and non-kinetic attacks.</w:t>
      </w:r>
      <w:r>
        <w:rPr>
          <w:rStyle w:val="FootnoteReference"/>
        </w:rPr>
        <w:footnoteReference w:id="26"/>
      </w:r>
    </w:p>
    <w:p w:rsidR="007776B7" w:rsidP="00801DB0">
      <w:r>
        <w:t xml:space="preserve">Without a quick path to </w:t>
      </w:r>
      <w:r>
        <w:t xml:space="preserve">more robust deep strike, C2 and ISR </w:t>
      </w:r>
      <w:r>
        <w:t>capabilities</w:t>
      </w:r>
      <w:r>
        <w:t xml:space="preserve"> – especially in the context of well-documented challenges around sovereignty, burden-sharing and overreliance on the U.S. to provide such critical enablers within NATO</w:t>
      </w:r>
      <w:r>
        <w:rPr>
          <w:rStyle w:val="FootnoteReference"/>
        </w:rPr>
        <w:footnoteReference w:id="27"/>
      </w:r>
      <w:r>
        <w:t xml:space="preserve"> </w:t>
      </w:r>
      <w:r>
        <w:t>–</w:t>
      </w:r>
      <w:r>
        <w:t xml:space="preserve"> we discuss paths with which the UK and allies can better communicate resolve in the sections below.</w:t>
      </w:r>
    </w:p>
    <w:p w:rsidR="007776B7" w:rsidP="00387426">
      <w:r w:rsidRPr="00387426">
        <w:rPr>
          <w:b/>
          <w:bCs/>
        </w:rPr>
        <w:t>Subthreshold</w:t>
      </w:r>
    </w:p>
    <w:p w:rsidR="007776B7" w:rsidP="00CE5A46">
      <w:r w:rsidRPr="00BD3F61">
        <w:t xml:space="preserve">However, </w:t>
      </w:r>
      <w:r w:rsidRPr="00BD3F61">
        <w:t>the UK and its allies also face difficulties when Russia remains at the lowest level of competition and conflict.</w:t>
      </w:r>
      <w:r w:rsidRPr="00BD3F61">
        <w:t xml:space="preserve"> </w:t>
      </w:r>
      <w:r w:rsidRPr="00BD3F61">
        <w:t xml:space="preserve">There is a crucial </w:t>
      </w:r>
      <w:r w:rsidRPr="00BD3F61">
        <w:t xml:space="preserve">discontinuity here: </w:t>
      </w:r>
      <w:r w:rsidRPr="00BD3F61">
        <w:t>British support to Ukraine has been crucial and effective</w:t>
      </w:r>
      <w:r w:rsidRPr="00BD3F61">
        <w:t xml:space="preserve"> </w:t>
      </w:r>
      <w:r w:rsidRPr="00BD3F61">
        <w:t xml:space="preserve">on the battlefield and has at the same time not deterred Russia from engaging in </w:t>
      </w:r>
      <w:r w:rsidRPr="00BD3F61">
        <w:t xml:space="preserve">hostile </w:t>
      </w:r>
      <w:r w:rsidRPr="00BD3F61">
        <w:t>subthreshold</w:t>
      </w:r>
      <w:r w:rsidRPr="00BD3F61">
        <w:t xml:space="preserve"> activities</w:t>
      </w:r>
      <w:r w:rsidRPr="00BD3F61">
        <w:t>, including on British soil</w:t>
      </w:r>
      <w:r>
        <w:t>, across Europe</w:t>
      </w:r>
      <w:r>
        <w:t>,</w:t>
      </w:r>
      <w:r>
        <w:rPr>
          <w:rStyle w:val="FootnoteReference"/>
        </w:rPr>
        <w:footnoteReference w:id="28"/>
      </w:r>
      <w:r>
        <w:t xml:space="preserve"> in orbit</w:t>
      </w:r>
      <w:r>
        <w:t>,</w:t>
      </w:r>
      <w:r>
        <w:rPr>
          <w:rStyle w:val="FootnoteReference"/>
        </w:rPr>
        <w:footnoteReference w:id="29"/>
      </w:r>
      <w:r>
        <w:t xml:space="preserve"> in cyberspace, and beneath the waves</w:t>
      </w:r>
      <w:r w:rsidRPr="00BD3F61">
        <w:t>.</w:t>
      </w:r>
      <w:r>
        <w:rPr>
          <w:rStyle w:val="FootnoteReference"/>
        </w:rPr>
        <w:footnoteReference w:id="30"/>
      </w:r>
      <w:r w:rsidRPr="00BD3F61">
        <w:t xml:space="preserve"> </w:t>
      </w:r>
    </w:p>
    <w:p w:rsidR="007776B7" w:rsidRPr="0072363C" w:rsidP="00CE5A46">
      <w:r w:rsidRPr="0072363C">
        <w:t xml:space="preserve">The UK and its </w:t>
      </w:r>
      <w:r w:rsidRPr="0072363C">
        <w:t>NATO A</w:t>
      </w:r>
      <w:r w:rsidRPr="0072363C">
        <w:t xml:space="preserve">llies are right to draw a distinction between </w:t>
      </w:r>
      <w:r w:rsidRPr="0072363C">
        <w:t>the degree to which the autocratic and corrupt nature of the Russian regime enables it to push boundaries more readily</w:t>
      </w:r>
      <w:r w:rsidRPr="0072363C">
        <w:t>.</w:t>
      </w:r>
      <w:r w:rsidRPr="0072363C">
        <w:t xml:space="preserve"> </w:t>
      </w:r>
      <w:r w:rsidRPr="0072363C">
        <w:t>However,</w:t>
      </w:r>
      <w:r w:rsidRPr="0072363C">
        <w:t xml:space="preserve"> </w:t>
      </w:r>
      <w:r w:rsidRPr="0072363C">
        <w:t xml:space="preserve">more resources for specifically countering </w:t>
      </w:r>
      <w:r w:rsidRPr="0072363C">
        <w:t xml:space="preserve">Russian hybrid warfare </w:t>
      </w:r>
      <w:r w:rsidRPr="0072363C">
        <w:t xml:space="preserve">– </w:t>
      </w:r>
      <w:r w:rsidRPr="0072363C">
        <w:t>both in terms of preventing its impact on the UK and</w:t>
      </w:r>
      <w:r w:rsidRPr="0072363C">
        <w:t>, more controversially,</w:t>
      </w:r>
      <w:r w:rsidRPr="0072363C">
        <w:t xml:space="preserve"> in responding </w:t>
      </w:r>
      <w:r w:rsidRPr="0072363C">
        <w:t>with subthreshold activities of our own, calibrated to Russia’s own vulnerabilities –</w:t>
      </w:r>
      <w:r w:rsidRPr="0072363C">
        <w:t xml:space="preserve"> would raise the costs and impair the</w:t>
      </w:r>
      <w:r w:rsidRPr="0072363C">
        <w:t xml:space="preserve"> long-term</w:t>
      </w:r>
      <w:r w:rsidRPr="0072363C">
        <w:t xml:space="preserve"> effectiveness of this set of tactics for</w:t>
      </w:r>
      <w:r w:rsidRPr="0072363C">
        <w:t xml:space="preserve"> Moscow.</w:t>
      </w:r>
      <w:r w:rsidRPr="0072363C">
        <w:t xml:space="preserve"> </w:t>
      </w:r>
    </w:p>
    <w:p w:rsidR="007776B7" w:rsidRPr="0072363C" w:rsidP="00D266D1">
      <w:r w:rsidRPr="0072363C">
        <w:t>To an extent,</w:t>
      </w:r>
      <w:r w:rsidRPr="0072363C">
        <w:t xml:space="preserve"> however, Russia’s strengths in the subthreshold level are partly a reflection of NATO strengths. </w:t>
      </w:r>
      <w:r w:rsidRPr="0072363C">
        <w:t>I</w:t>
      </w:r>
      <w:r w:rsidRPr="0072363C">
        <w:t xml:space="preserve">f NATO is successful at deterring Russia from direct aggression against NATO member states, </w:t>
      </w:r>
      <w:r w:rsidRPr="0072363C">
        <w:t>it limits Russian manoeuvre space to the subthreshold levels</w:t>
      </w:r>
      <w:r>
        <w:t>,</w:t>
      </w:r>
      <w:r w:rsidRPr="0072363C">
        <w:t xml:space="preserve"> implying that the UK and NATO must also continue to cultivate the societal resilience needed to live with a persistent subthreshold threat from Russia (and others)</w:t>
      </w:r>
      <w:r w:rsidRPr="0072363C">
        <w:t>.</w:t>
      </w:r>
      <w:r>
        <w:rPr>
          <w:rStyle w:val="FootnoteReference"/>
        </w:rPr>
        <w:footnoteReference w:id="31"/>
      </w:r>
      <w:r w:rsidRPr="0072363C">
        <w:t xml:space="preserve"> </w:t>
      </w:r>
    </w:p>
    <w:p w:rsidR="007776B7" w:rsidRPr="0072363C" w:rsidP="00BD60C9">
      <w:pPr>
        <w:keepNext/>
        <w:rPr>
          <w:b/>
          <w:bCs/>
        </w:rPr>
      </w:pPr>
      <w:r w:rsidRPr="0072363C">
        <w:rPr>
          <w:b/>
          <w:bCs/>
        </w:rPr>
        <w:t>Financial</w:t>
      </w:r>
      <w:r w:rsidRPr="0072363C">
        <w:rPr>
          <w:b/>
          <w:bCs/>
        </w:rPr>
        <w:t xml:space="preserve"> and</w:t>
      </w:r>
      <w:r w:rsidRPr="0072363C">
        <w:rPr>
          <w:b/>
          <w:bCs/>
        </w:rPr>
        <w:t xml:space="preserve"> economic tools of statecraft</w:t>
      </w:r>
    </w:p>
    <w:p w:rsidR="007776B7" w:rsidRPr="0072363C" w:rsidP="007D5801">
      <w:r w:rsidRPr="0072363C">
        <w:t>T</w:t>
      </w:r>
      <w:r w:rsidRPr="0072363C">
        <w:t xml:space="preserve">he UK and its allies </w:t>
      </w:r>
      <w:r w:rsidRPr="0072363C">
        <w:t>already</w:t>
      </w:r>
      <w:r w:rsidRPr="0072363C">
        <w:t xml:space="preserve"> </w:t>
      </w:r>
      <w:r w:rsidRPr="0072363C">
        <w:t>employ</w:t>
      </w:r>
      <w:r w:rsidRPr="0072363C">
        <w:t xml:space="preserve"> various </w:t>
      </w:r>
      <w:r w:rsidRPr="0072363C">
        <w:t xml:space="preserve">economic levers </w:t>
      </w:r>
      <w:r w:rsidRPr="0072363C">
        <w:t xml:space="preserve">to undermine Russia’s ability to wage war. </w:t>
      </w:r>
      <w:r w:rsidRPr="0072363C">
        <w:t>The UK imposed sanctions on Russia in 2014</w:t>
      </w:r>
      <w:r w:rsidRPr="0072363C">
        <w:t>,</w:t>
      </w:r>
      <w:r w:rsidRPr="0072363C">
        <w:t xml:space="preserve"> </w:t>
      </w:r>
      <w:r w:rsidRPr="0072363C">
        <w:t xml:space="preserve">but </w:t>
      </w:r>
      <w:r w:rsidRPr="0072363C">
        <w:t xml:space="preserve">these were </w:t>
      </w:r>
      <w:r w:rsidRPr="0072363C">
        <w:t xml:space="preserve">limited, </w:t>
      </w:r>
      <w:r w:rsidRPr="0072363C">
        <w:t>targeted</w:t>
      </w:r>
      <w:r w:rsidRPr="0072363C">
        <w:t xml:space="preserve"> and </w:t>
      </w:r>
      <w:r w:rsidRPr="0072363C">
        <w:t>reversible</w:t>
      </w:r>
      <w:r w:rsidRPr="0072363C">
        <w:t xml:space="preserve"> by design</w:t>
      </w:r>
      <w:r w:rsidRPr="0072363C">
        <w:t xml:space="preserve">. </w:t>
      </w:r>
      <w:r w:rsidRPr="0072363C">
        <w:t xml:space="preserve">They were also </w:t>
      </w:r>
      <w:r w:rsidRPr="0072363C">
        <w:t>combined with a</w:t>
      </w:r>
      <w:r w:rsidRPr="0072363C">
        <w:t xml:space="preserve"> </w:t>
      </w:r>
      <w:r w:rsidRPr="0072363C">
        <w:t xml:space="preserve">policy </w:t>
      </w:r>
      <w:r w:rsidRPr="0072363C">
        <w:t xml:space="preserve">of </w:t>
      </w:r>
      <w:r w:rsidRPr="0072363C">
        <w:t>promot</w:t>
      </w:r>
      <w:r w:rsidRPr="0072363C">
        <w:t>ing</w:t>
      </w:r>
      <w:r w:rsidRPr="0072363C">
        <w:t xml:space="preserve"> sanctions-compliant trade with Russia</w:t>
      </w:r>
      <w:r w:rsidRPr="0072363C">
        <w:t xml:space="preserve">, including support to </w:t>
      </w:r>
      <w:r w:rsidRPr="0072363C">
        <w:t xml:space="preserve">UK </w:t>
      </w:r>
      <w:r w:rsidRPr="0072363C">
        <w:t xml:space="preserve">companies </w:t>
      </w:r>
      <w:r w:rsidRPr="0072363C">
        <w:t>operating in Russia’s most important revenue generating sectors</w:t>
      </w:r>
      <w:r w:rsidRPr="0072363C">
        <w:t xml:space="preserve">, </w:t>
      </w:r>
      <w:r w:rsidRPr="0072363C">
        <w:t>notably oil and gas</w:t>
      </w:r>
      <w:r w:rsidRPr="0072363C">
        <w:t xml:space="preserve">. </w:t>
      </w:r>
      <w:r w:rsidRPr="0072363C">
        <w:t>As it turned out, t</w:t>
      </w:r>
      <w:r w:rsidRPr="0072363C">
        <w:t>hese</w:t>
      </w:r>
      <w:r w:rsidRPr="0072363C">
        <w:t xml:space="preserve"> sanctions were not sufficient to </w:t>
      </w:r>
      <w:r w:rsidRPr="0072363C">
        <w:t xml:space="preserve">persuade Russia to cease its </w:t>
      </w:r>
      <w:r w:rsidRPr="0072363C">
        <w:t>aggression in Ukraine, Europe or the UK in the years p</w:t>
      </w:r>
      <w:r w:rsidRPr="0072363C">
        <w:t>rior to the full-scale invasion</w:t>
      </w:r>
      <w:r>
        <w:t>,</w:t>
      </w:r>
      <w:r w:rsidRPr="0072363C">
        <w:t xml:space="preserve"> and may have contributed to a sense </w:t>
      </w:r>
      <w:r w:rsidRPr="0072363C">
        <w:t xml:space="preserve">in the Kremlin </w:t>
      </w:r>
      <w:r w:rsidRPr="0072363C">
        <w:t xml:space="preserve">that </w:t>
      </w:r>
      <w:r w:rsidRPr="0072363C">
        <w:t>the UK and its allies lacked seriousness about Ukraine</w:t>
      </w:r>
      <w:r w:rsidRPr="0072363C">
        <w:t>.</w:t>
      </w:r>
    </w:p>
    <w:p w:rsidR="007776B7" w:rsidRPr="0072363C" w:rsidP="007D5801">
      <w:r w:rsidRPr="0072363C">
        <w:t>Similarly, t</w:t>
      </w:r>
      <w:r w:rsidRPr="0072363C">
        <w:t>he threat of further</w:t>
      </w:r>
      <w:r w:rsidRPr="0072363C">
        <w:t>, more significant and wide-ranging</w:t>
      </w:r>
      <w:r w:rsidRPr="0072363C">
        <w:t xml:space="preserve"> sanctions in the weeks prior to the full-scale invasion w</w:t>
      </w:r>
      <w:r w:rsidRPr="0072363C">
        <w:t>as</w:t>
      </w:r>
      <w:r w:rsidRPr="0072363C">
        <w:t xml:space="preserve"> not sufficient to deter Russia</w:t>
      </w:r>
      <w:r w:rsidRPr="0072363C">
        <w:t xml:space="preserve">, and </w:t>
      </w:r>
      <w:r w:rsidRPr="0072363C">
        <w:t xml:space="preserve">the </w:t>
      </w:r>
      <w:r w:rsidRPr="0072363C">
        <w:t xml:space="preserve">Kremlin </w:t>
      </w:r>
      <w:r w:rsidRPr="0072363C">
        <w:t xml:space="preserve">has not </w:t>
      </w:r>
      <w:r w:rsidRPr="0072363C">
        <w:t xml:space="preserve">yet </w:t>
      </w:r>
      <w:r w:rsidRPr="0072363C">
        <w:t xml:space="preserve">been deterred by the </w:t>
      </w:r>
      <w:r w:rsidRPr="0072363C">
        <w:t xml:space="preserve">incremental </w:t>
      </w:r>
      <w:r w:rsidRPr="0072363C">
        <w:t>tightening of economic pressure</w:t>
      </w:r>
      <w:r w:rsidRPr="0072363C">
        <w:t>. This</w:t>
      </w:r>
      <w:r w:rsidRPr="0072363C">
        <w:t xml:space="preserve"> has included stringent sanctions, exclusion from the SWIFT system, large-scale divestment, export controls, and oil price cap, transport restrictions and </w:t>
      </w:r>
      <w:r w:rsidRPr="0072363C">
        <w:t>other measures</w:t>
      </w:r>
      <w:r w:rsidRPr="0072363C">
        <w:t>.</w:t>
      </w:r>
      <w:r w:rsidRPr="0072363C">
        <w:t xml:space="preserve"> </w:t>
      </w:r>
      <w:r w:rsidRPr="0072363C">
        <w:t>Therefore</w:t>
      </w:r>
      <w:r w:rsidRPr="0072363C">
        <w:t>,</w:t>
      </w:r>
      <w:r w:rsidRPr="0072363C">
        <w:t xml:space="preserve"> </w:t>
      </w:r>
      <w:r w:rsidRPr="0072363C">
        <w:t xml:space="preserve">more </w:t>
      </w:r>
      <w:r w:rsidRPr="0072363C">
        <w:t xml:space="preserve">comprehensive, indefinite, cumulative </w:t>
      </w:r>
      <w:r w:rsidRPr="0072363C">
        <w:t xml:space="preserve">allied </w:t>
      </w:r>
      <w:r w:rsidRPr="0072363C">
        <w:t>effort to degrade Russia’s warfigh</w:t>
      </w:r>
      <w:r w:rsidRPr="0072363C">
        <w:t xml:space="preserve">ting capabilities </w:t>
      </w:r>
      <w:r w:rsidRPr="0072363C">
        <w:t xml:space="preserve">has also </w:t>
      </w:r>
      <w:r w:rsidRPr="0072363C">
        <w:t>not</w:t>
      </w:r>
      <w:r w:rsidRPr="0072363C">
        <w:t xml:space="preserve"> yet </w:t>
      </w:r>
      <w:r w:rsidRPr="0072363C">
        <w:t>pushed the Kremlin to change course.</w:t>
      </w:r>
    </w:p>
    <w:p w:rsidR="007776B7" w:rsidRPr="0072363C" w:rsidP="00233814">
      <w:r w:rsidRPr="0072363C">
        <w:t xml:space="preserve">Western analysis of the Russian </w:t>
      </w:r>
      <w:r w:rsidRPr="0072363C">
        <w:t xml:space="preserve">wartime </w:t>
      </w:r>
      <w:r w:rsidRPr="0072363C">
        <w:t xml:space="preserve">economy tends to </w:t>
      </w:r>
      <w:r w:rsidRPr="0072363C">
        <w:t xml:space="preserve">oscillate </w:t>
      </w:r>
      <w:r w:rsidRPr="0072363C">
        <w:t xml:space="preserve">unhelpfully </w:t>
      </w:r>
      <w:r w:rsidRPr="0072363C">
        <w:t xml:space="preserve">between two views: </w:t>
      </w:r>
    </w:p>
    <w:p w:rsidR="007776B7" w:rsidRPr="0072363C" w:rsidP="002E599E">
      <w:pPr>
        <w:pStyle w:val="ListParagraph"/>
        <w:numPr>
          <w:ilvl w:val="0"/>
          <w:numId w:val="12"/>
        </w:numPr>
      </w:pPr>
      <w:r w:rsidRPr="0072363C">
        <w:t>The first that it is resilient, built to endure periodical crises</w:t>
      </w:r>
      <w:r w:rsidRPr="0072363C">
        <w:t xml:space="preserve">, that Russians are historically compliant and </w:t>
      </w:r>
      <w:r w:rsidRPr="0072363C">
        <w:t>tolerant of hardship</w:t>
      </w:r>
      <w:r w:rsidRPr="0072363C">
        <w:t>,</w:t>
      </w:r>
      <w:r w:rsidRPr="0072363C">
        <w:t xml:space="preserve"> and that </w:t>
      </w:r>
      <w:r w:rsidRPr="0072363C">
        <w:t xml:space="preserve">the Kremlin </w:t>
      </w:r>
      <w:r w:rsidRPr="0072363C">
        <w:t xml:space="preserve">can </w:t>
      </w:r>
      <w:r w:rsidRPr="0072363C">
        <w:t xml:space="preserve">afford </w:t>
      </w:r>
      <w:r w:rsidRPr="0072363C">
        <w:t xml:space="preserve">the defence industrial means to maintain </w:t>
      </w:r>
      <w:r w:rsidRPr="0072363C">
        <w:t xml:space="preserve">its campaign in </w:t>
      </w:r>
      <w:r w:rsidRPr="0072363C">
        <w:t xml:space="preserve">Ukraine. This narrative suits Russia, of course. </w:t>
      </w:r>
    </w:p>
    <w:p w:rsidR="007776B7" w:rsidRPr="0072363C" w:rsidP="002E599E">
      <w:pPr>
        <w:pStyle w:val="ListParagraph"/>
        <w:numPr>
          <w:ilvl w:val="0"/>
          <w:numId w:val="12"/>
        </w:numPr>
      </w:pPr>
      <w:r w:rsidRPr="0072363C">
        <w:t xml:space="preserve">The second, to which we subscribe, is that </w:t>
      </w:r>
      <w:r w:rsidRPr="0072363C">
        <w:t xml:space="preserve">the prospects facing the </w:t>
      </w:r>
      <w:r>
        <w:t xml:space="preserve">Russian </w:t>
      </w:r>
      <w:r w:rsidRPr="0072363C">
        <w:t>economy on multiple measures are worsening</w:t>
      </w:r>
      <w:r w:rsidRPr="0072363C">
        <w:t xml:space="preserve"> – aided by Ukrainian strikes on Russian territory. T</w:t>
      </w:r>
      <w:r w:rsidRPr="0072363C">
        <w:t xml:space="preserve">here are </w:t>
      </w:r>
      <w:r w:rsidRPr="0072363C">
        <w:t xml:space="preserve">also now </w:t>
      </w:r>
      <w:r w:rsidRPr="0072363C">
        <w:t xml:space="preserve">discernible examples </w:t>
      </w:r>
      <w:r w:rsidRPr="0072363C">
        <w:t xml:space="preserve">emerging </w:t>
      </w:r>
      <w:r w:rsidRPr="0072363C">
        <w:t>of dissatisfaction with the situation at public and elite levels</w:t>
      </w:r>
      <w:r w:rsidRPr="0072363C">
        <w:t>, which</w:t>
      </w:r>
      <w:r w:rsidRPr="0072363C">
        <w:t xml:space="preserve"> Putin </w:t>
      </w:r>
      <w:r w:rsidRPr="0072363C">
        <w:t xml:space="preserve">himself has felt obliged to </w:t>
      </w:r>
      <w:r w:rsidRPr="0072363C">
        <w:t>acknowledge</w:t>
      </w:r>
      <w:r w:rsidRPr="0072363C">
        <w:t xml:space="preserve">. </w:t>
      </w:r>
    </w:p>
    <w:p w:rsidR="007776B7" w:rsidRPr="0072363C" w:rsidP="002E599E">
      <w:r w:rsidRPr="0072363C">
        <w:t>Therefore</w:t>
      </w:r>
      <w:r w:rsidRPr="0072363C">
        <w:t>,</w:t>
      </w:r>
      <w:r w:rsidRPr="0072363C">
        <w:t xml:space="preserve"> the UK’s economic levers – and its ability to work in partnership with its allies on their design and implementation – are now having an attritional impact on Russia’s economic prospects, which </w:t>
      </w:r>
      <w:r w:rsidRPr="0072363C">
        <w:t xml:space="preserve">is in turn </w:t>
      </w:r>
      <w:r w:rsidRPr="0072363C">
        <w:t>increas</w:t>
      </w:r>
      <w:r w:rsidRPr="0072363C">
        <w:t>ing</w:t>
      </w:r>
      <w:r w:rsidRPr="0072363C">
        <w:t xml:space="preserve"> domestic pressure on the regime. These measures also represent leverage for the</w:t>
      </w:r>
      <w:r w:rsidRPr="0072363C">
        <w:t xml:space="preserve"> UK and its</w:t>
      </w:r>
      <w:r w:rsidRPr="0072363C">
        <w:t xml:space="preserve"> allies </w:t>
      </w:r>
      <w:r w:rsidRPr="0072363C">
        <w:t>in any negotiations to end the war</w:t>
      </w:r>
      <w:r w:rsidRPr="0072363C">
        <w:t>.</w:t>
      </w:r>
      <w:r w:rsidRPr="0072363C">
        <w:t xml:space="preserve"> </w:t>
      </w:r>
      <w:r w:rsidRPr="0072363C">
        <w:t>Overall, the UK effort to drive forward the design and implementation of these economic measures</w:t>
      </w:r>
      <w:r w:rsidRPr="0072363C">
        <w:t xml:space="preserve"> has been crucial when considered over the duration of the war.</w:t>
      </w:r>
    </w:p>
    <w:p w:rsidR="007776B7" w:rsidRPr="0072363C" w:rsidP="00233814">
      <w:r w:rsidRPr="0072363C">
        <w:t>The UK’s attention should now turn to developing the capabilities required to respond to a country that is incentivised to evade sanctions, develop alternative payment schemes to retain and diversify its access to the international market, establish a non-dollar trading system</w:t>
      </w:r>
      <w:r w:rsidRPr="0072363C">
        <w:t xml:space="preserve">, and </w:t>
      </w:r>
      <w:r w:rsidRPr="0072363C">
        <w:t>operate between the illicit and legitimate spheres.</w:t>
      </w:r>
      <w:r w:rsidRPr="0072363C">
        <w:t xml:space="preserve"> This means continuing to invest in governmental expertise and levers for economic statecraft, beyond the sanctions toolkit already heavily employed and well understood by Russia.</w:t>
      </w:r>
      <w:r w:rsidRPr="0072363C">
        <w:t xml:space="preserve"> </w:t>
      </w:r>
    </w:p>
    <w:p w:rsidR="007776B7" w:rsidRPr="0072363C" w:rsidP="00387426">
      <w:pPr>
        <w:rPr>
          <w:b/>
          <w:bCs/>
        </w:rPr>
      </w:pPr>
      <w:r w:rsidRPr="0072363C">
        <w:rPr>
          <w:b/>
          <w:bCs/>
        </w:rPr>
        <w:t>Communicating resolve</w:t>
      </w:r>
    </w:p>
    <w:p w:rsidR="007776B7" w:rsidRPr="0072363C" w:rsidP="004E4AB9">
      <w:r>
        <w:t>P</w:t>
      </w:r>
      <w:r w:rsidRPr="0072363C">
        <w:t xml:space="preserve">olicy discussions </w:t>
      </w:r>
      <w:r>
        <w:t xml:space="preserve">tend to focus on </w:t>
      </w:r>
      <w:r w:rsidRPr="0072363C">
        <w:t>military and other</w:t>
      </w:r>
      <w:r w:rsidRPr="0072363C">
        <w:t xml:space="preserve"> (e.g. financial)</w:t>
      </w:r>
      <w:r w:rsidRPr="0072363C">
        <w:t xml:space="preserve"> capabilities to impose costs on Russia and deny benefits, </w:t>
      </w:r>
      <w:r>
        <w:t xml:space="preserve">while </w:t>
      </w:r>
      <w:r w:rsidRPr="0072363C">
        <w:t xml:space="preserve">too little attention is paid to communicating resolve. How </w:t>
      </w:r>
      <w:r>
        <w:t>can the UK and its NATO allies</w:t>
      </w:r>
      <w:r w:rsidRPr="0072363C">
        <w:t xml:space="preserve"> best communicate that the</w:t>
      </w:r>
      <w:r>
        <w:t>y</w:t>
      </w:r>
      <w:r w:rsidRPr="0072363C">
        <w:t xml:space="preserve"> are willing to fight</w:t>
      </w:r>
      <w:r w:rsidRPr="0072363C">
        <w:t>, and absorb the costs, of</w:t>
      </w:r>
      <w:r w:rsidRPr="0072363C">
        <w:t xml:space="preserve"> a long conventional war of attrition against Russia if needed?</w:t>
      </w:r>
      <w:r w:rsidRPr="0072363C">
        <w:t xml:space="preserve"> </w:t>
      </w:r>
    </w:p>
    <w:p w:rsidR="007776B7" w:rsidRPr="0072363C" w:rsidP="004E4AB9">
      <w:pPr>
        <w:pStyle w:val="ListParagraph"/>
        <w:numPr>
          <w:ilvl w:val="0"/>
          <w:numId w:val="1"/>
        </w:numPr>
      </w:pPr>
      <w:r w:rsidRPr="0072363C">
        <w:t>The UK and its allies must be able</w:t>
      </w:r>
      <w:r w:rsidRPr="0072363C">
        <w:t xml:space="preserve"> </w:t>
      </w:r>
      <w:r w:rsidRPr="0072363C">
        <w:t xml:space="preserve">to sustain and surge </w:t>
      </w:r>
      <w:r w:rsidRPr="0072363C">
        <w:t>their</w:t>
      </w:r>
      <w:r w:rsidRPr="0072363C">
        <w:t xml:space="preserve"> industrial capabilities </w:t>
      </w:r>
      <w:r w:rsidRPr="0072363C">
        <w:t xml:space="preserve">and proactively </w:t>
      </w:r>
      <w:r w:rsidRPr="0072363C">
        <w:t>demonstrate</w:t>
      </w:r>
      <w:r w:rsidRPr="0072363C">
        <w:t xml:space="preserve"> to </w:t>
      </w:r>
      <w:r w:rsidRPr="0072363C">
        <w:t>Russia</w:t>
      </w:r>
      <w:r w:rsidRPr="0072363C">
        <w:t xml:space="preserve"> that military capability is underpinned by a robust, agile and responsive industrial base.</w:t>
      </w:r>
      <w:r>
        <w:rPr>
          <w:rStyle w:val="FootnoteReference"/>
        </w:rPr>
        <w:footnoteReference w:id="32"/>
      </w:r>
      <w:r w:rsidRPr="0072363C">
        <w:t xml:space="preserve"> Recent public communications and a growing perception </w:t>
      </w:r>
      <w:r w:rsidRPr="0072363C">
        <w:t xml:space="preserve">by allies, let alone </w:t>
      </w:r>
      <w:r w:rsidRPr="0072363C">
        <w:t>Russia</w:t>
      </w:r>
      <w:r w:rsidRPr="0072363C">
        <w:t xml:space="preserve">, </w:t>
      </w:r>
      <w:r w:rsidRPr="0072363C">
        <w:t>of the UK as an under</w:t>
      </w:r>
      <w:r w:rsidRPr="0072363C">
        <w:t>-</w:t>
      </w:r>
      <w:r w:rsidRPr="0072363C">
        <w:t xml:space="preserve">investor in defence at the NATO level complicates this task further. </w:t>
      </w:r>
    </w:p>
    <w:p w:rsidR="007776B7" w:rsidRPr="0072363C" w:rsidP="004E4AB9">
      <w:pPr>
        <w:pStyle w:val="ListParagraph"/>
        <w:numPr>
          <w:ilvl w:val="0"/>
          <w:numId w:val="1"/>
        </w:numPr>
      </w:pPr>
      <w:r w:rsidRPr="0072363C">
        <w:t xml:space="preserve">Industrial capability </w:t>
      </w:r>
      <w:r w:rsidRPr="0072363C">
        <w:t>should</w:t>
      </w:r>
      <w:r w:rsidRPr="0072363C">
        <w:t xml:space="preserve"> be conceptualised as a</w:t>
      </w:r>
      <w:r w:rsidRPr="0072363C">
        <w:t xml:space="preserve"> vital</w:t>
      </w:r>
      <w:r w:rsidRPr="0072363C">
        <w:t xml:space="preserve"> facet of the UK’s broader national security posture, including its economic and financial resilience and public buy-in and resolve to support a national defence effort in a contingency. </w:t>
      </w:r>
      <w:r w:rsidRPr="0072363C">
        <w:t>Similarly, the UK government should urgently deliver the ‘national conversation’</w:t>
      </w:r>
      <w:r>
        <w:rPr>
          <w:rStyle w:val="FootnoteReference"/>
        </w:rPr>
        <w:footnoteReference w:id="33"/>
      </w:r>
      <w:r w:rsidRPr="0072363C">
        <w:t xml:space="preserve"> on mounting Russian threats recommended in the 2025 Strategic Defence Review </w:t>
      </w:r>
      <w:r w:rsidRPr="0072363C">
        <w:t>and look to enhance homeland and societal resilience</w:t>
      </w:r>
      <w:r>
        <w:t>.</w:t>
      </w:r>
      <w:r>
        <w:rPr>
          <w:rStyle w:val="FootnoteReference"/>
        </w:rPr>
        <w:footnoteReference w:id="34"/>
      </w:r>
      <w:r>
        <w:t xml:space="preserve"> This includes</w:t>
      </w:r>
      <w:r w:rsidRPr="0072363C">
        <w:t xml:space="preserve"> working with the </w:t>
      </w:r>
      <w:r>
        <w:t>NHS</w:t>
      </w:r>
      <w:r w:rsidRPr="0072363C">
        <w:t xml:space="preserve">, </w:t>
      </w:r>
      <w:r>
        <w:t xml:space="preserve">the </w:t>
      </w:r>
      <w:r w:rsidRPr="0072363C">
        <w:t xml:space="preserve">financial sector and critical infrastructure </w:t>
      </w:r>
      <w:r>
        <w:t>operators</w:t>
      </w:r>
      <w:r w:rsidRPr="0072363C">
        <w:t xml:space="preserve"> to prepare for potential wartime demands and disruption.</w:t>
      </w:r>
      <w:r>
        <w:rPr>
          <w:rStyle w:val="FootnoteReference"/>
        </w:rPr>
        <w:footnoteReference w:id="35"/>
      </w:r>
      <w:r w:rsidRPr="0072363C">
        <w:t xml:space="preserve"> This links to deterrence by denial but goes further, speaking also to the credibility of the UK’s resolve in Russian eyes </w:t>
      </w:r>
      <w:r>
        <w:t>when it comes to</w:t>
      </w:r>
      <w:r w:rsidRPr="0072363C">
        <w:t xml:space="preserve"> </w:t>
      </w:r>
      <w:r>
        <w:t>risking</w:t>
      </w:r>
      <w:r>
        <w:t xml:space="preserve"> </w:t>
      </w:r>
      <w:r w:rsidRPr="0072363C">
        <w:t>deterrence by punishment.</w:t>
      </w:r>
    </w:p>
    <w:p w:rsidR="007776B7" w:rsidRPr="0072363C" w:rsidP="004E4AB9">
      <w:pPr>
        <w:pStyle w:val="ListParagraph"/>
        <w:numPr>
          <w:ilvl w:val="0"/>
          <w:numId w:val="1"/>
        </w:numPr>
      </w:pPr>
      <w:r w:rsidRPr="0072363C">
        <w:t xml:space="preserve">The UK’s posture on defence readiness is currently strongly geared towards crisis flexibility, attempting to strike a balance between policy levers which compel industry to action in a crisis (for example, an equivalent regime to the US Defence Production Act), and the UK’s continued efforts to generate an innovative and sustainable industrial base which attracts inward investment from smaller, emerging players which are perceived as more readily able to generate capability at the ‘speed of readiness’, </w:t>
      </w:r>
      <w:r w:rsidRPr="0072363C">
        <w:t xml:space="preserve">especially </w:t>
      </w:r>
      <w:r w:rsidRPr="0072363C">
        <w:t>reflecting lessons from Ukraine.</w:t>
      </w:r>
      <w:r>
        <w:rPr>
          <w:rStyle w:val="FootnoteReference"/>
        </w:rPr>
        <w:footnoteReference w:id="36"/>
      </w:r>
      <w:r w:rsidRPr="0072363C">
        <w:t xml:space="preserve"> All these factors contribute to</w:t>
      </w:r>
      <w:r>
        <w:t xml:space="preserve"> the</w:t>
      </w:r>
      <w:r w:rsidRPr="0072363C">
        <w:t xml:space="preserve"> </w:t>
      </w:r>
      <w:r w:rsidRPr="0072363C">
        <w:t xml:space="preserve">Russian </w:t>
      </w:r>
      <w:r w:rsidRPr="0072363C">
        <w:t>perception of UK industrial readiness</w:t>
      </w:r>
      <w:r w:rsidRPr="0072363C">
        <w:t xml:space="preserve"> (or </w:t>
      </w:r>
      <w:r>
        <w:t>lack of</w:t>
      </w:r>
      <w:r w:rsidRPr="0072363C">
        <w:t>)</w:t>
      </w:r>
      <w:r w:rsidRPr="0072363C">
        <w:t xml:space="preserve">, and </w:t>
      </w:r>
      <w:r>
        <w:t>implications</w:t>
      </w:r>
      <w:r>
        <w:t xml:space="preserve"> on</w:t>
      </w:r>
      <w:r w:rsidRPr="0072363C">
        <w:t xml:space="preserve"> </w:t>
      </w:r>
      <w:r>
        <w:t>our</w:t>
      </w:r>
      <w:r w:rsidRPr="0072363C">
        <w:t xml:space="preserve"> broader deterrent posture. </w:t>
      </w:r>
    </w:p>
    <w:p w:rsidR="007776B7" w:rsidRPr="0072363C" w:rsidP="004E4AB9">
      <w:pPr>
        <w:pStyle w:val="ListParagraph"/>
        <w:numPr>
          <w:ilvl w:val="0"/>
          <w:numId w:val="1"/>
        </w:numPr>
      </w:pPr>
      <w:r w:rsidRPr="0072363C">
        <w:t>The UK’s continued support for Ukraine is a crucial element of</w:t>
      </w:r>
      <w:r w:rsidRPr="0072363C">
        <w:t xml:space="preserve"> </w:t>
      </w:r>
      <w:r w:rsidRPr="0072363C">
        <w:t>demonstrating</w:t>
      </w:r>
      <w:r w:rsidRPr="0072363C">
        <w:t xml:space="preserve"> rather than declaring resolve. The nature of that support has changed over the course of the invasion, from the provision of surplus weaponry to a model which is </w:t>
      </w:r>
      <w:r w:rsidRPr="0072363C">
        <w:t xml:space="preserve">based </w:t>
      </w:r>
      <w:r w:rsidRPr="0072363C">
        <w:t xml:space="preserve">more </w:t>
      </w:r>
      <w:r w:rsidRPr="0072363C">
        <w:t xml:space="preserve">around </w:t>
      </w:r>
      <w:r w:rsidRPr="0072363C">
        <w:t xml:space="preserve">training, </w:t>
      </w:r>
      <w:r w:rsidRPr="0072363C">
        <w:t>financial support, investment in industrial capability, and joint ventures.</w:t>
      </w:r>
      <w:r>
        <w:rPr>
          <w:rStyle w:val="FootnoteReference"/>
        </w:rPr>
        <w:footnoteReference w:id="37"/>
      </w:r>
      <w:r w:rsidRPr="0072363C">
        <w:t xml:space="preserve"> This is the right approach, given how rapidly Ukrainian industry </w:t>
      </w:r>
      <w:r w:rsidRPr="0072363C">
        <w:t xml:space="preserve">has adapted to the </w:t>
      </w:r>
      <w:r w:rsidRPr="0072363C">
        <w:t>changing circumstances of the war.</w:t>
      </w:r>
      <w:r w:rsidRPr="0072363C">
        <w:t xml:space="preserve"> Doing so also has direct benefit for the UK, giving it privileged access to capabilities which are battle</w:t>
      </w:r>
      <w:r w:rsidRPr="0072363C">
        <w:t>-</w:t>
      </w:r>
      <w:r w:rsidRPr="0072363C">
        <w:t>tested against Russian forces.</w:t>
      </w:r>
      <w:r w:rsidRPr="0072363C">
        <w:t xml:space="preserve"> </w:t>
      </w:r>
    </w:p>
    <w:p w:rsidR="007776B7" w:rsidRPr="0072363C" w:rsidP="00AA5DDF">
      <w:pPr>
        <w:pStyle w:val="ListParagraph"/>
        <w:numPr>
          <w:ilvl w:val="0"/>
          <w:numId w:val="1"/>
        </w:numPr>
      </w:pPr>
      <w:r w:rsidRPr="0072363C">
        <w:t>Prepositioning</w:t>
      </w:r>
      <w:r w:rsidRPr="0072363C">
        <w:t xml:space="preserve"> and/or rotating</w:t>
      </w:r>
      <w:r w:rsidRPr="0072363C">
        <w:t xml:space="preserve"> larger numbers of UK forces </w:t>
      </w:r>
      <w:r w:rsidRPr="0072363C">
        <w:t>through</w:t>
      </w:r>
      <w:r w:rsidRPr="0072363C">
        <w:t xml:space="preserve"> NATO’s Northeastern member states</w:t>
      </w:r>
      <w:r w:rsidRPr="0072363C">
        <w:t xml:space="preserve"> and in the High North</w:t>
      </w:r>
      <w:r w:rsidRPr="0072363C">
        <w:t xml:space="preserve"> </w:t>
      </w:r>
      <w:r w:rsidRPr="0072363C">
        <w:t xml:space="preserve">would </w:t>
      </w:r>
      <w:r w:rsidRPr="0072363C">
        <w:t xml:space="preserve">show an acceptance of </w:t>
      </w:r>
      <w:r w:rsidRPr="0072363C">
        <w:t xml:space="preserve">operational </w:t>
      </w:r>
      <w:r w:rsidRPr="0072363C">
        <w:t xml:space="preserve">risk and thus </w:t>
      </w:r>
      <w:r w:rsidRPr="0072363C">
        <w:t xml:space="preserve">political </w:t>
      </w:r>
      <w:r w:rsidRPr="0072363C">
        <w:t>resolve. Of course, this presence would benefit from improving</w:t>
      </w:r>
      <w:r w:rsidRPr="0072363C">
        <w:t xml:space="preserve"> military readiness and address known gaps such as</w:t>
      </w:r>
      <w:r w:rsidRPr="0072363C">
        <w:t xml:space="preserve"> Ground-Based Air Defence (GBAD)</w:t>
      </w:r>
      <w:r w:rsidRPr="0072363C">
        <w:t xml:space="preserve"> or</w:t>
      </w:r>
      <w:r w:rsidRPr="0072363C">
        <w:t xml:space="preserve"> Counter-UAS capabilities as quickly as possible.</w:t>
      </w:r>
      <w:r>
        <w:rPr>
          <w:rStyle w:val="FootnoteReference"/>
        </w:rPr>
        <w:footnoteReference w:id="38"/>
      </w:r>
      <w:r w:rsidRPr="0072363C">
        <w:t xml:space="preserve"> </w:t>
      </w:r>
    </w:p>
    <w:p w:rsidR="007776B7" w:rsidRPr="0072363C" w:rsidP="00AA5DDF">
      <w:pPr>
        <w:pStyle w:val="ListParagraph"/>
        <w:numPr>
          <w:ilvl w:val="0"/>
          <w:numId w:val="1"/>
        </w:numPr>
      </w:pPr>
      <w:r w:rsidRPr="0072363C">
        <w:t xml:space="preserve">Finally, there are other, more horizontal ways of escalation to consider if other deterrence measures fail against Russia. For example, the threat of joint NATO-Ukrainian operations in the case of an attack on NATO, where NATO-Ukrainian </w:t>
      </w:r>
      <w:r w:rsidRPr="0072363C">
        <w:t xml:space="preserve">respective strengths and weaknesses offset each other, would be extremely unlikely to be sustainable by the Russian regime. </w:t>
      </w:r>
    </w:p>
    <w:p w:rsidR="007776B7" w:rsidP="002F590B">
      <w:r w:rsidRPr="0072363C">
        <w:t>Importantly, it is worth stressing that c</w:t>
      </w:r>
      <w:r w:rsidRPr="0072363C">
        <w:t xml:space="preserve">ommunicating resolve is not only a problem for the UK and its </w:t>
      </w:r>
      <w:r w:rsidRPr="0072363C">
        <w:t xml:space="preserve">European </w:t>
      </w:r>
      <w:r w:rsidRPr="0072363C">
        <w:t>allies; Russian strategists believed their</w:t>
      </w:r>
      <w:r w:rsidRPr="0072363C">
        <w:t xml:space="preserve"> own</w:t>
      </w:r>
      <w:r w:rsidRPr="0072363C">
        <w:t xml:space="preserve"> deterrent largely failed in 2022, when it came to dissuad</w:t>
      </w:r>
      <w:r w:rsidRPr="0072363C">
        <w:t>ing</w:t>
      </w:r>
      <w:r w:rsidRPr="0072363C">
        <w:t xml:space="preserve"> NATO from supporting Ukraine, though </w:t>
      </w:r>
      <w:r w:rsidRPr="0072363C">
        <w:t>Russia</w:t>
      </w:r>
      <w:r w:rsidRPr="0072363C">
        <w:t xml:space="preserve"> succeeded at preventing NATO from directly intervening. The Russian deterrent </w:t>
      </w:r>
      <w:r w:rsidRPr="0072363C">
        <w:t xml:space="preserve">has </w:t>
      </w:r>
      <w:r w:rsidRPr="0072363C">
        <w:t xml:space="preserve">also failed to stop Ukraine from attacking strategic assets and </w:t>
      </w:r>
      <w:r w:rsidRPr="0072363C">
        <w:t xml:space="preserve">even </w:t>
      </w:r>
      <w:r w:rsidRPr="0072363C">
        <w:t>occupying parts of Russian territory.</w:t>
      </w:r>
      <w:r w:rsidRPr="0072363C">
        <w:t xml:space="preserve"> So,</w:t>
      </w:r>
      <w:r w:rsidRPr="0072363C">
        <w:t xml:space="preserve"> </w:t>
      </w:r>
      <w:r w:rsidRPr="0072363C">
        <w:t>t</w:t>
      </w:r>
      <w:r w:rsidRPr="0072363C">
        <w:t>he UK and allies must consider the possibility that Russia escalate</w:t>
      </w:r>
      <w:r w:rsidRPr="0072363C">
        <w:t>s</w:t>
      </w:r>
      <w:r w:rsidRPr="0072363C">
        <w:t xml:space="preserve"> more drastically during a future crisis to restore the credibility of its own deterrent.</w:t>
      </w:r>
    </w:p>
    <w:p w:rsidR="007776B7" w:rsidRPr="00387426" w:rsidP="00387426">
      <w:pPr>
        <w:keepNext/>
        <w:rPr>
          <w:b/>
          <w:bCs/>
        </w:rPr>
      </w:pPr>
      <w:r w:rsidRPr="00387426">
        <w:rPr>
          <w:b/>
          <w:bCs/>
        </w:rPr>
        <w:t>Re</w:t>
      </w:r>
      <w:r>
        <w:rPr>
          <w:b/>
          <w:bCs/>
        </w:rPr>
        <w:t>-</w:t>
      </w:r>
      <w:r w:rsidRPr="00387426">
        <w:rPr>
          <w:b/>
          <w:bCs/>
        </w:rPr>
        <w:t>examin</w:t>
      </w:r>
      <w:r>
        <w:rPr>
          <w:b/>
          <w:bCs/>
        </w:rPr>
        <w:t>ing</w:t>
      </w:r>
      <w:r w:rsidRPr="00387426">
        <w:rPr>
          <w:b/>
          <w:bCs/>
        </w:rPr>
        <w:t xml:space="preserve"> the fundament</w:t>
      </w:r>
      <w:r>
        <w:rPr>
          <w:b/>
          <w:bCs/>
        </w:rPr>
        <w:t>al</w:t>
      </w:r>
      <w:r w:rsidRPr="00387426">
        <w:rPr>
          <w:b/>
          <w:bCs/>
        </w:rPr>
        <w:t>s</w:t>
      </w:r>
    </w:p>
    <w:p w:rsidR="007776B7" w:rsidP="002F590B">
      <w:r>
        <w:t>Thinking more holistically about deterrence by denial and by punishment is needed</w:t>
      </w:r>
      <w:r>
        <w:t>, f</w:t>
      </w:r>
      <w:r>
        <w:t>or one, because the Russian approach to coercion and deterrence is more holistic</w:t>
      </w:r>
      <w:r>
        <w:t xml:space="preserve"> </w:t>
      </w:r>
      <w:r>
        <w:t xml:space="preserve">and well-practised </w:t>
      </w:r>
      <w:r>
        <w:t>than Western approaches</w:t>
      </w:r>
      <w:r>
        <w:t>.</w:t>
      </w:r>
      <w:r>
        <w:rPr>
          <w:rStyle w:val="FootnoteReference"/>
        </w:rPr>
        <w:footnoteReference w:id="39"/>
      </w:r>
      <w:r>
        <w:t xml:space="preserve"> </w:t>
      </w:r>
      <w:r>
        <w:t>Crucially, too, t</w:t>
      </w:r>
      <w:r>
        <w:t xml:space="preserve">here are </w:t>
      </w:r>
      <w:r>
        <w:t>some fundamental</w:t>
      </w:r>
      <w:r>
        <w:t xml:space="preserve"> questions that </w:t>
      </w:r>
      <w:r>
        <w:t>UK officials and the JCNSS should consider</w:t>
      </w:r>
      <w:r>
        <w:t>.</w:t>
      </w:r>
      <w:r>
        <w:t xml:space="preserve"> </w:t>
      </w:r>
    </w:p>
    <w:p w:rsidR="007776B7" w:rsidP="00170178">
      <w:r>
        <w:t xml:space="preserve">Deterrence is often treated too generically, with spending and capabilities stated to </w:t>
      </w:r>
      <w:r>
        <w:t>‘</w:t>
      </w:r>
      <w:r>
        <w:t>strengthen deterrence</w:t>
      </w:r>
      <w:r>
        <w:t>’</w:t>
      </w:r>
      <w:r>
        <w:t xml:space="preserve"> without an explanation </w:t>
      </w:r>
      <w:r>
        <w:t xml:space="preserve">as to </w:t>
      </w:r>
      <w:r>
        <w:t xml:space="preserve">why they do so. </w:t>
      </w:r>
      <w:r>
        <w:t xml:space="preserve">Deterrence should be thought of less as a noun and more as a verb: to </w:t>
      </w:r>
      <w:r>
        <w:t>d</w:t>
      </w:r>
      <w:r>
        <w:t>eter Russia from doing what</w:t>
      </w:r>
      <w:r>
        <w:t xml:space="preserve"> and why</w:t>
      </w:r>
      <w:r>
        <w:t>.</w:t>
      </w:r>
    </w:p>
    <w:p w:rsidR="007776B7" w:rsidP="009A5A58">
      <w:pPr>
        <w:pStyle w:val="ListParagraph"/>
        <w:numPr>
          <w:ilvl w:val="0"/>
          <w:numId w:val="10"/>
        </w:numPr>
      </w:pPr>
      <w:r>
        <w:t xml:space="preserve">The </w:t>
      </w:r>
      <w:r>
        <w:t>‘</w:t>
      </w:r>
      <w:r>
        <w:t>what</w:t>
      </w:r>
      <w:r>
        <w:t>’</w:t>
      </w:r>
      <w:r>
        <w:t xml:space="preserve"> is not simple: if it is aggression, this can take and has taken many shapes. As noted above, there are various kind of subthreshold activities that may remain difficult to deter</w:t>
      </w:r>
      <w:r>
        <w:t>, at least until a more robust, long-term and coordinated strategy to shape Russian behaviours (e.g. via enhanced UK and Allied actions to both disrupt and pressure Russia in the subthreshold) begins to bear fruit</w:t>
      </w:r>
      <w:r>
        <w:t xml:space="preserve">. </w:t>
      </w:r>
    </w:p>
    <w:p w:rsidR="007776B7" w:rsidP="009A5A58">
      <w:pPr>
        <w:pStyle w:val="ListParagraph"/>
        <w:numPr>
          <w:ilvl w:val="0"/>
          <w:numId w:val="10"/>
        </w:numPr>
      </w:pPr>
      <w:r>
        <w:t xml:space="preserve">But core issues of </w:t>
      </w:r>
      <w:r>
        <w:t>‘</w:t>
      </w:r>
      <w:r>
        <w:t>why</w:t>
      </w:r>
      <w:r>
        <w:t>’</w:t>
      </w:r>
      <w:r>
        <w:t xml:space="preserve"> UK actions will deter are even more complicated. It is widely acknowledged that t</w:t>
      </w:r>
      <w:r>
        <w:t xml:space="preserve">o deter is to achieve a cognitive effect in the mind of the adversary. Yet, too little time is spent on </w:t>
      </w:r>
      <w:r>
        <w:t>why we believe certain capabilities or behaviour will achieve that effect</w:t>
      </w:r>
      <w:r>
        <w:t>.</w:t>
      </w:r>
      <w:r>
        <w:t xml:space="preserve"> </w:t>
      </w:r>
    </w:p>
    <w:p w:rsidR="007776B7" w:rsidP="003A5DBC">
      <w:r>
        <w:t xml:space="preserve">The UK and NATO </w:t>
      </w:r>
      <w:r>
        <w:t xml:space="preserve">therefore </w:t>
      </w:r>
      <w:r>
        <w:t>n</w:t>
      </w:r>
      <w:r>
        <w:t>eed a</w:t>
      </w:r>
      <w:r>
        <w:t xml:space="preserve">n improved </w:t>
      </w:r>
      <w:r>
        <w:t>‘</w:t>
      </w:r>
      <w:r>
        <w:t>theory of effect</w:t>
      </w:r>
      <w:r>
        <w:t>’</w:t>
      </w:r>
      <w:r>
        <w:t xml:space="preserve"> </w:t>
      </w:r>
      <w:r>
        <w:t xml:space="preserve">that can be used to </w:t>
      </w:r>
      <w:r>
        <w:t>shape Russian behaviour</w:t>
      </w:r>
      <w:r>
        <w:t xml:space="preserve">, </w:t>
      </w:r>
      <w:r>
        <w:t>draw</w:t>
      </w:r>
      <w:r>
        <w:t>ing</w:t>
      </w:r>
      <w:r>
        <w:t xml:space="preserve"> on a </w:t>
      </w:r>
      <w:r>
        <w:t>systematic assess</w:t>
      </w:r>
      <w:r>
        <w:t>ment</w:t>
      </w:r>
      <w:r>
        <w:t xml:space="preserve"> </w:t>
      </w:r>
      <w:r>
        <w:t xml:space="preserve">of what the Putin regime truly values and what it fears </w:t>
      </w:r>
      <w:r>
        <w:t>vis</w:t>
      </w:r>
      <w:r>
        <w:t>-à-</w:t>
      </w:r>
      <w:r>
        <w:t xml:space="preserve">vis the UK and NATO. </w:t>
      </w:r>
      <w:r>
        <w:t xml:space="preserve">This would require </w:t>
      </w:r>
      <w:r>
        <w:t>map</w:t>
      </w:r>
      <w:r>
        <w:t>ping</w:t>
      </w:r>
      <w:r>
        <w:t xml:space="preserve"> </w:t>
      </w:r>
      <w:r>
        <w:t xml:space="preserve">the </w:t>
      </w:r>
      <w:r>
        <w:t xml:space="preserve">Russian </w:t>
      </w:r>
      <w:r>
        <w:t xml:space="preserve">regime’s </w:t>
      </w:r>
      <w:r>
        <w:t xml:space="preserve">perception of </w:t>
      </w:r>
      <w:r>
        <w:t xml:space="preserve">its </w:t>
      </w:r>
      <w:r>
        <w:t xml:space="preserve">own weaknesses </w:t>
      </w:r>
      <w:r>
        <w:t xml:space="preserve">and of </w:t>
      </w:r>
      <w:r>
        <w:t xml:space="preserve">UK and NATO strengths. </w:t>
      </w:r>
      <w:r>
        <w:t xml:space="preserve">With this </w:t>
      </w:r>
      <w:r>
        <w:t>framework</w:t>
      </w:r>
      <w:r>
        <w:t xml:space="preserve">, the UK would have a </w:t>
      </w:r>
      <w:r>
        <w:t>blueprint</w:t>
      </w:r>
      <w:r>
        <w:t xml:space="preserve"> to inform the acquisition of specific capabilities, their </w:t>
      </w:r>
      <w:r>
        <w:t>deployment and employment</w:t>
      </w:r>
      <w:r>
        <w:t>, that could more effectively deter Russian aggression, ac</w:t>
      </w:r>
      <w:r>
        <w:t xml:space="preserve">companied by </w:t>
      </w:r>
      <w:r>
        <w:t>clear</w:t>
      </w:r>
      <w:r>
        <w:t>er</w:t>
      </w:r>
      <w:r>
        <w:t xml:space="preserve">, </w:t>
      </w:r>
      <w:r>
        <w:t xml:space="preserve">tailored </w:t>
      </w:r>
      <w:r>
        <w:t xml:space="preserve">messaging to </w:t>
      </w:r>
      <w:r>
        <w:t>Russian leaders.</w:t>
      </w:r>
      <w:r>
        <w:t xml:space="preserve"> </w:t>
      </w:r>
    </w:p>
    <w:p w:rsidR="007776B7" w:rsidP="003A5DBC">
      <w:r>
        <w:t xml:space="preserve">The collapse of the arms control regime – from the Intermediate Nuclear Forces Treaty (INF) to New START </w:t>
      </w:r>
      <w:r>
        <w:t>–</w:t>
      </w:r>
      <w:r>
        <w:t xml:space="preserve"> over the past decades has not only worsened the instability but also removed an avenue to communicate resolve and capabilities to the other side.</w:t>
      </w:r>
      <w:r>
        <w:rPr>
          <w:rStyle w:val="FootnoteReference"/>
        </w:rPr>
        <w:footnoteReference w:id="40"/>
      </w:r>
      <w:r>
        <w:t xml:space="preserve"> </w:t>
      </w:r>
      <w:r>
        <w:t xml:space="preserve">In a sense, the </w:t>
      </w:r>
      <w:r>
        <w:t xml:space="preserve">UK and NATO’s future </w:t>
      </w:r>
      <w:r>
        <w:t xml:space="preserve">approach needs to </w:t>
      </w:r>
      <w:r>
        <w:t>re-build</w:t>
      </w:r>
      <w:r>
        <w:t xml:space="preserve"> the kind of deep</w:t>
      </w:r>
      <w:r>
        <w:t xml:space="preserve"> theoretical and empirical</w:t>
      </w:r>
      <w:r>
        <w:t xml:space="preserve"> knowledge that was accumulated during the Cold War and that reflected an exchange between </w:t>
      </w:r>
      <w:r>
        <w:t>Soviet/</w:t>
      </w:r>
      <w:r>
        <w:t>Russia experts, deterrence experts, arms control negotiators, military officials, and civilian policymakers.</w:t>
      </w:r>
      <w:r>
        <w:t xml:space="preserve"> </w:t>
      </w:r>
      <w:r>
        <w:t>If the UK and France intend to take on greater responsibility in European security with their deterrents, they need to understand better how Russia perceives their credibility and how they may stren</w:t>
      </w:r>
      <w:r>
        <w:t xml:space="preserve">gthen their </w:t>
      </w:r>
      <w:r>
        <w:t xml:space="preserve">perceived </w:t>
      </w:r>
      <w:r>
        <w:t>credibility in the Kremlin.</w:t>
      </w:r>
      <w:r>
        <w:rPr>
          <w:rStyle w:val="FootnoteReference"/>
        </w:rPr>
        <w:footnoteReference w:id="41"/>
      </w:r>
    </w:p>
    <w:p w:rsidR="007776B7" w:rsidP="00237B6F">
      <w:r>
        <w:t xml:space="preserve">For some Russian fears, we have some empirical evidence: </w:t>
      </w:r>
    </w:p>
    <w:p w:rsidR="007776B7" w:rsidP="00F84E92">
      <w:pPr>
        <w:pStyle w:val="ListParagraph"/>
        <w:numPr>
          <w:ilvl w:val="0"/>
          <w:numId w:val="11"/>
        </w:numPr>
      </w:pPr>
      <w:r>
        <w:t>For example, m</w:t>
      </w:r>
      <w:r>
        <w:t xml:space="preserve">ass aerospace attacks, </w:t>
      </w:r>
      <w:r>
        <w:t>specifically</w:t>
      </w:r>
      <w:r>
        <w:t xml:space="preserve"> </w:t>
      </w:r>
      <w:r>
        <w:t xml:space="preserve">the use of advanced US strike </w:t>
      </w:r>
      <w:r>
        <w:t>aircraft.</w:t>
      </w:r>
      <w:r>
        <w:t xml:space="preserve"> We assume that these fears have only d</w:t>
      </w:r>
      <w:r>
        <w:t xml:space="preserve">eepened after </w:t>
      </w:r>
      <w:r>
        <w:t xml:space="preserve">the </w:t>
      </w:r>
      <w:r>
        <w:t>degradation of air defences through Russia’s war on Ukraine.</w:t>
      </w:r>
      <w:r>
        <w:t xml:space="preserve"> Yet we might not have a clear idea how the UK and European NATO Allies can impose the threat of these costs without a prominent role for the United States.</w:t>
      </w:r>
      <w:r>
        <w:rPr>
          <w:rStyle w:val="FootnoteReference"/>
        </w:rPr>
        <w:footnoteReference w:id="42"/>
      </w:r>
      <w:r>
        <w:t xml:space="preserve"> </w:t>
      </w:r>
    </w:p>
    <w:p w:rsidR="007776B7" w:rsidP="00F84E92">
      <w:pPr>
        <w:pStyle w:val="ListParagraph"/>
        <w:numPr>
          <w:ilvl w:val="0"/>
          <w:numId w:val="11"/>
        </w:numPr>
      </w:pPr>
      <w:r>
        <w:t>A</w:t>
      </w:r>
      <w:r>
        <w:t>nother</w:t>
      </w:r>
      <w:r>
        <w:t xml:space="preserve"> prominent and persistent Russian fear relates to t</w:t>
      </w:r>
      <w:r>
        <w:t xml:space="preserve">hreats to </w:t>
      </w:r>
      <w:r>
        <w:t xml:space="preserve">the </w:t>
      </w:r>
      <w:r>
        <w:t>assured second strike</w:t>
      </w:r>
      <w:r>
        <w:t xml:space="preserve"> of its nuclear deterrent</w:t>
      </w:r>
      <w:r>
        <w:t>.</w:t>
      </w:r>
      <w:r>
        <w:t xml:space="preserve"> In the future, European DPS capabilities may offer some threat to those Russian capabilities. Yet there is a clear need to balance between deterrence and instability if those threats are invoked. </w:t>
      </w:r>
      <w:r>
        <w:t>Even though a set of opportunities exist there, t</w:t>
      </w:r>
      <w:r>
        <w:t>hreats to the survival of the Russian regime would also quickly enter the nuclear realm.</w:t>
      </w:r>
      <w:r>
        <w:rPr>
          <w:rStyle w:val="FootnoteReference"/>
        </w:rPr>
        <w:footnoteReference w:id="43"/>
      </w:r>
      <w:r>
        <w:t xml:space="preserve"> </w:t>
      </w:r>
    </w:p>
    <w:p w:rsidR="007776B7" w:rsidP="00237B6F">
      <w:r>
        <w:t>None of this means avoiding risks</w:t>
      </w:r>
      <w:r>
        <w:t>.</w:t>
      </w:r>
      <w:r>
        <w:t xml:space="preserve"> </w:t>
      </w:r>
      <w:r>
        <w:t xml:space="preserve">Rather, the UK </w:t>
      </w:r>
      <w:r>
        <w:t xml:space="preserve">and </w:t>
      </w:r>
      <w:r>
        <w:t>European allies</w:t>
      </w:r>
      <w:r>
        <w:t xml:space="preserve"> must continue to </w:t>
      </w:r>
      <w:r>
        <w:t xml:space="preserve">urgently </w:t>
      </w:r>
      <w:r>
        <w:t xml:space="preserve">re-build </w:t>
      </w:r>
      <w:r>
        <w:t>their</w:t>
      </w:r>
      <w:r>
        <w:t xml:space="preserve"> </w:t>
      </w:r>
      <w:r>
        <w:t>‘</w:t>
      </w:r>
      <w:r>
        <w:t>Deterrence IQ</w:t>
      </w:r>
      <w:r>
        <w:t>’</w:t>
      </w:r>
      <w:r>
        <w:t xml:space="preserve"> and </w:t>
      </w:r>
      <w:r>
        <w:t xml:space="preserve">a </w:t>
      </w:r>
      <w:r>
        <w:t xml:space="preserve">shared </w:t>
      </w:r>
      <w:r>
        <w:t>awareness of where the risks are located, and when and where to push the Kremlin further and when to hold back.</w:t>
      </w:r>
      <w:r>
        <w:rPr>
          <w:rStyle w:val="FootnoteReference"/>
        </w:rPr>
        <w:footnoteReference w:id="44"/>
      </w:r>
    </w:p>
    <w:p w:rsidR="007776B7" w:rsidRPr="00387426" w:rsidP="00387426">
      <w:pPr>
        <w:keepNext/>
        <w:rPr>
          <w:b/>
          <w:bCs/>
        </w:rPr>
      </w:pPr>
      <w:r w:rsidRPr="00387426">
        <w:rPr>
          <w:b/>
          <w:bCs/>
        </w:rPr>
        <w:t>Conclusion</w:t>
      </w:r>
    </w:p>
    <w:p w:rsidR="007776B7" w:rsidP="00463EF9">
      <w:r>
        <w:t>The UK has tools to deter Russia from drastic escalations but lacks the ability to manage escalation at lower level of major conflict.</w:t>
      </w:r>
      <w:r>
        <w:t xml:space="preserve"> Ongoing c</w:t>
      </w:r>
      <w:r>
        <w:t>apability investments will address these shortcomings, but not in the near term</w:t>
      </w:r>
      <w:r>
        <w:t>, especially given resource shortfalls</w:t>
      </w:r>
      <w:r>
        <w:t>.</w:t>
      </w:r>
      <w:r>
        <w:t xml:space="preserve"> Better communicating r</w:t>
      </w:r>
      <w:r>
        <w:t xml:space="preserve">esolve is therefore essential, but there are significant shortcomings in terms of industrial sustainment that signals that the UK </w:t>
      </w:r>
      <w:r>
        <w:t>is serious about its preparations</w:t>
      </w:r>
      <w:r>
        <w:t xml:space="preserve"> to stay in the fight for the long term</w:t>
      </w:r>
      <w:r>
        <w:t xml:space="preserve"> if so needed</w:t>
      </w:r>
      <w:r>
        <w:t>.</w:t>
      </w:r>
    </w:p>
    <w:p w:rsidR="007776B7" w:rsidP="00463EF9">
      <w:r>
        <w:t>Crucially, above all, t</w:t>
      </w:r>
      <w:r>
        <w:t>he UK and its allies need to invest more in analysing Russia</w:t>
      </w:r>
      <w:r>
        <w:t xml:space="preserve"> itself to articulate a more tailored and empirically</w:t>
      </w:r>
      <w:r>
        <w:t xml:space="preserve"> </w:t>
      </w:r>
      <w:r>
        <w:t>informed approach to how best to deter Russia from specified forms of aggression</w:t>
      </w:r>
      <w:r>
        <w:t xml:space="preserve"> – including with reduced input from the United States</w:t>
      </w:r>
      <w:r>
        <w:t>.</w:t>
      </w:r>
      <w:r>
        <w:t xml:space="preserve"> </w:t>
      </w:r>
      <w:r>
        <w:t xml:space="preserve">This means investing to re-build the oft-overlooked conceptual and moral components of our warfighting power, not just investing in the physical elements. </w:t>
      </w:r>
    </w:p>
    <w:p w:rsidR="006C6E61" w:rsidRPr="006C6E61" w:rsidP="006C6E61">
      <w:pPr>
        <w:jc w:val="left"/>
        <w:rPr>
          <w:i/>
          <w:iCs/>
        </w:rPr>
      </w:pPr>
      <w:r w:rsidRPr="006C6E61">
        <w:rPr>
          <w:i/>
          <w:iCs/>
        </w:rPr>
        <w:t>8 July 2026</w:t>
      </w:r>
    </w:p>
    <w:p w:rsidR="006C6E61" w:rsidP="00463EF9"/>
    <w:sectPr>
      <w:headerReference w:type="default" r:id="rId6"/>
      <w:footerReference w:type="defaul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76B7">
    <w:pPr>
      <w:pStyle w:val="Footer"/>
      <w:jc w:val="center"/>
    </w:pPr>
  </w:p>
  <w:p w:rsidR="007776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776B7" w:rsidP="00697B7C">
      <w:pPr>
        <w:spacing w:after="0" w:line="240" w:lineRule="auto"/>
      </w:pPr>
      <w:r>
        <w:separator/>
      </w:r>
    </w:p>
  </w:footnote>
  <w:footnote w:type="continuationSeparator" w:id="1">
    <w:p w:rsidR="007776B7" w:rsidP="00697B7C">
      <w:pPr>
        <w:spacing w:after="0" w:line="240" w:lineRule="auto"/>
      </w:pPr>
      <w:r>
        <w:continuationSeparator/>
      </w:r>
    </w:p>
  </w:footnote>
  <w:footnote w:id="2">
    <w:p w:rsidR="007776B7" w:rsidP="00F85BAD">
      <w:pPr>
        <w:pStyle w:val="FootnoteText"/>
        <w:jc w:val="left"/>
      </w:pPr>
      <w:r>
        <w:rPr>
          <w:rStyle w:val="FootnoteReference"/>
        </w:rPr>
        <w:footnoteRef/>
      </w:r>
      <w:r w:rsidRPr="00900864">
        <w:t xml:space="preserve"> </w:t>
      </w:r>
      <w:r>
        <w:t xml:space="preserve">Dr </w:t>
      </w:r>
      <w:r w:rsidRPr="00900864">
        <w:t xml:space="preserve">Paul van Hooft, </w:t>
      </w:r>
      <w:r>
        <w:t xml:space="preserve">Dr </w:t>
      </w:r>
      <w:r w:rsidRPr="00900864">
        <w:t xml:space="preserve">Jacob Parakilas, </w:t>
      </w:r>
      <w:r>
        <w:t xml:space="preserve">Dr </w:t>
      </w:r>
      <w:r w:rsidRPr="00900864">
        <w:t>John Kennedy a</w:t>
      </w:r>
      <w:r>
        <w:t xml:space="preserve">nd Stuart Dee are Research Leaders at RAND Europe, responsible for its research programmes on deterrence, defence strategy, Russia and defence industry respectively. James Black is Deputy Director for the overall Defence and Security Research Group. </w:t>
      </w:r>
      <w:r w:rsidRPr="006561DC">
        <w:t>The opinions and conclusions expressed in this testimony are the author’s alone and should not be interpreted as representing those of RAND Europe or any of the sponsors of its research.</w:t>
      </w:r>
    </w:p>
  </w:footnote>
  <w:footnote w:id="3">
    <w:p w:rsidR="007776B7" w:rsidP="00F85BAD">
      <w:pPr>
        <w:pStyle w:val="FootnoteText"/>
        <w:jc w:val="left"/>
      </w:pPr>
      <w:r>
        <w:rPr>
          <w:rStyle w:val="FootnoteReference"/>
        </w:rPr>
        <w:footnoteRef/>
      </w:r>
      <w:r>
        <w:t xml:space="preserve"> </w:t>
      </w:r>
      <w:r w:rsidRPr="006561DC">
        <w:t>RAND Europe is a research organisation that develops solutions to public policy challenges to help make communities throughout the world safer and more secure, healthier and more prosperous. RAND Europe is nonprofit, nonpartisan, and committed to the public interest. RAND’s mission is enabled through its core values of quality and objectivity and its commitment to integrity and ethical behaviour. RAND Europe subjects its research publications to a robust and exacting quality-assurance process; avoids finan</w:t>
      </w:r>
      <w:r w:rsidRPr="006561DC">
        <w:t>cial and other conflicts of interest through staff training, project screening, and a policy of mandatory disclosure; and pursues transparency through the open publication of research findings and recommendations, disclosure of the source of funding of published research, and policies to ensure intellectual independence. This testimony is not a research publication, but witnesses affiliated with RAND Europe routinely draw on relevant research conducted in the organisation.</w:t>
      </w:r>
    </w:p>
  </w:footnote>
  <w:footnote w:id="4">
    <w:p w:rsidR="007776B7" w:rsidRPr="00CE0DC1" w:rsidP="00F85BAD">
      <w:pPr>
        <w:pStyle w:val="FootnoteText"/>
        <w:jc w:val="left"/>
      </w:pPr>
      <w:r>
        <w:rPr>
          <w:rStyle w:val="FootnoteReference"/>
        </w:rPr>
        <w:footnoteRef/>
      </w:r>
      <w:r w:rsidRPr="00CE0DC1">
        <w:t xml:space="preserve"> </w:t>
      </w:r>
      <w:r w:rsidRPr="00CE0DC1">
        <w:t>van Hooft</w:t>
      </w:r>
      <w:r>
        <w:t>, Paul.</w:t>
      </w:r>
      <w:r w:rsidRPr="00CE0DC1">
        <w:t xml:space="preserve"> 2025</w:t>
      </w:r>
      <w:r>
        <w:t>.</w:t>
      </w:r>
      <w:r w:rsidRPr="00CE0DC1">
        <w:t xml:space="preserve"> ‘What is Europe’s Strategy for</w:t>
      </w:r>
      <w:r>
        <w:t xml:space="preserve"> Success Against Russia?’ RAND</w:t>
      </w:r>
      <w:r>
        <w:t xml:space="preserve"> Corporation</w:t>
      </w:r>
      <w:r>
        <w:t xml:space="preserve">. </w:t>
      </w:r>
      <w:r>
        <w:t xml:space="preserve">As of 7 July 2026: </w:t>
      </w:r>
      <w:r>
        <w:fldChar w:fldCharType="begin"/>
      </w:r>
      <w:r>
        <w:instrText xml:space="preserve"> HYPERLINK "https://www.rand.org/pubs/commentary/2025/06/what-is-europes-strategy-for-success-against-russia.html" </w:instrText>
      </w:r>
      <w:r>
        <w:fldChar w:fldCharType="separate"/>
      </w:r>
      <w:r w:rsidRPr="008C4041">
        <w:rPr>
          <w:rStyle w:val="Hyperlink"/>
        </w:rPr>
        <w:t>https://www.rand.org/pubs/commentary/2025/06/what-is-europes-strategy-for-success-against-russia.html</w:t>
      </w:r>
      <w:r>
        <w:fldChar w:fldCharType="end"/>
      </w:r>
      <w:r>
        <w:t>.</w:t>
      </w:r>
      <w:r>
        <w:t xml:space="preserve"> This is also the focus of an ongoing RAND Europe study for the UK Ministry of Defence</w:t>
      </w:r>
      <w:r>
        <w:t xml:space="preserve"> (MOD)</w:t>
      </w:r>
      <w:r>
        <w:t xml:space="preserve"> via the Nuclear Deterrence Fund, cf. </w:t>
      </w:r>
      <w:r>
        <w:t>v</w:t>
      </w:r>
      <w:r>
        <w:t>an Hooft,</w:t>
      </w:r>
      <w:r>
        <w:t xml:space="preserve"> Paul,</w:t>
      </w:r>
      <w:r>
        <w:t xml:space="preserve"> Mattias Eken, Zsofia Wolford, Artur Honich, Thomas Kenchington </w:t>
      </w:r>
      <w:r>
        <w:t>&amp;</w:t>
      </w:r>
      <w:r>
        <w:t xml:space="preserve"> Kiran Suman-Chauhan</w:t>
      </w:r>
      <w:r>
        <w:t>. F</w:t>
      </w:r>
      <w:r>
        <w:t>orthcoming</w:t>
      </w:r>
      <w:r>
        <w:t>.</w:t>
      </w:r>
      <w:r>
        <w:t xml:space="preserve"> </w:t>
      </w:r>
      <w:r w:rsidRPr="00D266D1">
        <w:rPr>
          <w:i/>
          <w:iCs/>
        </w:rPr>
        <w:t>Conventional Logics, Nuclear Fears: Inadvertent Escalation Risks Between NATO and Russia</w:t>
      </w:r>
      <w:r>
        <w:t>.</w:t>
      </w:r>
      <w:r>
        <w:t xml:space="preserve"> </w:t>
      </w:r>
      <w:r>
        <w:t xml:space="preserve">Santa Monica, Calif.: </w:t>
      </w:r>
      <w:r>
        <w:t>RAND</w:t>
      </w:r>
      <w:r>
        <w:t xml:space="preserve"> Corporation</w:t>
      </w:r>
      <w:r>
        <w:t>.</w:t>
      </w:r>
      <w:r>
        <w:t xml:space="preserve"> </w:t>
      </w:r>
    </w:p>
  </w:footnote>
  <w:footnote w:id="5">
    <w:p w:rsidR="007776B7" w:rsidP="00F85BAD">
      <w:pPr>
        <w:pStyle w:val="FootnoteText"/>
        <w:jc w:val="left"/>
      </w:pPr>
      <w:r>
        <w:rPr>
          <w:rStyle w:val="FootnoteReference"/>
        </w:rPr>
        <w:footnoteRef/>
      </w:r>
      <w:r>
        <w:t xml:space="preserve"> Though the UK has some industrial dependencies on the United States (e.g. for the Trident D5 missile which the Royal Navy and US Navy’s submarine fleets share), the submarines and nuclear warheads are designed and manufactured in the UK, and the UK’s strategic nuclear deterrent is fully operationally independent. </w:t>
      </w:r>
      <w:r>
        <w:t>Still, r</w:t>
      </w:r>
      <w:r>
        <w:t xml:space="preserve">ecent RAND Europe research </w:t>
      </w:r>
      <w:r>
        <w:t>for the UK MOD via the Nuclear Deterrence Fund found</w:t>
      </w:r>
      <w:r>
        <w:t xml:space="preserve"> that</w:t>
      </w:r>
      <w:r>
        <w:t>, while</w:t>
      </w:r>
      <w:r>
        <w:t xml:space="preserve"> Russia </w:t>
      </w:r>
      <w:r>
        <w:t>perceives</w:t>
      </w:r>
      <w:r>
        <w:t xml:space="preserve"> the UK nuclear deterrent as a credible threat to impose unacceptable damage, </w:t>
      </w:r>
      <w:r>
        <w:t>it</w:t>
      </w:r>
      <w:r>
        <w:t xml:space="preserve"> is </w:t>
      </w:r>
      <w:r>
        <w:t xml:space="preserve">seen </w:t>
      </w:r>
      <w:r>
        <w:t>as</w:t>
      </w:r>
      <w:r>
        <w:t xml:space="preserve"> relatively weaker than its French counterpart due to perceived technical and political reliance on the </w:t>
      </w:r>
      <w:r>
        <w:t>United States. Cf.</w:t>
      </w:r>
      <w:r>
        <w:t xml:space="preserve"> Wolford,</w:t>
      </w:r>
      <w:r>
        <w:t xml:space="preserve"> Zsofia,</w:t>
      </w:r>
      <w:r>
        <w:t xml:space="preserve"> Elizabeth Moisan, Thomas Kenchington, Catherine Galley </w:t>
      </w:r>
      <w:r>
        <w:t>&amp;</w:t>
      </w:r>
      <w:r>
        <w:t xml:space="preserve"> Clara Le Gargasson</w:t>
      </w:r>
      <w:r>
        <w:t xml:space="preserve">. </w:t>
      </w:r>
      <w:r>
        <w:t>2025</w:t>
      </w:r>
      <w:r>
        <w:t>.</w:t>
      </w:r>
      <w:r>
        <w:t xml:space="preserve"> </w:t>
      </w:r>
      <w:r>
        <w:rPr>
          <w:i/>
          <w:iCs/>
        </w:rPr>
        <w:t>Evolving Russian Perceptions of the British and French Nuclear Deterrents</w:t>
      </w:r>
      <w:r>
        <w:t>.</w:t>
      </w:r>
      <w:r>
        <w:t xml:space="preserve"> </w:t>
      </w:r>
      <w:r>
        <w:t xml:space="preserve">Santa Monica, Calif.: </w:t>
      </w:r>
      <w:r>
        <w:t>RAND</w:t>
      </w:r>
      <w:r>
        <w:t xml:space="preserve"> Corporation. RR-A3900-1. As of 7 July 2026:</w:t>
      </w:r>
      <w:r>
        <w:t xml:space="preserve"> </w:t>
      </w:r>
      <w:r>
        <w:fldChar w:fldCharType="begin"/>
      </w:r>
      <w:r>
        <w:instrText xml:space="preserve"> HYPERLINK "https://www.rand.org/pubs/research_reports/RRA3900-1.html" </w:instrText>
      </w:r>
      <w:r>
        <w:fldChar w:fldCharType="separate"/>
      </w:r>
      <w:r w:rsidRPr="000B12E9">
        <w:rPr>
          <w:rStyle w:val="Hyperlink"/>
        </w:rPr>
        <w:t>https://www.rand.org/pubs/research_reports/RRA3900-1.html</w:t>
      </w:r>
      <w:r>
        <w:fldChar w:fldCharType="end"/>
      </w:r>
      <w:r>
        <w:t xml:space="preserve">  </w:t>
      </w:r>
    </w:p>
  </w:footnote>
  <w:footnote w:id="6">
    <w:p w:rsidR="007776B7" w:rsidP="00F85BAD">
      <w:pPr>
        <w:pStyle w:val="FootnoteText"/>
        <w:jc w:val="left"/>
      </w:pPr>
      <w:r>
        <w:rPr>
          <w:rStyle w:val="FootnoteReference"/>
        </w:rPr>
        <w:footnoteRef/>
      </w:r>
      <w:r>
        <w:t xml:space="preserve"> </w:t>
      </w:r>
      <w:r w:rsidRPr="00827487">
        <w:t>Kristensen,</w:t>
      </w:r>
      <w:r>
        <w:t xml:space="preserve"> Hans,</w:t>
      </w:r>
      <w:r w:rsidRPr="00827487">
        <w:t xml:space="preserve"> Matt Korda, Eliana Johns, </w:t>
      </w:r>
      <w:r>
        <w:t>&amp;</w:t>
      </w:r>
      <w:r w:rsidRPr="00827487">
        <w:t xml:space="preserve"> Mackenzie Knight</w:t>
      </w:r>
      <w:r>
        <w:t xml:space="preserve">. </w:t>
      </w:r>
      <w:r w:rsidRPr="00827487">
        <w:t>2024</w:t>
      </w:r>
      <w:r>
        <w:t>.</w:t>
      </w:r>
      <w:r w:rsidRPr="00E81E77">
        <w:rPr>
          <w:i/>
          <w:iCs/>
        </w:rPr>
        <w:t xml:space="preserve"> </w:t>
      </w:r>
      <w:r>
        <w:rPr>
          <w:i/>
          <w:iCs/>
        </w:rPr>
        <w:t>‘</w:t>
      </w:r>
      <w:r w:rsidRPr="00827487">
        <w:t xml:space="preserve">United Kingdom </w:t>
      </w:r>
      <w:r w:rsidRPr="00827487">
        <w:t>N</w:t>
      </w:r>
      <w:r w:rsidRPr="00827487">
        <w:t xml:space="preserve">uclear </w:t>
      </w:r>
      <w:r w:rsidRPr="00827487">
        <w:t>W</w:t>
      </w:r>
      <w:r w:rsidRPr="00827487">
        <w:t>eapons, 2024</w:t>
      </w:r>
      <w:r>
        <w:t>.</w:t>
      </w:r>
      <w:r>
        <w:rPr>
          <w:i/>
          <w:iCs/>
        </w:rPr>
        <w:t>’</w:t>
      </w:r>
      <w:r w:rsidRPr="00E81E77">
        <w:rPr>
          <w:i/>
          <w:iCs/>
        </w:rPr>
        <w:t> </w:t>
      </w:r>
      <w:r w:rsidRPr="00F85BAD">
        <w:rPr>
          <w:i/>
          <w:iCs/>
        </w:rPr>
        <w:t>Bulletin</w:t>
      </w:r>
      <w:r w:rsidRPr="00F85BAD">
        <w:rPr>
          <w:i/>
          <w:iCs/>
        </w:rPr>
        <w:t xml:space="preserve"> </w:t>
      </w:r>
      <w:r w:rsidRPr="00F85BAD">
        <w:rPr>
          <w:i/>
          <w:iCs/>
        </w:rPr>
        <w:t>of the Atomic Scientists</w:t>
      </w:r>
      <w:r w:rsidRPr="00E81E77">
        <w:rPr>
          <w:i/>
          <w:iCs/>
        </w:rPr>
        <w:t xml:space="preserve">, </w:t>
      </w:r>
      <w:r w:rsidRPr="00827487">
        <w:t>80</w:t>
      </w:r>
      <w:r>
        <w:t xml:space="preserve"> (</w:t>
      </w:r>
      <w:r w:rsidRPr="00827487">
        <w:t>6</w:t>
      </w:r>
      <w:r>
        <w:t>):</w:t>
      </w:r>
      <w:r w:rsidRPr="00827487">
        <w:t>394-407</w:t>
      </w:r>
      <w:r>
        <w:t>.</w:t>
      </w:r>
      <w:r>
        <w:t xml:space="preserve"> </w:t>
      </w:r>
      <w:r>
        <w:t xml:space="preserve">As of 7 July 2026: </w:t>
      </w:r>
      <w:r>
        <w:fldChar w:fldCharType="begin"/>
      </w:r>
      <w:r>
        <w:instrText xml:space="preserve"> HYPERLINK "https://doi.org/10.1080/00963402.2024.2420550" </w:instrText>
      </w:r>
      <w:r>
        <w:fldChar w:fldCharType="separate"/>
      </w:r>
      <w:r w:rsidRPr="00BE5927">
        <w:rPr>
          <w:rStyle w:val="Hyperlink"/>
        </w:rPr>
        <w:t>https://doi.org/10.1080/00963402.2024.2420550</w:t>
      </w:r>
      <w:r>
        <w:fldChar w:fldCharType="end"/>
      </w:r>
    </w:p>
  </w:footnote>
  <w:footnote w:id="7">
    <w:p w:rsidR="007776B7" w:rsidP="00F85BAD">
      <w:pPr>
        <w:pStyle w:val="FootnoteText"/>
        <w:jc w:val="left"/>
      </w:pPr>
      <w:r>
        <w:rPr>
          <w:rStyle w:val="FootnoteReference"/>
        </w:rPr>
        <w:footnoteRef/>
      </w:r>
      <w:r>
        <w:t xml:space="preserve"> There are also well-documented challenges and fragilities with platform availability, sustainment, infrastructure, workforce, and industrial capacity across the defence nuclear enterprise, though the UK </w:t>
      </w:r>
      <w:r>
        <w:t>MOD</w:t>
      </w:r>
      <w:r>
        <w:t xml:space="preserve">, the Royal Navy, the Defence Nuclear Organisation and industry players BAE Systems, Rolls-Royce and Babcock are investing heavily to address these. This not only includes the direct replacement of </w:t>
      </w:r>
      <w:r>
        <w:rPr>
          <w:i/>
          <w:iCs/>
        </w:rPr>
        <w:t>Vanguard</w:t>
      </w:r>
      <w:r>
        <w:t xml:space="preserve"> with four </w:t>
      </w:r>
      <w:r>
        <w:rPr>
          <w:i/>
          <w:iCs/>
        </w:rPr>
        <w:t>Dreadnought-</w:t>
      </w:r>
      <w:r>
        <w:t>class submarines, but also investments in Faslane, Devonport, Barrow, Alderm</w:t>
      </w:r>
      <w:r>
        <w:t xml:space="preserve">aston, and the supply chain, and spillovers from spending on AUKUS Pillar One. </w:t>
      </w:r>
    </w:p>
  </w:footnote>
  <w:footnote w:id="8">
    <w:p w:rsidR="007776B7" w:rsidP="00F85BAD">
      <w:pPr>
        <w:pStyle w:val="FootnoteText"/>
        <w:jc w:val="left"/>
      </w:pPr>
      <w:r>
        <w:rPr>
          <w:rStyle w:val="FootnoteReference"/>
        </w:rPr>
        <w:footnoteRef/>
      </w:r>
      <w:r>
        <w:t xml:space="preserve"> However, this fleet is relatively small in number, with 48 F-35B and 137 Typhoons in total.  Considering draws on these assets for training and maintenance interventions, the routinely operationally</w:t>
      </w:r>
      <w:r>
        <w:t xml:space="preserve"> </w:t>
      </w:r>
      <w:r>
        <w:t>available fleet for tasks such as air defence is smaller still. Additionally, UK F-35Bs do not yet have an operational standoff air</w:t>
      </w:r>
      <w:r>
        <w:t>-</w:t>
      </w:r>
      <w:r>
        <w:t>to</w:t>
      </w:r>
      <w:r>
        <w:t>-</w:t>
      </w:r>
      <w:r>
        <w:t>ground weapon, meaning that they must come very close to potentially heavily defended targets to employ their air to ground munitions, exposing them to additional danger.</w:t>
      </w:r>
    </w:p>
  </w:footnote>
  <w:footnote w:id="9">
    <w:p w:rsidR="007776B7" w:rsidRPr="00044C59" w:rsidP="00F85BAD">
      <w:pPr>
        <w:pStyle w:val="FootnoteText"/>
        <w:jc w:val="left"/>
      </w:pPr>
      <w:r>
        <w:rPr>
          <w:rStyle w:val="FootnoteReference"/>
        </w:rPr>
        <w:footnoteRef/>
      </w:r>
      <w:r>
        <w:t xml:space="preserve"> Wolford,</w:t>
      </w:r>
      <w:r>
        <w:t xml:space="preserve"> Zsofia,</w:t>
      </w:r>
      <w:r>
        <w:t xml:space="preserve"> James Black </w:t>
      </w:r>
      <w:r>
        <w:t>&amp;</w:t>
      </w:r>
      <w:r>
        <w:t xml:space="preserve"> Paul van Hooft</w:t>
      </w:r>
      <w:r>
        <w:t xml:space="preserve">. </w:t>
      </w:r>
      <w:r>
        <w:t>2025</w:t>
      </w:r>
      <w:r>
        <w:t>.</w:t>
      </w:r>
      <w:r>
        <w:t xml:space="preserve"> ‘Can More British and French Nuclear Cooperation Help Deter Russia?’, </w:t>
      </w:r>
      <w:r w:rsidRPr="00F85BAD">
        <w:t>War on The Rocks</w:t>
      </w:r>
      <w:r>
        <w:t xml:space="preserve">, 30 September. </w:t>
      </w:r>
      <w:r>
        <w:t xml:space="preserve">As of 7 July 2026: </w:t>
      </w:r>
      <w:r>
        <w:fldChar w:fldCharType="begin"/>
      </w:r>
      <w:r>
        <w:instrText xml:space="preserve"> HYPERLINK "https://warontherocks.com/can-more-british-and-french-nuclear-cooperation-help-deter-russia/" </w:instrText>
      </w:r>
      <w:r>
        <w:fldChar w:fldCharType="separate"/>
      </w:r>
      <w:r w:rsidRPr="00BE5927">
        <w:rPr>
          <w:rStyle w:val="Hyperlink"/>
        </w:rPr>
        <w:t>https://warontherocks.com/can-more-british-and-french-nuclear-cooperation-help-deter-russia/</w:t>
      </w:r>
      <w:r>
        <w:fldChar w:fldCharType="end"/>
      </w:r>
      <w:r>
        <w:t xml:space="preserve"> </w:t>
      </w:r>
    </w:p>
  </w:footnote>
  <w:footnote w:id="10">
    <w:p w:rsidR="007776B7" w:rsidRPr="00044C59" w:rsidP="00F85BAD">
      <w:pPr>
        <w:pStyle w:val="FootnoteText"/>
        <w:jc w:val="left"/>
      </w:pPr>
      <w:r>
        <w:rPr>
          <w:rStyle w:val="FootnoteReference"/>
        </w:rPr>
        <w:footnoteRef/>
      </w:r>
      <w:r w:rsidRPr="00044C59">
        <w:t xml:space="preserve"> van Hooft</w:t>
      </w:r>
      <w:r>
        <w:t>, Paul.</w:t>
      </w:r>
      <w:r w:rsidRPr="00044C59">
        <w:t xml:space="preserve"> 2025</w:t>
      </w:r>
      <w:r>
        <w:t>.</w:t>
      </w:r>
      <w:r w:rsidRPr="00044C59">
        <w:t xml:space="preserve"> ‘Nuclear Deterrence: Can</w:t>
      </w:r>
      <w:r>
        <w:t xml:space="preserve"> Britain and France Take on America’s Role in Defending Europe Against Russian Aggression?’, </w:t>
      </w:r>
      <w:r w:rsidRPr="00F85BAD">
        <w:t>The Conversation</w:t>
      </w:r>
      <w:r>
        <w:t xml:space="preserve">, 18 March. </w:t>
      </w:r>
      <w:r>
        <w:t xml:space="preserve">As of 7 July 2026: </w:t>
      </w:r>
      <w:r>
        <w:fldChar w:fldCharType="begin"/>
      </w:r>
      <w:r>
        <w:instrText xml:space="preserve"> HYPERLINK "https://theconversation.com/nuclear-deterrence-can-britain-and-france-take-on-americas-role-in-defending-europe-against-russian-aggression-252338" </w:instrText>
      </w:r>
      <w:r>
        <w:fldChar w:fldCharType="separate"/>
      </w:r>
      <w:r w:rsidRPr="000B12E9">
        <w:rPr>
          <w:rStyle w:val="Hyperlink"/>
        </w:rPr>
        <w:t>https://theconversation.com/nuclear-deterrence-can-britain-and-france-take-on-americas-role-in-defending-europe-against-russian-aggression-252338</w:t>
      </w:r>
      <w:r>
        <w:fldChar w:fldCharType="end"/>
      </w:r>
      <w:r>
        <w:t xml:space="preserve"> </w:t>
      </w:r>
    </w:p>
  </w:footnote>
  <w:footnote w:id="11">
    <w:p w:rsidR="007776B7" w:rsidRPr="00EC31ED" w:rsidP="00F85BAD">
      <w:pPr>
        <w:pStyle w:val="FootnoteText"/>
        <w:jc w:val="left"/>
      </w:pPr>
      <w:r>
        <w:rPr>
          <w:rStyle w:val="FootnoteReference"/>
        </w:rPr>
        <w:footnoteRef/>
      </w:r>
      <w:r>
        <w:t xml:space="preserve"> Recent RAND Europe research for the UK MOD via the Nuclear Deterrence Fund explored how Russia’s nuclear doctrine and decision-making as regards sub-strategic nuclear weapons continues to evolve, and the challenges to UK and NATO strategic planning. Cf. Eken</w:t>
      </w:r>
      <w:r>
        <w:t>,</w:t>
      </w:r>
      <w:r w:rsidRPr="00BE5927">
        <w:t xml:space="preserve"> </w:t>
      </w:r>
      <w:r>
        <w:t>Mattias</w:t>
      </w:r>
      <w:r>
        <w:t xml:space="preserve">, Kiran Suman-Chauhan, Beatrice Aubret </w:t>
      </w:r>
      <w:r>
        <w:t>&amp;</w:t>
      </w:r>
      <w:r>
        <w:t xml:space="preserve"> Paul van Hooft</w:t>
      </w:r>
      <w:r>
        <w:t xml:space="preserve">. </w:t>
      </w:r>
      <w:r>
        <w:t>2025</w:t>
      </w:r>
      <w:r>
        <w:t>.</w:t>
      </w:r>
      <w:r>
        <w:t xml:space="preserve"> </w:t>
      </w:r>
      <w:r>
        <w:rPr>
          <w:i/>
          <w:iCs/>
        </w:rPr>
        <w:t>Understanding Russian Strategic Culture and the Low-Yield Nuclear Threat</w:t>
      </w:r>
      <w:r>
        <w:t xml:space="preserve">. </w:t>
      </w:r>
      <w:r>
        <w:t xml:space="preserve">Santa Monica, Calif.: </w:t>
      </w:r>
      <w:r>
        <w:t>RAND</w:t>
      </w:r>
      <w:r>
        <w:t xml:space="preserve"> Corporation</w:t>
      </w:r>
      <w:r>
        <w:t>.</w:t>
      </w:r>
      <w:r>
        <w:t xml:space="preserve"> RR-A3859-1. As of 7 July 2026: </w:t>
      </w:r>
      <w:r>
        <w:t xml:space="preserve"> </w:t>
      </w:r>
      <w:r>
        <w:fldChar w:fldCharType="begin"/>
      </w:r>
      <w:r>
        <w:instrText xml:space="preserve"> HYPERLINK "https://www.rand.org/pubs/research_reports/RRA3859-1.html" </w:instrText>
      </w:r>
      <w:r>
        <w:fldChar w:fldCharType="separate"/>
      </w:r>
      <w:r w:rsidRPr="000B12E9">
        <w:rPr>
          <w:rStyle w:val="Hyperlink"/>
        </w:rPr>
        <w:t>https://www.rand.org/pubs/research_reports/RRA3859-1.html</w:t>
      </w:r>
      <w:r>
        <w:fldChar w:fldCharType="end"/>
      </w:r>
      <w:r>
        <w:t xml:space="preserve"> </w:t>
      </w:r>
    </w:p>
  </w:footnote>
  <w:footnote w:id="12">
    <w:p w:rsidR="007776B7" w:rsidP="00F85BAD">
      <w:pPr>
        <w:pStyle w:val="FootnoteText"/>
        <w:jc w:val="left"/>
      </w:pPr>
      <w:r>
        <w:rPr>
          <w:rStyle w:val="FootnoteReference"/>
        </w:rPr>
        <w:footnoteRef/>
      </w:r>
      <w:r w:rsidRPr="00734708">
        <w:t xml:space="preserve"> The United States and Russia both have approximately 1700 to 1800 warheads deployed</w:t>
      </w:r>
      <w:r>
        <w:t xml:space="preserve">, with approximately 3500 non-deployed, while the totals for the UK and France are respectively 225 and 290 (though likely to increase in the case of France).  </w:t>
      </w:r>
      <w:r w:rsidRPr="00734708">
        <w:t>Kristensen, H</w:t>
      </w:r>
      <w:r>
        <w:t>ans</w:t>
      </w:r>
      <w:r w:rsidRPr="00734708">
        <w:t xml:space="preserve"> M., </w:t>
      </w:r>
      <w:r>
        <w:t xml:space="preserve">Matt </w:t>
      </w:r>
      <w:r w:rsidRPr="00734708">
        <w:t xml:space="preserve">Korda, </w:t>
      </w:r>
      <w:r>
        <w:t xml:space="preserve">Eliana </w:t>
      </w:r>
      <w:r w:rsidRPr="00734708">
        <w:t xml:space="preserve">Johns, &amp; </w:t>
      </w:r>
      <w:r>
        <w:t xml:space="preserve">Mackenzie </w:t>
      </w:r>
      <w:r w:rsidRPr="00734708">
        <w:t>Knight.</w:t>
      </w:r>
      <w:r>
        <w:t xml:space="preserve"> </w:t>
      </w:r>
      <w:r w:rsidRPr="00734708">
        <w:t>2025</w:t>
      </w:r>
      <w:r>
        <w:t>.</w:t>
      </w:r>
      <w:r w:rsidRPr="00734708">
        <w:t xml:space="preserve"> </w:t>
      </w:r>
      <w:r>
        <w:t>‘</w:t>
      </w:r>
      <w:r w:rsidRPr="00734708">
        <w:t>United States nuclear weapons, 2025</w:t>
      </w:r>
      <w:r>
        <w:t>.</w:t>
      </w:r>
      <w:r>
        <w:t>’</w:t>
      </w:r>
      <w:r w:rsidRPr="00734708">
        <w:t> </w:t>
      </w:r>
      <w:r w:rsidRPr="00F85BAD">
        <w:rPr>
          <w:i/>
          <w:iCs/>
        </w:rPr>
        <w:t>Bulletin of the Atomic Scientists</w:t>
      </w:r>
      <w:r w:rsidRPr="00734708">
        <w:t>, </w:t>
      </w:r>
      <w:r w:rsidRPr="00F85BAD">
        <w:t>81</w:t>
      </w:r>
      <w:r w:rsidRPr="00734708">
        <w:t>(1)</w:t>
      </w:r>
      <w:r>
        <w:t>:</w:t>
      </w:r>
      <w:r w:rsidRPr="00734708">
        <w:t xml:space="preserve"> 53–79. </w:t>
      </w:r>
      <w:r>
        <w:t xml:space="preserve">As of 7 July 2026: </w:t>
      </w:r>
      <w:r>
        <w:fldChar w:fldCharType="begin"/>
      </w:r>
      <w:r>
        <w:instrText xml:space="preserve"> HYPERLINK "https://doi.org/10.1080/00963402.2024.2441624" </w:instrText>
      </w:r>
      <w:r>
        <w:fldChar w:fldCharType="separate"/>
      </w:r>
      <w:r w:rsidRPr="000A36EF">
        <w:rPr>
          <w:rStyle w:val="Hyperlink"/>
        </w:rPr>
        <w:t>https://doi.org/10.1080/00963402.2024.2441624</w:t>
      </w:r>
      <w:r>
        <w:fldChar w:fldCharType="end"/>
      </w:r>
      <w:r>
        <w:t xml:space="preserve">.  </w:t>
      </w:r>
      <w:r w:rsidRPr="00827487">
        <w:t>Kristensen,</w:t>
      </w:r>
      <w:r>
        <w:t xml:space="preserve"> Hans M.,</w:t>
      </w:r>
      <w:r w:rsidRPr="00827487">
        <w:t xml:space="preserve"> Matt Korda, Eliana Johns, </w:t>
      </w:r>
      <w:r>
        <w:t>&amp;</w:t>
      </w:r>
      <w:r w:rsidRPr="00827487">
        <w:t xml:space="preserve"> </w:t>
      </w:r>
      <w:r w:rsidRPr="00827487">
        <w:t>Mackenzie Knight-Boyle</w:t>
      </w:r>
      <w:r>
        <w:t xml:space="preserve">. </w:t>
      </w:r>
      <w:r>
        <w:t>2026</w:t>
      </w:r>
      <w:r>
        <w:t>.</w:t>
      </w:r>
      <w:r w:rsidRPr="00734708">
        <w:rPr>
          <w:i/>
          <w:iCs/>
        </w:rPr>
        <w:t xml:space="preserve"> </w:t>
      </w:r>
      <w:r>
        <w:rPr>
          <w:i/>
          <w:iCs/>
        </w:rPr>
        <w:t>‘</w:t>
      </w:r>
      <w:r w:rsidRPr="00827487">
        <w:t>Russian Nuclear Weapons, 2026</w:t>
      </w:r>
      <w:r>
        <w:t>.</w:t>
      </w:r>
      <w:r>
        <w:t>’</w:t>
      </w:r>
      <w:r w:rsidRPr="00734708">
        <w:rPr>
          <w:i/>
          <w:iCs/>
        </w:rPr>
        <w:t> </w:t>
      </w:r>
      <w:r w:rsidRPr="00F85BAD">
        <w:rPr>
          <w:i/>
          <w:iCs/>
        </w:rPr>
        <w:t>Bulletin of the Atomic Scientists</w:t>
      </w:r>
      <w:r w:rsidRPr="00734708">
        <w:rPr>
          <w:i/>
          <w:iCs/>
        </w:rPr>
        <w:t xml:space="preserve">, </w:t>
      </w:r>
      <w:r w:rsidRPr="00F85BAD">
        <w:t>82</w:t>
      </w:r>
      <w:r>
        <w:t>(</w:t>
      </w:r>
      <w:r w:rsidRPr="00F85BAD">
        <w:t>3</w:t>
      </w:r>
      <w:r>
        <w:t>):</w:t>
      </w:r>
      <w:r w:rsidRPr="00F85BAD">
        <w:t xml:space="preserve"> 221-25</w:t>
      </w:r>
      <w:r>
        <w:t>4. As of 7 July 2026:</w:t>
      </w:r>
      <w:r w:rsidRPr="00734708">
        <w:rPr>
          <w:i/>
          <w:iCs/>
        </w:rPr>
        <w:t> </w:t>
      </w:r>
      <w:r>
        <w:fldChar w:fldCharType="begin"/>
      </w:r>
      <w:r>
        <w:instrText xml:space="preserve"> HYPERLINK "https://doi.org/10.1080/00963402.2026.2659527" </w:instrText>
      </w:r>
      <w:r>
        <w:fldChar w:fldCharType="separate"/>
      </w:r>
      <w:r w:rsidRPr="00734708">
        <w:rPr>
          <w:rStyle w:val="Hyperlink"/>
        </w:rPr>
        <w:t>https://doi.org/10.1080/00963402.2026.2659527</w:t>
      </w:r>
      <w:r>
        <w:fldChar w:fldCharType="end"/>
      </w:r>
    </w:p>
  </w:footnote>
  <w:footnote w:id="13">
    <w:p w:rsidR="007776B7" w:rsidP="00F85BAD">
      <w:pPr>
        <w:pStyle w:val="FootnoteText"/>
        <w:jc w:val="left"/>
      </w:pPr>
      <w:r>
        <w:rPr>
          <w:rStyle w:val="FootnoteReference"/>
        </w:rPr>
        <w:footnoteRef/>
      </w:r>
      <w:r>
        <w:t xml:space="preserve"> </w:t>
      </w:r>
      <w:r w:rsidRPr="00E81E77">
        <w:t xml:space="preserve">Kristensen, </w:t>
      </w:r>
      <w:r w:rsidRPr="00E81E77">
        <w:t>Hans M.</w:t>
      </w:r>
      <w:r>
        <w:t>,</w:t>
      </w:r>
      <w:r w:rsidRPr="00E81E77">
        <w:t xml:space="preserve"> </w:t>
      </w:r>
      <w:r w:rsidRPr="00E81E77">
        <w:t>Matt Korda, Eliana Johns &amp; Mackenzie Knight</w:t>
      </w:r>
      <w:r>
        <w:t xml:space="preserve">. </w:t>
      </w:r>
      <w:r w:rsidRPr="00E81E77">
        <w:t>2023</w:t>
      </w:r>
      <w:r>
        <w:t>.</w:t>
      </w:r>
      <w:r w:rsidRPr="00E81E77">
        <w:t xml:space="preserve"> </w:t>
      </w:r>
      <w:r>
        <w:t>‘</w:t>
      </w:r>
      <w:r w:rsidRPr="00E81E77">
        <w:t>Nuclear weapons sharing, 2023</w:t>
      </w:r>
      <w:r>
        <w:t>.</w:t>
      </w:r>
      <w:r>
        <w:t>’</w:t>
      </w:r>
      <w:r w:rsidRPr="00E81E77">
        <w:t xml:space="preserve"> </w:t>
      </w:r>
      <w:r w:rsidRPr="00F85BAD">
        <w:rPr>
          <w:i/>
          <w:iCs/>
        </w:rPr>
        <w:t>Bulletin of the Atomic Scientists</w:t>
      </w:r>
      <w:r w:rsidRPr="00E81E77">
        <w:t>, 79</w:t>
      </w:r>
      <w:r>
        <w:t>(</w:t>
      </w:r>
      <w:r w:rsidRPr="00E81E77">
        <w:t>6</w:t>
      </w:r>
      <w:r>
        <w:t>):</w:t>
      </w:r>
      <w:r w:rsidRPr="00E81E77">
        <w:t xml:space="preserve"> 393-406</w:t>
      </w:r>
      <w:r>
        <w:t xml:space="preserve">. As of 7 July 2026: </w:t>
      </w:r>
      <w:r>
        <w:fldChar w:fldCharType="begin"/>
      </w:r>
      <w:r>
        <w:instrText xml:space="preserve"> HYPERLINK "https://doi.org/10.1080/00963402.2023.2266944" </w:instrText>
      </w:r>
      <w:r>
        <w:fldChar w:fldCharType="separate"/>
      </w:r>
      <w:r w:rsidRPr="0024443D">
        <w:rPr>
          <w:rStyle w:val="Hyperlink"/>
        </w:rPr>
        <w:t>https://doi.org/10.1080/00963402.2023.2266944</w:t>
      </w:r>
      <w:r>
        <w:fldChar w:fldCharType="end"/>
      </w:r>
      <w:r>
        <w:t xml:space="preserve"> </w:t>
      </w:r>
    </w:p>
  </w:footnote>
  <w:footnote w:id="14">
    <w:p w:rsidR="007776B7" w:rsidRPr="00762ACB" w:rsidP="00F85BAD">
      <w:pPr>
        <w:pStyle w:val="FootnoteText"/>
        <w:jc w:val="left"/>
      </w:pPr>
      <w:r>
        <w:rPr>
          <w:rStyle w:val="FootnoteReference"/>
        </w:rPr>
        <w:footnoteRef/>
      </w:r>
      <w:r>
        <w:t xml:space="preserve"> Parakilas</w:t>
      </w:r>
      <w:r>
        <w:t>,</w:t>
      </w:r>
      <w:r>
        <w:t xml:space="preserve"> </w:t>
      </w:r>
      <w:r>
        <w:t>Jacob, &amp;</w:t>
      </w:r>
      <w:r>
        <w:t xml:space="preserve"> Pavlo Shkurenko</w:t>
      </w:r>
      <w:r>
        <w:t>.</w:t>
      </w:r>
      <w:r>
        <w:t xml:space="preserve"> 2026</w:t>
      </w:r>
      <w:r>
        <w:t>.</w:t>
      </w:r>
      <w:r>
        <w:t xml:space="preserve"> ‘</w:t>
      </w:r>
      <w:r w:rsidRPr="00762ACB">
        <w:t>Russia's Military Procurement Is a Warning for Europe</w:t>
      </w:r>
      <w:r>
        <w:t xml:space="preserve">’, </w:t>
      </w:r>
      <w:r w:rsidRPr="00F85BAD">
        <w:t>Foreign Policy</w:t>
      </w:r>
      <w:r>
        <w:t>, 7 January.</w:t>
      </w:r>
      <w:r>
        <w:t xml:space="preserve"> As of 7 July 2026:</w:t>
      </w:r>
      <w:r>
        <w:t xml:space="preserve"> </w:t>
      </w:r>
      <w:r>
        <w:fldChar w:fldCharType="begin"/>
      </w:r>
      <w:r>
        <w:instrText xml:space="preserve"> HYPERLINK "https://foreignpolicy.com/2026/01/07/russia-ukraine-putin-europe-drones-missiles/" </w:instrText>
      </w:r>
      <w:r>
        <w:fldChar w:fldCharType="separate"/>
      </w:r>
      <w:r w:rsidRPr="000A36EF">
        <w:rPr>
          <w:rStyle w:val="Hyperlink"/>
        </w:rPr>
        <w:t>https</w:t>
      </w:r>
      <w:r w:rsidRPr="0024443D">
        <w:rPr>
          <w:rStyle w:val="Hyperlink"/>
        </w:rPr>
        <w:t>:</w:t>
      </w:r>
      <w:r w:rsidRPr="000A36EF">
        <w:rPr>
          <w:rStyle w:val="Hyperlink"/>
        </w:rPr>
        <w:t>//foreignpolicy.com/2026/01/07/russia-ukraine-putin-europe-drones-missiles/</w:t>
      </w:r>
      <w:r>
        <w:fldChar w:fldCharType="end"/>
      </w:r>
      <w:r>
        <w:t xml:space="preserve"> </w:t>
      </w:r>
    </w:p>
  </w:footnote>
  <w:footnote w:id="15">
    <w:p w:rsidR="007776B7" w:rsidRPr="00D11501" w:rsidP="00F85BAD">
      <w:pPr>
        <w:pStyle w:val="FootnoteText"/>
        <w:jc w:val="left"/>
      </w:pPr>
      <w:r>
        <w:rPr>
          <w:rStyle w:val="FootnoteReference"/>
        </w:rPr>
        <w:footnoteRef/>
      </w:r>
      <w:r>
        <w:t xml:space="preserve"> Black, </w:t>
      </w:r>
      <w:r>
        <w:t xml:space="preserve">James, </w:t>
      </w:r>
      <w:r>
        <w:t xml:space="preserve">Pauline Paille, Charlotte Kleberg, Conlan Ellis </w:t>
      </w:r>
      <w:r>
        <w:t>&amp;</w:t>
      </w:r>
      <w:r>
        <w:t xml:space="preserve"> Maxime Sommerfeld Antoniu</w:t>
      </w:r>
      <w:r>
        <w:t xml:space="preserve">. </w:t>
      </w:r>
      <w:r>
        <w:t>2024</w:t>
      </w:r>
      <w:r>
        <w:t>.</w:t>
      </w:r>
      <w:r>
        <w:t xml:space="preserve"> </w:t>
      </w:r>
      <w:r>
        <w:rPr>
          <w:i/>
          <w:iCs/>
        </w:rPr>
        <w:t>Russia’s War in Ukraine: Emerging Insights for UK and NATO Joint Doctrine</w:t>
      </w:r>
      <w:r>
        <w:t>.</w:t>
      </w:r>
      <w:r>
        <w:t xml:space="preserve"> </w:t>
      </w:r>
      <w:r>
        <w:t xml:space="preserve">Santa Monica, Calif.: </w:t>
      </w:r>
      <w:r>
        <w:t>RAND</w:t>
      </w:r>
      <w:r>
        <w:t xml:space="preserve"> Corporation</w:t>
      </w:r>
      <w:r>
        <w:t>.</w:t>
      </w:r>
      <w:r>
        <w:t xml:space="preserve"> RR-A3400-1. As of 7 July 2026:</w:t>
      </w:r>
      <w:r>
        <w:t xml:space="preserve"> </w:t>
      </w:r>
      <w:r>
        <w:fldChar w:fldCharType="begin"/>
      </w:r>
      <w:r>
        <w:instrText xml:space="preserve"> HYPERLINK "https://www.rand.org/pubs/research_reports/RRA3400-1.html" </w:instrText>
      </w:r>
      <w:r>
        <w:fldChar w:fldCharType="separate"/>
      </w:r>
      <w:r w:rsidRPr="0024443D">
        <w:rPr>
          <w:rStyle w:val="Hyperlink"/>
        </w:rPr>
        <w:t>https://www.rand.org/pubs/research_reports/RRA3400-1.html</w:t>
      </w:r>
      <w:r>
        <w:fldChar w:fldCharType="end"/>
      </w:r>
      <w:r>
        <w:t xml:space="preserve"> </w:t>
      </w:r>
    </w:p>
  </w:footnote>
  <w:footnote w:id="16">
    <w:p w:rsidR="007776B7" w:rsidP="00F85BAD">
      <w:pPr>
        <w:pStyle w:val="FootnoteText"/>
        <w:jc w:val="left"/>
      </w:pPr>
      <w:r>
        <w:rPr>
          <w:rStyle w:val="FootnoteReference"/>
        </w:rPr>
        <w:footnoteRef/>
      </w:r>
      <w:r>
        <w:t xml:space="preserve"> </w:t>
      </w:r>
      <w:r>
        <w:t>Borsari</w:t>
      </w:r>
      <w:r>
        <w:t>,</w:t>
      </w:r>
      <w:r>
        <w:t xml:space="preserve"> </w:t>
      </w:r>
      <w:r>
        <w:t xml:space="preserve">Federico. </w:t>
      </w:r>
      <w:r>
        <w:t>2025</w:t>
      </w:r>
      <w:r>
        <w:t>.</w:t>
      </w:r>
      <w:r>
        <w:t xml:space="preserve"> ‘Adaptation Under Fire: Mass, Speed and Accuracy Transforms Russia’s Kill Chain in Ukraine</w:t>
      </w:r>
      <w:r>
        <w:t>.</w:t>
      </w:r>
      <w:r>
        <w:t xml:space="preserve">’ Centre for European Policy Analysis, 7 April. </w:t>
      </w:r>
      <w:r>
        <w:t xml:space="preserve">As of 7 July 2026: </w:t>
      </w:r>
      <w:r>
        <w:fldChar w:fldCharType="begin"/>
      </w:r>
      <w:r>
        <w:instrText xml:space="preserve"> HYPERLINK "https://cepa.org/comprehensive-reports/adaptation-under-fire-mass-speed-and-accuracy-transform-russias-kill-chain-in-ukraine/" </w:instrText>
      </w:r>
      <w:r>
        <w:fldChar w:fldCharType="separate"/>
      </w:r>
      <w:r w:rsidRPr="000A36EF">
        <w:rPr>
          <w:rStyle w:val="Hyperlink"/>
        </w:rPr>
        <w:t>https://cepa.org/comprehensive-reports/adaptation-under-fire-mass-speed-and-accuracy-transform-russias-kill-chain-in-ukraine/</w:t>
      </w:r>
      <w:r>
        <w:fldChar w:fldCharType="end"/>
      </w:r>
      <w:r>
        <w:t xml:space="preserve"> </w:t>
      </w:r>
    </w:p>
  </w:footnote>
  <w:footnote w:id="17">
    <w:p w:rsidR="007776B7" w:rsidRPr="003C4385" w:rsidP="00F85BAD">
      <w:pPr>
        <w:pStyle w:val="FootnoteText"/>
        <w:jc w:val="left"/>
      </w:pPr>
      <w:r>
        <w:rPr>
          <w:rStyle w:val="FootnoteReference"/>
        </w:rPr>
        <w:footnoteRef/>
      </w:r>
      <w:r>
        <w:t xml:space="preserve"> </w:t>
      </w:r>
      <w:r>
        <w:t xml:space="preserve">Black </w:t>
      </w:r>
      <w:r>
        <w:t xml:space="preserve">, James. </w:t>
      </w:r>
      <w:r>
        <w:t>2025</w:t>
      </w:r>
      <w:r>
        <w:t>.</w:t>
      </w:r>
      <w:r>
        <w:t xml:space="preserve"> ‘David vs. Goliath: Cost Asymmetry in Warfare</w:t>
      </w:r>
      <w:r>
        <w:t>.</w:t>
      </w:r>
      <w:r>
        <w:t xml:space="preserve">’ </w:t>
      </w:r>
      <w:r w:rsidRPr="00F85BAD">
        <w:t>The National Interest</w:t>
      </w:r>
      <w:r>
        <w:t xml:space="preserve">, 4 March. </w:t>
      </w:r>
      <w:r>
        <w:t xml:space="preserve">As of 7 July 2026: </w:t>
      </w:r>
      <w:r>
        <w:fldChar w:fldCharType="begin"/>
      </w:r>
      <w:r>
        <w:instrText xml:space="preserve"> HYPERLINK "https://nationalinterest.org/feature/david-vs-goliath-cost-asymmetry-in-warfare" </w:instrText>
      </w:r>
      <w:r>
        <w:fldChar w:fldCharType="separate"/>
      </w:r>
      <w:r w:rsidRPr="000A36EF">
        <w:rPr>
          <w:rStyle w:val="Hyperlink"/>
        </w:rPr>
        <w:t>https://nationalinterest.org/feature/david-vs-goliath-cost-asymmetry-in-warfare</w:t>
      </w:r>
      <w:r>
        <w:fldChar w:fldCharType="end"/>
      </w:r>
      <w:r>
        <w:t xml:space="preserve"> </w:t>
      </w:r>
    </w:p>
  </w:footnote>
  <w:footnote w:id="18">
    <w:p w:rsidR="007776B7" w:rsidP="00F85BAD">
      <w:pPr>
        <w:pStyle w:val="FootnoteText"/>
        <w:jc w:val="left"/>
      </w:pPr>
      <w:r>
        <w:rPr>
          <w:rStyle w:val="FootnoteReference"/>
        </w:rPr>
        <w:footnoteRef/>
      </w:r>
      <w:r>
        <w:t xml:space="preserve"> Courtney</w:t>
      </w:r>
      <w:r>
        <w:t>, William,</w:t>
      </w:r>
      <w:r>
        <w:t xml:space="preserve"> &amp; John Hoehn</w:t>
      </w:r>
      <w:r>
        <w:t xml:space="preserve">. </w:t>
      </w:r>
      <w:r>
        <w:t>2024</w:t>
      </w:r>
      <w:r>
        <w:t>.</w:t>
      </w:r>
      <w:r>
        <w:t xml:space="preserve"> ‘Helping Ukraine Strike Deep in Russia</w:t>
      </w:r>
      <w:r>
        <w:t>.</w:t>
      </w:r>
      <w:r>
        <w:t>’ RAND</w:t>
      </w:r>
      <w:r>
        <w:t xml:space="preserve"> Corporation</w:t>
      </w:r>
      <w:r>
        <w:t>.</w:t>
      </w:r>
      <w:r>
        <w:t xml:space="preserve"> As of 7 July 2026:</w:t>
      </w:r>
      <w:r>
        <w:t xml:space="preserve"> </w:t>
      </w:r>
      <w:r>
        <w:fldChar w:fldCharType="begin"/>
      </w:r>
      <w:r>
        <w:instrText xml:space="preserve"> HYPERLINK "https://www.rand.org/pubs/commentary/2024/09/helping-ukraine-strike-deep-in-russia.html" </w:instrText>
      </w:r>
      <w:r>
        <w:fldChar w:fldCharType="separate"/>
      </w:r>
      <w:r w:rsidRPr="000B12E9">
        <w:rPr>
          <w:rStyle w:val="Hyperlink"/>
        </w:rPr>
        <w:t>https://www.rand.org/pubs/commentary/2024/09/helping-ukraine-strike-deep-in-russia.html</w:t>
      </w:r>
      <w:r>
        <w:fldChar w:fldCharType="end"/>
      </w:r>
      <w:r>
        <w:t xml:space="preserve"> </w:t>
      </w:r>
    </w:p>
  </w:footnote>
  <w:footnote w:id="19">
    <w:p w:rsidR="007776B7" w:rsidRPr="003C4385" w:rsidP="00F85BAD">
      <w:pPr>
        <w:pStyle w:val="FootnoteText"/>
        <w:jc w:val="left"/>
      </w:pPr>
      <w:r>
        <w:rPr>
          <w:rStyle w:val="FootnoteReference"/>
        </w:rPr>
        <w:footnoteRef/>
      </w:r>
      <w:r>
        <w:t xml:space="preserve"> U.S. Department of Defense</w:t>
      </w:r>
      <w:r>
        <w:t xml:space="preserve">. </w:t>
      </w:r>
      <w:r>
        <w:t>2026</w:t>
      </w:r>
      <w:r>
        <w:t>.</w:t>
      </w:r>
      <w:r>
        <w:t xml:space="preserve"> </w:t>
      </w:r>
      <w:r>
        <w:rPr>
          <w:i/>
          <w:iCs/>
        </w:rPr>
        <w:t>National Defense Strategy 2026.</w:t>
      </w:r>
      <w:r w:rsidRPr="003C4385">
        <w:t xml:space="preserve"> </w:t>
      </w:r>
      <w:r>
        <w:t xml:space="preserve">As of 7 July 2026: </w:t>
      </w:r>
      <w:r>
        <w:fldChar w:fldCharType="begin"/>
      </w:r>
      <w:r>
        <w:instrText xml:space="preserve"> HYPERLINK "https://media.defense.gov/2026/Jan/23/2003864773/-1/-1/0/2026-NATIONAL-DEFENSE-STRATEGY.PDF" </w:instrText>
      </w:r>
      <w:r>
        <w:fldChar w:fldCharType="separate"/>
      </w:r>
      <w:r w:rsidRPr="00F85BAD">
        <w:rPr>
          <w:rStyle w:val="Hyperlink"/>
        </w:rPr>
        <w:t>https://media.defense.gov/2026/Jan/23/2003864773/-1/-1/0/2026-NATIONAL-DEFENSE-STRATEGY.PDF</w:t>
      </w:r>
      <w:r>
        <w:fldChar w:fldCharType="end"/>
      </w:r>
      <w:r>
        <w:rPr>
          <w:i/>
          <w:iCs/>
        </w:rPr>
        <w:t xml:space="preserve"> </w:t>
      </w:r>
    </w:p>
  </w:footnote>
  <w:footnote w:id="20">
    <w:p w:rsidR="007776B7" w:rsidP="00F85BAD">
      <w:pPr>
        <w:pStyle w:val="FootnoteText"/>
        <w:jc w:val="left"/>
      </w:pPr>
      <w:r>
        <w:rPr>
          <w:rStyle w:val="FootnoteReference"/>
        </w:rPr>
        <w:footnoteRef/>
      </w:r>
      <w:r>
        <w:t xml:space="preserve"> </w:t>
      </w:r>
      <w:r>
        <w:t>Black</w:t>
      </w:r>
      <w:r>
        <w:t>, James.</w:t>
      </w:r>
      <w:r>
        <w:t xml:space="preserve"> 2025</w:t>
      </w:r>
      <w:r>
        <w:t>.</w:t>
      </w:r>
      <w:r>
        <w:t xml:space="preserve"> ‘David vs. Goliath: Cost Asymmetry in Warfare</w:t>
      </w:r>
      <w:r>
        <w:t>.</w:t>
      </w:r>
      <w:r>
        <w:t xml:space="preserve">’ </w:t>
      </w:r>
      <w:r w:rsidRPr="00F85BAD">
        <w:t>The National Interest</w:t>
      </w:r>
      <w:r>
        <w:t xml:space="preserve">, 4 March. </w:t>
      </w:r>
      <w:r>
        <w:t xml:space="preserve">As of 7 July 2026: </w:t>
      </w:r>
      <w:r>
        <w:fldChar w:fldCharType="begin"/>
      </w:r>
      <w:r>
        <w:instrText xml:space="preserve"> HYPERLINK "https://nationalinterest.org/feature/david-vs-goliath-cost-asymmetry-in-warfare" </w:instrText>
      </w:r>
      <w:r>
        <w:fldChar w:fldCharType="separate"/>
      </w:r>
      <w:r w:rsidRPr="00A7174C">
        <w:rPr>
          <w:rStyle w:val="Hyperlink"/>
        </w:rPr>
        <w:t>https://nationalinterest.org/feature/david-vs-goliath-cost-asymmetry-in-warfare</w:t>
      </w:r>
      <w:r>
        <w:fldChar w:fldCharType="end"/>
      </w:r>
    </w:p>
  </w:footnote>
  <w:footnote w:id="21">
    <w:p w:rsidR="007776B7" w:rsidRPr="00273E77" w:rsidP="00F85BAD">
      <w:pPr>
        <w:pStyle w:val="FootnoteText"/>
        <w:jc w:val="left"/>
      </w:pPr>
      <w:r>
        <w:rPr>
          <w:rStyle w:val="FootnoteReference"/>
        </w:rPr>
        <w:footnoteRef/>
      </w:r>
      <w:r>
        <w:t xml:space="preserve"> Kennedy,</w:t>
      </w:r>
      <w:r>
        <w:t xml:space="preserve"> John,</w:t>
      </w:r>
      <w:r>
        <w:t xml:space="preserve"> Stuart Dee </w:t>
      </w:r>
      <w:r>
        <w:t xml:space="preserve">&amp; </w:t>
      </w:r>
      <w:r>
        <w:t>Daniel Hill</w:t>
      </w:r>
      <w:r>
        <w:t>.</w:t>
      </w:r>
      <w:r>
        <w:t xml:space="preserve"> 2025</w:t>
      </w:r>
      <w:r>
        <w:t>.</w:t>
      </w:r>
      <w:r>
        <w:t xml:space="preserve"> </w:t>
      </w:r>
      <w:r>
        <w:rPr>
          <w:i/>
          <w:iCs/>
        </w:rPr>
        <w:t>Tooling Up Together: How Europe and Ukraine Can Improve Defence Industrial Collaboration</w:t>
      </w:r>
      <w:r>
        <w:t>.</w:t>
      </w:r>
      <w:r>
        <w:t xml:space="preserve"> </w:t>
      </w:r>
      <w:r>
        <w:t xml:space="preserve">Santa Monica, Calif.: </w:t>
      </w:r>
      <w:r>
        <w:t>RAND</w:t>
      </w:r>
      <w:r>
        <w:t xml:space="preserve"> Corporation</w:t>
      </w:r>
      <w:r>
        <w:t>.</w:t>
      </w:r>
      <w:r>
        <w:t xml:space="preserve"> RR-A3833-4. As of 7 July 2026: </w:t>
      </w:r>
      <w:r>
        <w:t xml:space="preserve"> </w:t>
      </w:r>
      <w:r>
        <w:fldChar w:fldCharType="begin"/>
      </w:r>
      <w:r>
        <w:instrText xml:space="preserve"> HYPERLINK "https://www.rand.org/pubs/research_reports/RRA3833-4.html" </w:instrText>
      </w:r>
      <w:r>
        <w:fldChar w:fldCharType="separate"/>
      </w:r>
      <w:r w:rsidRPr="000B12E9">
        <w:rPr>
          <w:rStyle w:val="Hyperlink"/>
        </w:rPr>
        <w:t>https://www.rand.org/pubs/research_reports/RRA3833-4.html</w:t>
      </w:r>
      <w:r>
        <w:fldChar w:fldCharType="end"/>
      </w:r>
      <w:r>
        <w:t xml:space="preserve"> </w:t>
      </w:r>
    </w:p>
  </w:footnote>
  <w:footnote w:id="22">
    <w:p w:rsidR="007776B7" w:rsidRPr="00FB0990" w:rsidP="00F85BAD">
      <w:pPr>
        <w:pStyle w:val="FootnoteText"/>
        <w:jc w:val="left"/>
      </w:pPr>
      <w:r>
        <w:rPr>
          <w:rStyle w:val="FootnoteReference"/>
        </w:rPr>
        <w:footnoteRef/>
      </w:r>
      <w:r>
        <w:t xml:space="preserve"> </w:t>
      </w:r>
      <w:r>
        <w:t>Paille,</w:t>
      </w:r>
      <w:r>
        <w:t xml:space="preserve"> Pauline,</w:t>
      </w:r>
      <w:r>
        <w:t xml:space="preserve"> Mattias Eken, Thomas Kenchington </w:t>
      </w:r>
      <w:r>
        <w:t>&amp;</w:t>
      </w:r>
      <w:r>
        <w:t xml:space="preserve"> Beatrice Aubret</w:t>
      </w:r>
      <w:r>
        <w:t>.</w:t>
      </w:r>
      <w:r>
        <w:t xml:space="preserve"> 2025</w:t>
      </w:r>
      <w:r>
        <w:t>.</w:t>
      </w:r>
      <w:r>
        <w:t xml:space="preserve"> </w:t>
      </w:r>
      <w:r>
        <w:rPr>
          <w:i/>
          <w:iCs/>
        </w:rPr>
        <w:t>From Policy to Victory: Recommendations to Ukraine for Harnessing Defence Technology</w:t>
      </w:r>
      <w:r>
        <w:t>.</w:t>
      </w:r>
      <w:r>
        <w:t xml:space="preserve"> </w:t>
      </w:r>
      <w:r>
        <w:t xml:space="preserve">Santa Monica, Calif.: </w:t>
      </w:r>
      <w:r>
        <w:t>RAND</w:t>
      </w:r>
      <w:r>
        <w:t xml:space="preserve"> Corporation</w:t>
      </w:r>
      <w:r>
        <w:t>.</w:t>
      </w:r>
      <w:r>
        <w:t xml:space="preserve"> RR-A3833-2.</w:t>
      </w:r>
      <w:r>
        <w:t xml:space="preserve"> </w:t>
      </w:r>
      <w:r>
        <w:t xml:space="preserve">As of 7 July 2026: </w:t>
      </w:r>
      <w:r>
        <w:fldChar w:fldCharType="begin"/>
      </w:r>
      <w:r>
        <w:instrText xml:space="preserve"> HYPERLINK "https://www.rand.org/pubs/research_reports/RRA3833-2.html" </w:instrText>
      </w:r>
      <w:r>
        <w:fldChar w:fldCharType="separate"/>
      </w:r>
      <w:r w:rsidRPr="00A7174C">
        <w:rPr>
          <w:rStyle w:val="Hyperlink"/>
        </w:rPr>
        <w:t>https://www.rand.org/pubs/research_reports/RRA3833-2.html</w:t>
      </w:r>
      <w:r>
        <w:fldChar w:fldCharType="end"/>
      </w:r>
      <w:r>
        <w:t xml:space="preserve"> </w:t>
      </w:r>
    </w:p>
  </w:footnote>
  <w:footnote w:id="23">
    <w:p w:rsidR="007776B7" w:rsidRPr="0035245C" w:rsidP="00F85BAD">
      <w:pPr>
        <w:pStyle w:val="FootnoteText"/>
        <w:jc w:val="left"/>
      </w:pPr>
      <w:r>
        <w:rPr>
          <w:rStyle w:val="FootnoteReference"/>
        </w:rPr>
        <w:footnoteRef/>
      </w:r>
      <w:r>
        <w:t xml:space="preserve"> UK Ministry of Defence</w:t>
      </w:r>
      <w:r>
        <w:t xml:space="preserve">. </w:t>
      </w:r>
      <w:r>
        <w:t>2026</w:t>
      </w:r>
      <w:r>
        <w:t>.</w:t>
      </w:r>
      <w:r>
        <w:t xml:space="preserve"> </w:t>
      </w:r>
      <w:r w:rsidRPr="00F85BAD">
        <w:rPr>
          <w:i/>
          <w:iCs/>
        </w:rPr>
        <w:t>The Defence Investment Plan</w:t>
      </w:r>
      <w:r>
        <w:t>.</w:t>
      </w:r>
      <w:r>
        <w:t xml:space="preserve"> </w:t>
      </w:r>
      <w:r w:rsidRPr="00F85BAD">
        <w:t>Gov.uk</w:t>
      </w:r>
      <w:r>
        <w:t xml:space="preserve">, 30 June. </w:t>
      </w:r>
      <w:r>
        <w:t xml:space="preserve">As of 7 July 2026: </w:t>
      </w:r>
      <w:r>
        <w:fldChar w:fldCharType="begin"/>
      </w:r>
      <w:r>
        <w:instrText xml:space="preserve"> HYPERLINK "https://www.gov.uk/government/publications/the-defence-investment-plan" </w:instrText>
      </w:r>
      <w:r>
        <w:fldChar w:fldCharType="separate"/>
      </w:r>
      <w:r w:rsidRPr="00E240D0">
        <w:rPr>
          <w:rStyle w:val="Hyperlink"/>
        </w:rPr>
        <w:t>https://www.gov.uk/government/publications/the-defence-investment-plan</w:t>
      </w:r>
      <w:r>
        <w:fldChar w:fldCharType="end"/>
      </w:r>
      <w:r>
        <w:t xml:space="preserve"> </w:t>
      </w:r>
    </w:p>
  </w:footnote>
  <w:footnote w:id="24">
    <w:p w:rsidR="007776B7" w:rsidRPr="00273E77" w:rsidP="00F85BAD">
      <w:pPr>
        <w:pStyle w:val="FootnoteText"/>
        <w:jc w:val="left"/>
      </w:pPr>
      <w:r>
        <w:rPr>
          <w:rStyle w:val="FootnoteReference"/>
        </w:rPr>
        <w:footnoteRef/>
      </w:r>
      <w:r w:rsidRPr="00273E77">
        <w:t xml:space="preserve"> Dee,</w:t>
      </w:r>
      <w:r>
        <w:t xml:space="preserve"> Stuart,</w:t>
      </w:r>
      <w:r w:rsidRPr="00273E77">
        <w:t xml:space="preserve"> Katja Fedina, Kiran Suman-Chauhan</w:t>
      </w:r>
      <w:r>
        <w:t xml:space="preserve">, Evie Graham, Daniel Hill </w:t>
      </w:r>
      <w:r>
        <w:t xml:space="preserve">&amp; </w:t>
      </w:r>
      <w:r>
        <w:t>Andrew Gibson</w:t>
      </w:r>
      <w:r>
        <w:t>.</w:t>
      </w:r>
      <w:r>
        <w:t xml:space="preserve"> 2025</w:t>
      </w:r>
      <w:r>
        <w:t>.</w:t>
      </w:r>
      <w:r>
        <w:t xml:space="preserve"> </w:t>
      </w:r>
      <w:r>
        <w:rPr>
          <w:i/>
          <w:iCs/>
        </w:rPr>
        <w:t>Looking Ahead: Enablers of Innovation and Scale for the Future of Ukraine’s Defence-Industrial Base</w:t>
      </w:r>
      <w:r>
        <w:t xml:space="preserve">, </w:t>
      </w:r>
      <w:r>
        <w:t xml:space="preserve">Santa Monica, Calif.: </w:t>
      </w:r>
      <w:r>
        <w:t>RAND</w:t>
      </w:r>
      <w:r>
        <w:t xml:space="preserve"> Corporation</w:t>
      </w:r>
      <w:r>
        <w:t>.</w:t>
      </w:r>
      <w:r>
        <w:t xml:space="preserve"> RR-A3833-6. As of 7 July 2026:</w:t>
      </w:r>
      <w:r>
        <w:t xml:space="preserve"> </w:t>
      </w:r>
      <w:r>
        <w:fldChar w:fldCharType="begin"/>
      </w:r>
      <w:r>
        <w:instrText xml:space="preserve"> HYPERLINK "https://www.rand.org/pubs/research_reports/RRA3833-6.html" </w:instrText>
      </w:r>
      <w:r>
        <w:fldChar w:fldCharType="separate"/>
      </w:r>
      <w:r w:rsidRPr="00273E77">
        <w:rPr>
          <w:rStyle w:val="Hyperlink"/>
        </w:rPr>
        <w:t>https://www.rand.org/pubs/research_reports/RRA3833-6.html</w:t>
      </w:r>
      <w:r>
        <w:fldChar w:fldCharType="end"/>
      </w:r>
      <w:r>
        <w:t>; Black,</w:t>
      </w:r>
      <w:r>
        <w:t xml:space="preserve"> James,</w:t>
      </w:r>
      <w:r>
        <w:t xml:space="preserve"> Stuart Dee et al. (2024) </w:t>
      </w:r>
      <w:r>
        <w:rPr>
          <w:i/>
          <w:iCs/>
        </w:rPr>
        <w:t>Resourcing Defence Cooperation in Europe Amidst Russia’s War in Ukraine</w:t>
      </w:r>
      <w:r>
        <w:t>. Santa Monica, Calif.:</w:t>
      </w:r>
      <w:r>
        <w:t xml:space="preserve"> RAND</w:t>
      </w:r>
      <w:r>
        <w:t xml:space="preserve"> Corporation</w:t>
      </w:r>
      <w:r>
        <w:t>.</w:t>
      </w:r>
      <w:r>
        <w:t xml:space="preserve"> RR-A2195-8. As of 7 July 2026:</w:t>
      </w:r>
      <w:r>
        <w:t xml:space="preserve"> </w:t>
      </w:r>
      <w:r>
        <w:fldChar w:fldCharType="begin"/>
      </w:r>
      <w:r>
        <w:instrText xml:space="preserve"> HYPERLINK "https://www.rand.org/pubs/research_reports/RRA2195-8.html" </w:instrText>
      </w:r>
      <w:r>
        <w:fldChar w:fldCharType="separate"/>
      </w:r>
      <w:r w:rsidRPr="000B12E9">
        <w:rPr>
          <w:rStyle w:val="Hyperlink"/>
        </w:rPr>
        <w:t>https://www.rand.org/pubs/research_reports/RRA2195-8.html</w:t>
      </w:r>
      <w:r>
        <w:fldChar w:fldCharType="end"/>
      </w:r>
      <w:r>
        <w:t xml:space="preserve"> </w:t>
      </w:r>
    </w:p>
  </w:footnote>
  <w:footnote w:id="25">
    <w:p w:rsidR="007776B7" w:rsidP="00F85BAD">
      <w:pPr>
        <w:pStyle w:val="FootnoteText"/>
        <w:jc w:val="left"/>
      </w:pPr>
      <w:r>
        <w:rPr>
          <w:rStyle w:val="FootnoteReference"/>
        </w:rPr>
        <w:footnoteRef/>
      </w:r>
      <w:r>
        <w:t xml:space="preserve"> </w:t>
      </w:r>
      <w:r>
        <w:t xml:space="preserve">UK </w:t>
      </w:r>
      <w:r>
        <w:t xml:space="preserve">Ministry of Defence </w:t>
      </w:r>
      <w:r>
        <w:t>(2026)</w:t>
      </w:r>
      <w:r>
        <w:t>.</w:t>
      </w:r>
    </w:p>
  </w:footnote>
  <w:footnote w:id="26">
    <w:p w:rsidR="007776B7" w:rsidRPr="00273E77" w:rsidP="00F85BAD">
      <w:pPr>
        <w:pStyle w:val="FootnoteText"/>
        <w:jc w:val="left"/>
        <w:rPr>
          <w:i/>
          <w:iCs/>
        </w:rPr>
      </w:pPr>
      <w:r>
        <w:rPr>
          <w:rStyle w:val="FootnoteReference"/>
        </w:rPr>
        <w:footnoteRef/>
      </w:r>
      <w:r>
        <w:t xml:space="preserve"> </w:t>
      </w:r>
      <w:r>
        <w:t xml:space="preserve">Black, </w:t>
      </w:r>
      <w:r>
        <w:t xml:space="preserve">James, </w:t>
      </w:r>
      <w:r>
        <w:t>Rebecca Lucas, John Kennedy, Megan Hughes</w:t>
      </w:r>
      <w:r>
        <w:t xml:space="preserve"> &amp;</w:t>
      </w:r>
      <w:r>
        <w:t xml:space="preserve"> Harper Fine</w:t>
      </w:r>
      <w:r>
        <w:t xml:space="preserve">. </w:t>
      </w:r>
      <w:r>
        <w:t>2024</w:t>
      </w:r>
      <w:r>
        <w:t>.</w:t>
      </w:r>
      <w:r>
        <w:t xml:space="preserve"> </w:t>
      </w:r>
      <w:r>
        <w:rPr>
          <w:i/>
          <w:iCs/>
        </w:rPr>
        <w:t>Command and Control in the Future</w:t>
      </w:r>
      <w:r>
        <w:t>. Santa Monica, Calif.:</w:t>
      </w:r>
      <w:r>
        <w:t xml:space="preserve"> RAND</w:t>
      </w:r>
      <w:r>
        <w:t xml:space="preserve"> Corporation</w:t>
      </w:r>
      <w:r>
        <w:t>.</w:t>
      </w:r>
      <w:r>
        <w:t xml:space="preserve"> RR-A2476-1. As of 7 July 2026:</w:t>
      </w:r>
      <w:r>
        <w:t xml:space="preserve"> </w:t>
      </w:r>
      <w:r>
        <w:fldChar w:fldCharType="begin"/>
      </w:r>
      <w:r>
        <w:instrText xml:space="preserve"> HYPERLINK "https://www.rand.org/pubs/research_reports/RRA2476-1.html" </w:instrText>
      </w:r>
      <w:r>
        <w:fldChar w:fldCharType="separate"/>
      </w:r>
      <w:r w:rsidRPr="000B12E9">
        <w:rPr>
          <w:rStyle w:val="Hyperlink"/>
        </w:rPr>
        <w:t>https://www.rand.org/pubs/research_reports/RRA2476-1.html</w:t>
      </w:r>
      <w:r>
        <w:fldChar w:fldCharType="end"/>
      </w:r>
      <w:r>
        <w:t xml:space="preserve"> </w:t>
      </w:r>
      <w:r>
        <w:rPr>
          <w:i/>
          <w:iCs/>
        </w:rPr>
        <w:t xml:space="preserve"> </w:t>
      </w:r>
    </w:p>
  </w:footnote>
  <w:footnote w:id="27">
    <w:p w:rsidR="007776B7" w:rsidRPr="00962D52" w:rsidP="00F85BAD">
      <w:pPr>
        <w:pStyle w:val="FootnoteText"/>
        <w:jc w:val="left"/>
      </w:pPr>
      <w:r>
        <w:rPr>
          <w:rStyle w:val="FootnoteReference"/>
        </w:rPr>
        <w:footnoteRef/>
      </w:r>
      <w:r>
        <w:t xml:space="preserve"> Priebe, </w:t>
      </w:r>
      <w:r>
        <w:t xml:space="preserve">Miranda, </w:t>
      </w:r>
      <w:r>
        <w:t xml:space="preserve">Zachary Burdette </w:t>
      </w:r>
      <w:r>
        <w:t>&amp;</w:t>
      </w:r>
      <w:r>
        <w:t xml:space="preserve"> Scott Behmer</w:t>
      </w:r>
      <w:r>
        <w:t xml:space="preserve">. </w:t>
      </w:r>
      <w:r>
        <w:t>2025</w:t>
      </w:r>
      <w:r>
        <w:t>.</w:t>
      </w:r>
      <w:r>
        <w:t xml:space="preserve"> </w:t>
      </w:r>
      <w:r w:rsidRPr="00962D52">
        <w:rPr>
          <w:i/>
          <w:iCs/>
        </w:rPr>
        <w:t>How Might NATO Allies Respond if the United States Retrenches from Europe?</w:t>
      </w:r>
      <w:r>
        <w:t xml:space="preserve"> </w:t>
      </w:r>
      <w:r>
        <w:t xml:space="preserve">Santa Monica, Calif.: </w:t>
      </w:r>
      <w:r>
        <w:t>RAND</w:t>
      </w:r>
      <w:r>
        <w:t xml:space="preserve"> Corporation</w:t>
      </w:r>
      <w:r>
        <w:t>.</w:t>
      </w:r>
      <w:r>
        <w:t xml:space="preserve"> RR-A2807-2. As of 7 July 2026:</w:t>
      </w:r>
      <w:r>
        <w:t xml:space="preserve"> </w:t>
      </w:r>
      <w:r>
        <w:fldChar w:fldCharType="begin"/>
      </w:r>
      <w:r>
        <w:instrText xml:space="preserve"> HYPERLINK "https://www.rand.org/pubs/research_reports/RRA2807-2.html" </w:instrText>
      </w:r>
      <w:r>
        <w:fldChar w:fldCharType="separate"/>
      </w:r>
      <w:r w:rsidRPr="000B12E9">
        <w:rPr>
          <w:rStyle w:val="Hyperlink"/>
        </w:rPr>
        <w:t>https://www.rand.org/pubs/research_reports/RRA2807-2.html</w:t>
      </w:r>
      <w:r>
        <w:fldChar w:fldCharType="end"/>
      </w:r>
      <w:r>
        <w:t xml:space="preserve"> </w:t>
      </w:r>
    </w:p>
  </w:footnote>
  <w:footnote w:id="28">
    <w:p w:rsidR="007776B7" w:rsidP="00F85BAD">
      <w:pPr>
        <w:pStyle w:val="FootnoteText"/>
        <w:jc w:val="left"/>
      </w:pPr>
      <w:r>
        <w:rPr>
          <w:rStyle w:val="FootnoteReference"/>
        </w:rPr>
        <w:footnoteRef/>
      </w:r>
      <w:r>
        <w:t xml:space="preserve"> Black</w:t>
      </w:r>
      <w:r>
        <w:t>, James.</w:t>
      </w:r>
      <w:r>
        <w:t xml:space="preserve"> 2024</w:t>
      </w:r>
      <w:r>
        <w:t>.</w:t>
      </w:r>
      <w:r>
        <w:t xml:space="preserve"> ‘No More Sanctuary: NATO Must Prepare for War at Home</w:t>
      </w:r>
      <w:r>
        <w:t>.</w:t>
      </w:r>
      <w:r>
        <w:t>’ RAND</w:t>
      </w:r>
      <w:r>
        <w:t xml:space="preserve"> Corporation</w:t>
      </w:r>
      <w:r>
        <w:t>.</w:t>
      </w:r>
      <w:r>
        <w:t xml:space="preserve"> As of 7 July 2026:</w:t>
      </w:r>
      <w:r>
        <w:t xml:space="preserve"> </w:t>
      </w:r>
      <w:r>
        <w:fldChar w:fldCharType="begin"/>
      </w:r>
      <w:r>
        <w:instrText xml:space="preserve"> HYPERLINK "https://www.rand.org/pubs/commentary/2024/06/no-more-sanctuary-nato-must-prepare-for-war-at-home.html" </w:instrText>
      </w:r>
      <w:r>
        <w:fldChar w:fldCharType="separate"/>
      </w:r>
      <w:r w:rsidRPr="00EF55AA">
        <w:rPr>
          <w:rStyle w:val="Hyperlink"/>
        </w:rPr>
        <w:t>https://www.rand.org/pubs/commentary/2024/06/no-more-sanctuary-nato-must-prepare-for-war-at-home.html</w:t>
      </w:r>
      <w:r>
        <w:fldChar w:fldCharType="end"/>
      </w:r>
    </w:p>
  </w:footnote>
  <w:footnote w:id="29">
    <w:p w:rsidR="007776B7" w:rsidP="00F85BAD">
      <w:pPr>
        <w:pStyle w:val="FootnoteText"/>
        <w:jc w:val="left"/>
      </w:pPr>
      <w:r>
        <w:rPr>
          <w:rStyle w:val="FootnoteReference"/>
        </w:rPr>
        <w:footnoteRef/>
      </w:r>
      <w:r>
        <w:t xml:space="preserve"> Nadal Campos</w:t>
      </w:r>
      <w:r>
        <w:t>, Aleix.</w:t>
      </w:r>
      <w:r>
        <w:t xml:space="preserve"> 2026</w:t>
      </w:r>
      <w:r>
        <w:t>.</w:t>
      </w:r>
      <w:r>
        <w:t xml:space="preserve"> ‘</w:t>
      </w:r>
      <w:r w:rsidRPr="00773F1C">
        <w:t>How Russia Is Intercepting Communications from European Satellites</w:t>
      </w:r>
      <w:r>
        <w:t>.</w:t>
      </w:r>
      <w:r>
        <w:t>’ RAND</w:t>
      </w:r>
      <w:r>
        <w:t xml:space="preserve"> Corporation</w:t>
      </w:r>
      <w:r>
        <w:t>.</w:t>
      </w:r>
      <w:r>
        <w:t xml:space="preserve"> As of 7 July 2026:</w:t>
      </w:r>
      <w:r>
        <w:t xml:space="preserve"> </w:t>
      </w:r>
      <w:r>
        <w:fldChar w:fldCharType="begin"/>
      </w:r>
      <w:r>
        <w:instrText xml:space="preserve"> HYPERLINK "https://www.rand.org/pubs/commentary/2026/03/how-russia-is-intercepting-communications-from-european.html" </w:instrText>
      </w:r>
      <w:r>
        <w:fldChar w:fldCharType="separate"/>
      </w:r>
      <w:r w:rsidRPr="000B12E9">
        <w:rPr>
          <w:rStyle w:val="Hyperlink"/>
        </w:rPr>
        <w:t>https://www.rand.org/pubs/commentary/2026/03/how-russia-is-intercepting-communications-from-european.html</w:t>
      </w:r>
      <w:r>
        <w:fldChar w:fldCharType="end"/>
      </w:r>
      <w:r>
        <w:t xml:space="preserve"> </w:t>
      </w:r>
    </w:p>
  </w:footnote>
  <w:footnote w:id="30">
    <w:p w:rsidR="007776B7" w:rsidRPr="00773F1C" w:rsidP="00F85BAD">
      <w:pPr>
        <w:pStyle w:val="FootnoteText"/>
        <w:jc w:val="left"/>
      </w:pPr>
      <w:r>
        <w:rPr>
          <w:rStyle w:val="FootnoteReference"/>
        </w:rPr>
        <w:footnoteRef/>
      </w:r>
      <w:r w:rsidRPr="00773F1C">
        <w:t xml:space="preserve"> Paukkunen</w:t>
      </w:r>
      <w:r>
        <w:t>, Samu,</w:t>
      </w:r>
      <w:r w:rsidRPr="00773F1C">
        <w:t xml:space="preserve"> </w:t>
      </w:r>
      <w:r>
        <w:t>&amp;</w:t>
      </w:r>
      <w:r w:rsidRPr="00773F1C">
        <w:t xml:space="preserve"> James Black</w:t>
      </w:r>
      <w:r>
        <w:t>.</w:t>
      </w:r>
      <w:r>
        <w:t xml:space="preserve"> 2026</w:t>
      </w:r>
      <w:r>
        <w:t>.</w:t>
      </w:r>
      <w:r>
        <w:t xml:space="preserve"> ‘</w:t>
      </w:r>
      <w:r w:rsidRPr="00773F1C">
        <w:t>Deterring Russia Beneath the Waves: Securing NATO’s Critical Undersea Infrastructure</w:t>
      </w:r>
      <w:r>
        <w:t>.</w:t>
      </w:r>
      <w:r>
        <w:t xml:space="preserve">’ </w:t>
      </w:r>
      <w:r w:rsidRPr="00F85BAD">
        <w:t>War on The Rocks</w:t>
      </w:r>
      <w:r>
        <w:t xml:space="preserve">, 1 June. </w:t>
      </w:r>
      <w:r>
        <w:t xml:space="preserve">As of 7 July 2026: </w:t>
      </w:r>
      <w:r>
        <w:fldChar w:fldCharType="begin"/>
      </w:r>
      <w:r>
        <w:instrText xml:space="preserve"> HYPERLINK "https://www.rand.org/pubs/commentary/2026/06/deterring-russia-beneath-the-waves-securing-natos-critical.html" </w:instrText>
      </w:r>
      <w:r>
        <w:fldChar w:fldCharType="separate"/>
      </w:r>
      <w:r w:rsidRPr="00770200">
        <w:rPr>
          <w:rStyle w:val="Hyperlink"/>
        </w:rPr>
        <w:t>https://www.rand.org/pubs/commentary/2026/06/deterring-russia-beneath-the-waves-securing-natos-critical.html</w:t>
      </w:r>
      <w:r>
        <w:fldChar w:fldCharType="end"/>
      </w:r>
      <w:r>
        <w:t xml:space="preserve">  </w:t>
      </w:r>
    </w:p>
  </w:footnote>
  <w:footnote w:id="31">
    <w:p w:rsidR="007776B7" w:rsidRPr="00EF55AA" w:rsidP="00F85BAD">
      <w:pPr>
        <w:pStyle w:val="FootnoteText"/>
        <w:jc w:val="left"/>
      </w:pPr>
      <w:r>
        <w:rPr>
          <w:rStyle w:val="FootnoteReference"/>
        </w:rPr>
        <w:footnoteRef/>
      </w:r>
      <w:r>
        <w:t xml:space="preserve"> Caves,</w:t>
      </w:r>
      <w:r>
        <w:t xml:space="preserve"> Ben,</w:t>
      </w:r>
      <w:r>
        <w:t xml:space="preserve"> </w:t>
      </w:r>
      <w:r w:rsidRPr="00EF55AA">
        <w:t>Rebecca Lucas, Livia Dewaele, Julia Muravska, Chris Wragg, Tom Spence, Zudik Hernandez, Anna Knack</w:t>
      </w:r>
      <w:r>
        <w:t xml:space="preserve"> </w:t>
      </w:r>
      <w:r>
        <w:t>&amp;</w:t>
      </w:r>
      <w:r w:rsidRPr="00EF55AA">
        <w:t xml:space="preserve"> James Black</w:t>
      </w:r>
      <w:r>
        <w:t xml:space="preserve">. </w:t>
      </w:r>
      <w:r>
        <w:t>2021</w:t>
      </w:r>
      <w:r>
        <w:t>.</w:t>
      </w:r>
      <w:r>
        <w:t xml:space="preserve"> </w:t>
      </w:r>
      <w:r w:rsidRPr="00EF55AA">
        <w:rPr>
          <w:i/>
          <w:iCs/>
        </w:rPr>
        <w:t>Enhancing Defence's Contribution to Societal Resilience in the UK</w:t>
      </w:r>
      <w:r>
        <w:rPr>
          <w:i/>
          <w:iCs/>
        </w:rPr>
        <w:t>.</w:t>
      </w:r>
      <w:r>
        <w:t xml:space="preserve"> </w:t>
      </w:r>
      <w:r>
        <w:t xml:space="preserve">Santa Monica, Calif.: </w:t>
      </w:r>
      <w:r>
        <w:t>RAND</w:t>
      </w:r>
      <w:r>
        <w:t xml:space="preserve"> Corporation</w:t>
      </w:r>
      <w:r>
        <w:t>.</w:t>
      </w:r>
      <w:r>
        <w:t xml:space="preserve"> RR-A1113-1. As of 7 July 2026:</w:t>
      </w:r>
      <w:r>
        <w:t xml:space="preserve"> </w:t>
      </w:r>
      <w:r>
        <w:fldChar w:fldCharType="begin"/>
      </w:r>
      <w:r>
        <w:instrText xml:space="preserve"> HYPERLINK "https://www.rand.org/pubs/research_reports/RRA1113-1.html" </w:instrText>
      </w:r>
      <w:r>
        <w:fldChar w:fldCharType="separate"/>
      </w:r>
      <w:r w:rsidRPr="000B12E9">
        <w:rPr>
          <w:rStyle w:val="Hyperlink"/>
        </w:rPr>
        <w:t>https://www.rand.org/pubs/research_reports/RRA1113-1.html</w:t>
      </w:r>
      <w:r>
        <w:fldChar w:fldCharType="end"/>
      </w:r>
      <w:r>
        <w:t xml:space="preserve"> </w:t>
      </w:r>
    </w:p>
  </w:footnote>
  <w:footnote w:id="32">
    <w:p w:rsidR="007776B7" w:rsidP="00F85BAD">
      <w:pPr>
        <w:pStyle w:val="FootnoteText"/>
        <w:jc w:val="left"/>
      </w:pPr>
      <w:r>
        <w:rPr>
          <w:rStyle w:val="FootnoteReference"/>
        </w:rPr>
        <w:footnoteRef/>
      </w:r>
      <w:r>
        <w:t xml:space="preserve"> Black,</w:t>
      </w:r>
      <w:r>
        <w:t xml:space="preserve"> James,</w:t>
      </w:r>
      <w:r>
        <w:t xml:space="preserve"> Stuart Dee et al. 2024</w:t>
      </w:r>
      <w:r>
        <w:t>.</w:t>
      </w:r>
      <w:r>
        <w:t xml:space="preserve"> </w:t>
      </w:r>
      <w:r>
        <w:rPr>
          <w:i/>
          <w:iCs/>
        </w:rPr>
        <w:t>Resourcing Defence Cooperation in Europe Amidst Russia’s War in Ukraine</w:t>
      </w:r>
      <w:r>
        <w:t>.</w:t>
      </w:r>
      <w:r>
        <w:t xml:space="preserve"> </w:t>
      </w:r>
      <w:r>
        <w:t xml:space="preserve">Santa Monica, Calif.: </w:t>
      </w:r>
      <w:r>
        <w:t>RAND</w:t>
      </w:r>
      <w:r>
        <w:t xml:space="preserve"> Corporation</w:t>
      </w:r>
      <w:r>
        <w:t>.</w:t>
      </w:r>
      <w:r>
        <w:t xml:space="preserve"> RR-A2195-8.</w:t>
      </w:r>
      <w:r>
        <w:t xml:space="preserve"> </w:t>
      </w:r>
      <w:r>
        <w:t xml:space="preserve">As of 7 July 2026: </w:t>
      </w:r>
      <w:r>
        <w:fldChar w:fldCharType="begin"/>
      </w:r>
      <w:r>
        <w:instrText xml:space="preserve"> HYPERLINK "https://www.rand.org/pubs/research_reports/RRA2195-8.html" </w:instrText>
      </w:r>
      <w:r>
        <w:fldChar w:fldCharType="separate"/>
      </w:r>
      <w:r w:rsidRPr="00770200">
        <w:rPr>
          <w:rStyle w:val="Hyperlink"/>
        </w:rPr>
        <w:t>https://www.rand.org/pubs/research_reports/RRA2195-8.html</w:t>
      </w:r>
      <w:r>
        <w:fldChar w:fldCharType="end"/>
      </w:r>
    </w:p>
  </w:footnote>
  <w:footnote w:id="33">
    <w:p w:rsidR="007776B7" w:rsidRPr="00EF55AA" w:rsidP="00F85BAD">
      <w:pPr>
        <w:pStyle w:val="FootnoteText"/>
        <w:jc w:val="left"/>
      </w:pPr>
      <w:r>
        <w:rPr>
          <w:rStyle w:val="FootnoteReference"/>
        </w:rPr>
        <w:footnoteRef/>
      </w:r>
      <w:r>
        <w:t xml:space="preserve"> UK Ministry of Defence</w:t>
      </w:r>
      <w:r>
        <w:t>.</w:t>
      </w:r>
      <w:r>
        <w:t xml:space="preserve"> 2025</w:t>
      </w:r>
      <w:r>
        <w:t>.</w:t>
      </w:r>
      <w:r>
        <w:t xml:space="preserve"> </w:t>
      </w:r>
      <w:r w:rsidRPr="00F85BAD">
        <w:rPr>
          <w:i/>
          <w:iCs/>
        </w:rPr>
        <w:t>The Strategic Defence Review 2025 – Making Britain Safer: Secure at Home, Strong Abroad</w:t>
      </w:r>
      <w:r w:rsidRPr="00F85BAD">
        <w:rPr>
          <w:i/>
          <w:iCs/>
        </w:rPr>
        <w:t>.</w:t>
      </w:r>
      <w:r>
        <w:t xml:space="preserve"> </w:t>
      </w:r>
      <w:r w:rsidRPr="00F85BAD">
        <w:t>Gov.uk</w:t>
      </w:r>
      <w:r>
        <w:t xml:space="preserve">. </w:t>
      </w:r>
      <w:r>
        <w:t xml:space="preserve">As of 7 July 2026: </w:t>
      </w:r>
      <w:r>
        <w:fldChar w:fldCharType="begin"/>
      </w:r>
      <w:r>
        <w:instrText xml:space="preserve"> HYPERLINK "https://www.gov.uk/government/publications/the-strategic-defence-review-2025-making-britain-safer-secure-at-home-strong-abroad" </w:instrText>
      </w:r>
      <w:r>
        <w:fldChar w:fldCharType="separate"/>
      </w:r>
      <w:r w:rsidRPr="00770200">
        <w:rPr>
          <w:rStyle w:val="Hyperlink"/>
        </w:rPr>
        <w:t>https://www.gov.uk/government/publications/the-strategic-defence-review-2025-making-britain-safer-secure-at-home-strong-abroad</w:t>
      </w:r>
      <w:r>
        <w:fldChar w:fldCharType="end"/>
      </w:r>
      <w:r>
        <w:t xml:space="preserve"> </w:t>
      </w:r>
    </w:p>
  </w:footnote>
  <w:footnote w:id="34">
    <w:p w:rsidR="007776B7" w:rsidRPr="00F85BAD" w:rsidP="00F85BAD">
      <w:pPr>
        <w:pStyle w:val="FootnoteText"/>
        <w:jc w:val="left"/>
        <w:rPr>
          <w:i/>
          <w:iCs/>
          <w:lang w:val="es-UY"/>
        </w:rPr>
      </w:pPr>
      <w:r>
        <w:rPr>
          <w:rStyle w:val="FootnoteReference"/>
        </w:rPr>
        <w:footnoteRef/>
      </w:r>
      <w:r w:rsidRPr="00F85BAD">
        <w:rPr>
          <w:lang w:val="es-UY"/>
        </w:rPr>
        <w:t xml:space="preserve"> </w:t>
      </w:r>
      <w:r w:rsidRPr="00F85BAD">
        <w:rPr>
          <w:lang w:val="es-UY"/>
        </w:rPr>
        <w:t>Caves,</w:t>
      </w:r>
      <w:r w:rsidRPr="00F85BAD">
        <w:rPr>
          <w:lang w:val="es-UY"/>
        </w:rPr>
        <w:t xml:space="preserve"> </w:t>
      </w:r>
      <w:r w:rsidRPr="00F85BAD">
        <w:rPr>
          <w:lang w:val="es-UY"/>
        </w:rPr>
        <w:t xml:space="preserve">Lucas, </w:t>
      </w:r>
      <w:r w:rsidRPr="00F85BAD">
        <w:rPr>
          <w:lang w:val="es-UY"/>
        </w:rPr>
        <w:t>e</w:t>
      </w:r>
      <w:r>
        <w:rPr>
          <w:lang w:val="es-UY"/>
        </w:rPr>
        <w:t>t al. (2021).</w:t>
      </w:r>
    </w:p>
  </w:footnote>
  <w:footnote w:id="35">
    <w:p w:rsidR="007776B7" w:rsidRPr="00EF55AA" w:rsidP="00F85BAD">
      <w:pPr>
        <w:pStyle w:val="FootnoteText"/>
        <w:jc w:val="left"/>
      </w:pPr>
      <w:r>
        <w:rPr>
          <w:rStyle w:val="FootnoteReference"/>
        </w:rPr>
        <w:footnoteRef/>
      </w:r>
      <w:r w:rsidRPr="00AC15D9">
        <w:t xml:space="preserve"> </w:t>
      </w:r>
      <w:r w:rsidRPr="00AC15D9">
        <w:t>Black</w:t>
      </w:r>
      <w:r w:rsidRPr="00AC15D9">
        <w:t>, James.</w:t>
      </w:r>
      <w:r w:rsidRPr="00AC15D9">
        <w:t xml:space="preserve"> </w:t>
      </w:r>
      <w:r>
        <w:t>2024</w:t>
      </w:r>
      <w:r>
        <w:t>.</w:t>
      </w:r>
      <w:r>
        <w:t xml:space="preserve"> ‘No More Sanctuary: NATO Must Prepare for War at Home</w:t>
      </w:r>
      <w:r>
        <w:t>.</w:t>
      </w:r>
      <w:r>
        <w:t>’ RAND</w:t>
      </w:r>
      <w:r>
        <w:t xml:space="preserve"> Corporation</w:t>
      </w:r>
      <w:r>
        <w:t>.</w:t>
      </w:r>
      <w:r>
        <w:t xml:space="preserve"> As of 7 July 2026:</w:t>
      </w:r>
      <w:r>
        <w:t xml:space="preserve"> </w:t>
      </w:r>
      <w:r>
        <w:fldChar w:fldCharType="begin"/>
      </w:r>
      <w:r>
        <w:instrText xml:space="preserve"> HYPERLINK "https://www.rand.org/pubs/commentary/2024/06/no-more-sanctuary-nato-must-prepare-for-war-at-home.html" </w:instrText>
      </w:r>
      <w:r>
        <w:fldChar w:fldCharType="separate"/>
      </w:r>
      <w:r w:rsidRPr="00EF55AA">
        <w:rPr>
          <w:rStyle w:val="Hyperlink"/>
        </w:rPr>
        <w:t>https://www.rand.org/pubs/commentary/2024/06/no-more-sanctuary-nato-must-prepare-for-war-at-home.html</w:t>
      </w:r>
      <w:r>
        <w:fldChar w:fldCharType="end"/>
      </w:r>
      <w:r w:rsidRPr="00EF55AA">
        <w:t>; Kreetz,</w:t>
      </w:r>
      <w:r>
        <w:t xml:space="preserve"> Tristan,</w:t>
      </w:r>
      <w:r w:rsidRPr="00EF55AA">
        <w:t xml:space="preserve"> Judith Huismans, Fook Nederveen, Conlan Ellis </w:t>
      </w:r>
      <w:r>
        <w:t>&amp;</w:t>
      </w:r>
      <w:r w:rsidRPr="00EF55AA">
        <w:t xml:space="preserve"> </w:t>
      </w:r>
      <w:r w:rsidRPr="00EF55AA">
        <w:t>Fr</w:t>
      </w:r>
      <w:r>
        <w:t>ancesca Ghiretti</w:t>
      </w:r>
      <w:r>
        <w:t xml:space="preserve">. </w:t>
      </w:r>
      <w:r>
        <w:t>2025</w:t>
      </w:r>
      <w:r>
        <w:t>.</w:t>
      </w:r>
      <w:r>
        <w:t xml:space="preserve"> </w:t>
      </w:r>
      <w:r>
        <w:t>‘</w:t>
      </w:r>
      <w:r w:rsidRPr="00F85BAD">
        <w:t>Lessons from Wartime Economies for a Resilient Dutch Society</w:t>
      </w:r>
      <w:r>
        <w:t>.’</w:t>
      </w:r>
      <w:r>
        <w:t xml:space="preserve"> </w:t>
      </w:r>
      <w:r>
        <w:t>RAND Corporation</w:t>
      </w:r>
      <w:r>
        <w:t xml:space="preserve">. </w:t>
      </w:r>
      <w:r>
        <w:t xml:space="preserve">As of 7 July 2026: </w:t>
      </w:r>
      <w:r>
        <w:fldChar w:fldCharType="begin"/>
      </w:r>
      <w:r>
        <w:instrText xml:space="preserve"> HYPERLINK "https://www.rand.org/randeurope/research/projects/2025/netherlands-prepared-cm.html" </w:instrText>
      </w:r>
      <w:r>
        <w:fldChar w:fldCharType="separate"/>
      </w:r>
      <w:r w:rsidRPr="00656287">
        <w:rPr>
          <w:rStyle w:val="Hyperlink"/>
        </w:rPr>
        <w:t>https://www.rand.org/randeurope/research/projects/2025/netherlands-prepared-cm.html</w:t>
      </w:r>
      <w:r>
        <w:fldChar w:fldCharType="end"/>
      </w:r>
      <w:r>
        <w:t xml:space="preserve"> </w:t>
      </w:r>
    </w:p>
  </w:footnote>
  <w:footnote w:id="36">
    <w:p w:rsidR="007776B7" w:rsidP="00F85BAD">
      <w:pPr>
        <w:pStyle w:val="FootnoteText"/>
        <w:jc w:val="left"/>
      </w:pPr>
      <w:r>
        <w:rPr>
          <w:rStyle w:val="FootnoteReference"/>
        </w:rPr>
        <w:footnoteRef/>
      </w:r>
      <w:r>
        <w:t xml:space="preserve"> </w:t>
      </w:r>
      <w:r>
        <w:t xml:space="preserve">Black, </w:t>
      </w:r>
      <w:r>
        <w:t xml:space="preserve">James, </w:t>
      </w:r>
      <w:r>
        <w:t>Stuart Dee et al. 2024</w:t>
      </w:r>
      <w:r>
        <w:t>.</w:t>
      </w:r>
      <w:r>
        <w:t xml:space="preserve"> </w:t>
      </w:r>
      <w:r>
        <w:rPr>
          <w:i/>
          <w:iCs/>
        </w:rPr>
        <w:t>Resourcing Defence Cooperation in Europe Amidst Russia’s War in Ukraine</w:t>
      </w:r>
      <w:r>
        <w:t>. Santa Monica, Calif.:</w:t>
      </w:r>
      <w:r>
        <w:t xml:space="preserve"> RAND</w:t>
      </w:r>
      <w:r>
        <w:t xml:space="preserve"> Corporation</w:t>
      </w:r>
      <w:r>
        <w:t>.</w:t>
      </w:r>
      <w:r>
        <w:t xml:space="preserve"> RR-A2195-8. As of 7 July 2026:</w:t>
      </w:r>
      <w:r>
        <w:t xml:space="preserve"> </w:t>
      </w:r>
      <w:r>
        <w:fldChar w:fldCharType="begin"/>
      </w:r>
      <w:r>
        <w:instrText xml:space="preserve"> HYPERLINK "https://www.rand.org/pubs/research_reports/RRA2195-8.html" </w:instrText>
      </w:r>
      <w:r>
        <w:fldChar w:fldCharType="separate"/>
      </w:r>
      <w:r w:rsidRPr="000B12E9">
        <w:rPr>
          <w:rStyle w:val="Hyperlink"/>
        </w:rPr>
        <w:t>https://www.rand.org/pubs/research_reports/RRA2195-8.html</w:t>
      </w:r>
      <w:r>
        <w:fldChar w:fldCharType="end"/>
      </w:r>
    </w:p>
  </w:footnote>
  <w:footnote w:id="37">
    <w:p w:rsidR="007776B7" w:rsidP="00F85BAD">
      <w:pPr>
        <w:pStyle w:val="FootnoteText"/>
        <w:jc w:val="left"/>
      </w:pPr>
      <w:r>
        <w:rPr>
          <w:rStyle w:val="FootnoteReference"/>
        </w:rPr>
        <w:footnoteRef/>
      </w:r>
      <w:r>
        <w:t xml:space="preserve"> </w:t>
      </w:r>
      <w:r>
        <w:t xml:space="preserve">Kennedy, Dee </w:t>
      </w:r>
      <w:r>
        <w:t>&amp;</w:t>
      </w:r>
      <w:r>
        <w:t xml:space="preserve"> Hill (2025</w:t>
      </w:r>
      <w:r>
        <w:t>).</w:t>
      </w:r>
    </w:p>
  </w:footnote>
  <w:footnote w:id="38">
    <w:p w:rsidR="007776B7" w:rsidP="00F85BAD">
      <w:pPr>
        <w:pStyle w:val="FootnoteText"/>
        <w:jc w:val="left"/>
      </w:pPr>
      <w:r w:rsidRPr="00783E10">
        <w:rPr>
          <w:rStyle w:val="FootnoteReference"/>
        </w:rPr>
        <w:footnoteRef/>
      </w:r>
      <w:r w:rsidRPr="00783E10">
        <w:t xml:space="preserve"> As above, working with Ukrainian partners not only on the specific technologies but to leverage their tactical and operational experience against </w:t>
      </w:r>
      <w:r>
        <w:t>Russia</w:t>
      </w:r>
      <w:r w:rsidRPr="00783E10">
        <w:t xml:space="preserve"> will provide benefits out of proportion to the cost.</w:t>
      </w:r>
    </w:p>
  </w:footnote>
  <w:footnote w:id="39">
    <w:p w:rsidR="007776B7" w:rsidRPr="00546C06" w:rsidP="00F85BAD">
      <w:pPr>
        <w:pStyle w:val="FootnoteText"/>
        <w:jc w:val="left"/>
      </w:pPr>
      <w:r>
        <w:rPr>
          <w:rStyle w:val="FootnoteReference"/>
        </w:rPr>
        <w:footnoteRef/>
      </w:r>
      <w:r>
        <w:t xml:space="preserve"> </w:t>
      </w:r>
      <w:r w:rsidRPr="00AA5DDF">
        <w:t>Adamsky, Dmitry.</w:t>
      </w:r>
      <w:r>
        <w:t xml:space="preserve"> 2025.</w:t>
      </w:r>
      <w:r w:rsidRPr="00AA5DDF">
        <w:t xml:space="preserve"> </w:t>
      </w:r>
      <w:r>
        <w:t>‘</w:t>
      </w:r>
      <w:r w:rsidRPr="00AA5DDF">
        <w:t>Quo Vadis, Russian deterrence? Strategic culture and coercion innovations.</w:t>
      </w:r>
      <w:r>
        <w:t>’</w:t>
      </w:r>
      <w:r w:rsidRPr="00AA5DDF">
        <w:t> </w:t>
      </w:r>
      <w:r w:rsidRPr="00AA5DDF">
        <w:rPr>
          <w:i/>
          <w:iCs/>
        </w:rPr>
        <w:t>International Security</w:t>
      </w:r>
      <w:r w:rsidRPr="00AA5DDF">
        <w:t> 49</w:t>
      </w:r>
      <w:r>
        <w:t>(</w:t>
      </w:r>
      <w:r w:rsidRPr="00AA5DDF">
        <w:t>3</w:t>
      </w:r>
      <w:r>
        <w:t>)</w:t>
      </w:r>
      <w:r w:rsidRPr="00AA5DDF">
        <w:t>: 50-83</w:t>
      </w:r>
      <w:r>
        <w:t>;</w:t>
      </w:r>
      <w:r>
        <w:t xml:space="preserve"> </w:t>
      </w:r>
      <w:r>
        <w:t>Eke</w:t>
      </w:r>
      <w:r>
        <w:t>n et al. (2025).</w:t>
      </w:r>
    </w:p>
  </w:footnote>
  <w:footnote w:id="40">
    <w:p w:rsidR="007776B7" w:rsidRPr="009A5A58" w:rsidP="00F85BAD">
      <w:pPr>
        <w:pStyle w:val="FootnoteText"/>
        <w:jc w:val="left"/>
      </w:pPr>
      <w:r>
        <w:rPr>
          <w:rStyle w:val="FootnoteReference"/>
        </w:rPr>
        <w:footnoteRef/>
      </w:r>
      <w:r w:rsidRPr="009A5A58">
        <w:t xml:space="preserve"> van Hooft</w:t>
      </w:r>
      <w:r>
        <w:t>, Paul.</w:t>
      </w:r>
      <w:r w:rsidRPr="009A5A58">
        <w:t xml:space="preserve"> 2026</w:t>
      </w:r>
      <w:r>
        <w:t>.</w:t>
      </w:r>
      <w:r w:rsidRPr="009A5A58">
        <w:t xml:space="preserve"> ‘New START’s Expiration Will Make the World Less Safe</w:t>
      </w:r>
      <w:r>
        <w:t xml:space="preserve"> – </w:t>
      </w:r>
      <w:r w:rsidRPr="009A5A58">
        <w:t xml:space="preserve">Even </w:t>
      </w:r>
      <w:r>
        <w:t>I</w:t>
      </w:r>
      <w:r w:rsidRPr="009A5A58">
        <w:t>f It Doesn’t Spark Another Nuclear Arms Race</w:t>
      </w:r>
      <w:r>
        <w:t>.</w:t>
      </w:r>
      <w:r>
        <w:t>’ RAND</w:t>
      </w:r>
      <w:r>
        <w:t xml:space="preserve"> Corporation</w:t>
      </w:r>
      <w:r>
        <w:t>.</w:t>
      </w:r>
      <w:r>
        <w:t xml:space="preserve"> As of 7 July 2026:</w:t>
      </w:r>
      <w:r>
        <w:t xml:space="preserve"> </w:t>
      </w:r>
      <w:r>
        <w:fldChar w:fldCharType="begin"/>
      </w:r>
      <w:r>
        <w:instrText xml:space="preserve"> HYPERLINK "https://www.rand.org/pubs/commentary/2026/02/new-starts-expiration-will-make-the-world-less-safe.html" </w:instrText>
      </w:r>
      <w:r>
        <w:fldChar w:fldCharType="separate"/>
      </w:r>
      <w:r w:rsidRPr="000B12E9">
        <w:rPr>
          <w:rStyle w:val="Hyperlink"/>
        </w:rPr>
        <w:t>https://www.rand.org/pubs/commentary/2026/02/new-starts-expiration-will-make-the-world-less-safe.html</w:t>
      </w:r>
      <w:r>
        <w:fldChar w:fldCharType="end"/>
      </w:r>
      <w:r>
        <w:t xml:space="preserve">  </w:t>
      </w:r>
    </w:p>
  </w:footnote>
  <w:footnote w:id="41">
    <w:p w:rsidR="007776B7" w:rsidP="00F85BAD">
      <w:pPr>
        <w:pStyle w:val="FootnoteText"/>
        <w:jc w:val="left"/>
      </w:pPr>
      <w:r>
        <w:rPr>
          <w:rStyle w:val="FootnoteReference"/>
        </w:rPr>
        <w:footnoteRef/>
      </w:r>
      <w:r>
        <w:t xml:space="preserve"> </w:t>
      </w:r>
      <w:r>
        <w:t xml:space="preserve">Wolford, Moisan, </w:t>
      </w:r>
      <w:r>
        <w:t>et al. (2025)</w:t>
      </w:r>
      <w:r>
        <w:t>; Wolford,</w:t>
      </w:r>
      <w:r>
        <w:t xml:space="preserve"> Zsofia,</w:t>
      </w:r>
      <w:r>
        <w:t xml:space="preserve"> James Black </w:t>
      </w:r>
      <w:r>
        <w:t xml:space="preserve">&amp; </w:t>
      </w:r>
      <w:r>
        <w:t>Paul van Hooft</w:t>
      </w:r>
      <w:r>
        <w:t xml:space="preserve">. </w:t>
      </w:r>
      <w:r>
        <w:t>2025</w:t>
      </w:r>
      <w:r>
        <w:t>.</w:t>
      </w:r>
      <w:r>
        <w:t xml:space="preserve"> ‘Can More British and French Nuclear Cooperation Help Deter Russia?’ </w:t>
      </w:r>
      <w:r w:rsidRPr="00F85BAD">
        <w:t>War on The Rocks</w:t>
      </w:r>
      <w:r>
        <w:t xml:space="preserve">. </w:t>
      </w:r>
      <w:r>
        <w:t xml:space="preserve">As of 7 July 2026: </w:t>
      </w:r>
      <w:r>
        <w:fldChar w:fldCharType="begin"/>
      </w:r>
      <w:r>
        <w:instrText xml:space="preserve"> HYPERLINK "https://warontherocks.com/can-more-british-and-french-nuclear-cooperation-help-deter-russia/" </w:instrText>
      </w:r>
      <w:r>
        <w:fldChar w:fldCharType="separate"/>
      </w:r>
      <w:r w:rsidRPr="00656287">
        <w:rPr>
          <w:rStyle w:val="Hyperlink"/>
        </w:rPr>
        <w:t>https://warontherocks.com/can-more-british-and-french-nuclear-cooperation-help-deter-russia/</w:t>
      </w:r>
      <w:r>
        <w:fldChar w:fldCharType="end"/>
      </w:r>
      <w:r>
        <w:t xml:space="preserve"> </w:t>
      </w:r>
    </w:p>
  </w:footnote>
  <w:footnote w:id="42">
    <w:p w:rsidR="007776B7" w:rsidRPr="00F84E92" w:rsidP="00F85BAD">
      <w:pPr>
        <w:pStyle w:val="FootnoteText"/>
        <w:jc w:val="left"/>
      </w:pPr>
      <w:r>
        <w:rPr>
          <w:rStyle w:val="FootnoteReference"/>
        </w:rPr>
        <w:footnoteRef/>
      </w:r>
      <w:r>
        <w:t xml:space="preserve"> </w:t>
      </w:r>
      <w:r w:rsidRPr="00F84E92">
        <w:t xml:space="preserve">Binnendijk, </w:t>
      </w:r>
      <w:r>
        <w:t xml:space="preserve">Anika, </w:t>
      </w:r>
      <w:r w:rsidRPr="00F84E92">
        <w:t>Gene Germanovich, Bruce McClintock</w:t>
      </w:r>
      <w:r>
        <w:t xml:space="preserve"> </w:t>
      </w:r>
      <w:r>
        <w:t>&amp;</w:t>
      </w:r>
      <w:r w:rsidRPr="00F84E92">
        <w:t xml:space="preserve"> Sarah Heintz</w:t>
      </w:r>
      <w:r>
        <w:t xml:space="preserve">. </w:t>
      </w:r>
      <w:r>
        <w:t>2020</w:t>
      </w:r>
      <w:r>
        <w:t>.</w:t>
      </w:r>
      <w:r>
        <w:t xml:space="preserve"> </w:t>
      </w:r>
      <w:r>
        <w:rPr>
          <w:i/>
          <w:iCs/>
        </w:rPr>
        <w:t>At the Vanguard: European Contributions to NATO’s Future Combat Airpower</w:t>
      </w:r>
      <w:r>
        <w:t>.</w:t>
      </w:r>
      <w:r>
        <w:t xml:space="preserve"> </w:t>
      </w:r>
      <w:r>
        <w:t xml:space="preserve">Santa Monica, Calif.: </w:t>
      </w:r>
      <w:r>
        <w:t>RAND</w:t>
      </w:r>
      <w:r>
        <w:t xml:space="preserve"> Corporation</w:t>
      </w:r>
      <w:r>
        <w:t>.</w:t>
      </w:r>
      <w:r>
        <w:t xml:space="preserve"> RR-A311-1. As of 7 July 2026:</w:t>
      </w:r>
      <w:r>
        <w:t xml:space="preserve"> </w:t>
      </w:r>
      <w:r>
        <w:fldChar w:fldCharType="begin"/>
      </w:r>
      <w:r>
        <w:instrText xml:space="preserve"> HYPERLINK "https://www.rand.org/pubs/research_reports/RRA311-1.html" </w:instrText>
      </w:r>
      <w:r>
        <w:fldChar w:fldCharType="separate"/>
      </w:r>
      <w:r w:rsidRPr="000B12E9">
        <w:rPr>
          <w:rStyle w:val="Hyperlink"/>
        </w:rPr>
        <w:t>https://www.rand.org/pubs/research_reports/RRA311-1.html</w:t>
      </w:r>
      <w:r>
        <w:fldChar w:fldCharType="end"/>
      </w:r>
      <w:r>
        <w:t xml:space="preserve"> </w:t>
      </w:r>
    </w:p>
  </w:footnote>
  <w:footnote w:id="43">
    <w:p w:rsidR="007776B7" w:rsidP="00F85BAD">
      <w:pPr>
        <w:pStyle w:val="FootnoteText"/>
        <w:jc w:val="left"/>
      </w:pPr>
      <w:r>
        <w:rPr>
          <w:rStyle w:val="FootnoteReference"/>
        </w:rPr>
        <w:footnoteRef/>
      </w:r>
      <w:r>
        <w:t xml:space="preserve"> </w:t>
      </w:r>
      <w:r>
        <w:t>Davis, Anna, &amp;</w:t>
      </w:r>
      <w:r w:rsidRPr="00D266D1">
        <w:t xml:space="preserve"> </w:t>
      </w:r>
      <w:r>
        <w:t xml:space="preserve">Richard </w:t>
      </w:r>
      <w:r w:rsidRPr="00D266D1">
        <w:t>Moss</w:t>
      </w:r>
      <w:r>
        <w:t>.</w:t>
      </w:r>
      <w:r>
        <w:t xml:space="preserve"> 2024</w:t>
      </w:r>
      <w:r>
        <w:t>.</w:t>
      </w:r>
      <w:r w:rsidRPr="00D266D1">
        <w:t xml:space="preserve"> </w:t>
      </w:r>
      <w:r>
        <w:t>‘</w:t>
      </w:r>
      <w:r w:rsidRPr="00D266D1">
        <w:t>Fundamentals of the State Policy of the Russian Federation in the Area of Nuclear Deterrence</w:t>
      </w:r>
      <w:r>
        <w:t>’,</w:t>
      </w:r>
      <w:r w:rsidRPr="00D266D1">
        <w:t xml:space="preserve"> R</w:t>
      </w:r>
      <w:r>
        <w:t xml:space="preserve">ussian </w:t>
      </w:r>
      <w:r w:rsidRPr="00D266D1">
        <w:t>M</w:t>
      </w:r>
      <w:r>
        <w:t xml:space="preserve">aritime </w:t>
      </w:r>
      <w:r w:rsidRPr="00D266D1">
        <w:t>S</w:t>
      </w:r>
      <w:r>
        <w:t xml:space="preserve">tudies </w:t>
      </w:r>
      <w:r w:rsidRPr="00D266D1">
        <w:t>I</w:t>
      </w:r>
      <w:r>
        <w:t>nstitute (RMSI)</w:t>
      </w:r>
      <w:r w:rsidRPr="00D266D1">
        <w:t xml:space="preserve"> Research</w:t>
      </w:r>
      <w:r>
        <w:t>,</w:t>
      </w:r>
      <w:r w:rsidRPr="00D266D1">
        <w:t xml:space="preserve"> 7.</w:t>
      </w:r>
      <w:r>
        <w:t xml:space="preserve"> As of 7 July 2026: </w:t>
      </w:r>
      <w:r>
        <w:fldChar w:fldCharType="begin"/>
      </w:r>
      <w:r>
        <w:instrText xml:space="preserve"> HYPERLINK "https://digital-commons.usnwc.edu/rmsi_research/7" </w:instrText>
      </w:r>
      <w:r>
        <w:fldChar w:fldCharType="separate"/>
      </w:r>
      <w:r w:rsidRPr="0024443D">
        <w:rPr>
          <w:rStyle w:val="Hyperlink"/>
        </w:rPr>
        <w:t>https://digital-commons.usnwc.edu/rmsi_research/7</w:t>
      </w:r>
      <w:r>
        <w:fldChar w:fldCharType="end"/>
      </w:r>
      <w:r>
        <w:t xml:space="preserve"> </w:t>
      </w:r>
    </w:p>
  </w:footnote>
  <w:footnote w:id="44">
    <w:p w:rsidR="007776B7" w:rsidP="00F85BAD">
      <w:pPr>
        <w:pStyle w:val="FootnoteText"/>
        <w:jc w:val="left"/>
      </w:pPr>
      <w:r>
        <w:rPr>
          <w:rStyle w:val="FootnoteReference"/>
        </w:rPr>
        <w:footnoteRef/>
      </w:r>
      <w:r>
        <w:t xml:space="preserve"> </w:t>
      </w:r>
      <w:r>
        <w:t>v</w:t>
      </w:r>
      <w:r>
        <w:t>an Hooft,</w:t>
      </w:r>
      <w:r>
        <w:t xml:space="preserve"> Paul,</w:t>
      </w:r>
      <w:r>
        <w:t xml:space="preserve"> Mattias Eken, Zsofia Wolford, Artur Honich, Thomas Kenchington</w:t>
      </w:r>
      <w:r>
        <w:t xml:space="preserve"> </w:t>
      </w:r>
      <w:r>
        <w:t>&amp;</w:t>
      </w:r>
      <w:r>
        <w:t xml:space="preserve"> Kiran Suman-Chauhan.</w:t>
      </w:r>
      <w:r>
        <w:t xml:space="preserve"> Forthcoming.</w:t>
      </w:r>
      <w:r>
        <w:t xml:space="preserve"> </w:t>
      </w:r>
      <w:r w:rsidRPr="00D266D1">
        <w:rPr>
          <w:i/>
          <w:iCs/>
        </w:rPr>
        <w:t>Conventional Logics, Nuclear Fears: Inadvertent Escalation Risks Between NATO and Russia</w:t>
      </w:r>
      <w:r>
        <w:t xml:space="preserve">. </w:t>
      </w:r>
      <w:r>
        <w:t>RAND Corporation.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E61" w:rsidRPr="006C6E61" w:rsidP="006C6E61">
    <w:pPr>
      <w:pStyle w:val="Header"/>
      <w:jc w:val="right"/>
      <w:rPr>
        <w:rFonts w:ascii="Arial" w:hAnsi="Arial" w:cs="Arial"/>
        <w:sz w:val="22"/>
        <w:szCs w:val="22"/>
      </w:rPr>
    </w:pPr>
    <w:r w:rsidRPr="006C6E61">
      <w:rPr>
        <w:rFonts w:ascii="Arial" w:hAnsi="Arial" w:cs="Arial"/>
        <w:sz w:val="22"/>
        <w:szCs w:val="22"/>
      </w:rPr>
      <w:t>RUS0007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2A407F"/>
    <w:multiLevelType w:val="multilevel"/>
    <w:tmpl w:val="30AE1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6C67DB"/>
    <w:multiLevelType w:val="hybridMultilevel"/>
    <w:tmpl w:val="21BEFA2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9144DD0"/>
    <w:multiLevelType w:val="multilevel"/>
    <w:tmpl w:val="BB7C2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C05590"/>
    <w:multiLevelType w:val="hybridMultilevel"/>
    <w:tmpl w:val="63D428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E021DEA"/>
    <w:multiLevelType w:val="hybridMultilevel"/>
    <w:tmpl w:val="BAF257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0B80A4B"/>
    <w:multiLevelType w:val="hybridMultilevel"/>
    <w:tmpl w:val="3B3E18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AA0286B"/>
    <w:multiLevelType w:val="hybridMultilevel"/>
    <w:tmpl w:val="C6E842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D410460"/>
    <w:multiLevelType w:val="hybridMultilevel"/>
    <w:tmpl w:val="F9061F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A471ECD"/>
    <w:multiLevelType w:val="multilevel"/>
    <w:tmpl w:val="AD2CE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AD4E61"/>
    <w:multiLevelType w:val="multilevel"/>
    <w:tmpl w:val="5ECE7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5F621C"/>
    <w:multiLevelType w:val="multilevel"/>
    <w:tmpl w:val="2F44C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AD2089"/>
    <w:multiLevelType w:val="hybridMultilevel"/>
    <w:tmpl w:val="C9D0A9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9"/>
  </w:num>
  <w:num w:numId="4">
    <w:abstractNumId w:val="2"/>
  </w:num>
  <w:num w:numId="5">
    <w:abstractNumId w:val="10"/>
  </w:num>
  <w:num w:numId="6">
    <w:abstractNumId w:val="8"/>
  </w:num>
  <w:num w:numId="7">
    <w:abstractNumId w:val="0"/>
  </w:num>
  <w:num w:numId="8">
    <w:abstractNumId w:val="3"/>
  </w:num>
  <w:num w:numId="9">
    <w:abstractNumId w:val="1"/>
  </w:num>
  <w:num w:numId="10">
    <w:abstractNumId w:val="11"/>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5A46"/>
    <w:pPr>
      <w:jc w:val="both"/>
    </w:pPr>
  </w:style>
  <w:style w:type="paragraph" w:styleId="Heading1">
    <w:name w:val="heading 1"/>
    <w:basedOn w:val="Normal"/>
    <w:next w:val="Normal"/>
    <w:link w:val="Heading1Char"/>
    <w:uiPriority w:val="9"/>
    <w:qFormat/>
    <w:rsid w:val="00CE5A46"/>
    <w:pPr>
      <w:keepNext/>
      <w:keepLines/>
      <w:spacing w:before="360" w:after="80"/>
      <w:jc w:val="left"/>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00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00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00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00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00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00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00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00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A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00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00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00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00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00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00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00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00B8"/>
    <w:rPr>
      <w:rFonts w:eastAsiaTheme="majorEastAsia" w:cstheme="majorBidi"/>
      <w:color w:val="272727" w:themeColor="text1" w:themeTint="D8"/>
    </w:rPr>
  </w:style>
  <w:style w:type="paragraph" w:styleId="Title">
    <w:name w:val="Title"/>
    <w:basedOn w:val="Normal"/>
    <w:next w:val="Normal"/>
    <w:link w:val="TitleChar"/>
    <w:uiPriority w:val="10"/>
    <w:qFormat/>
    <w:rsid w:val="00E100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00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0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0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0B8"/>
    <w:pPr>
      <w:spacing w:before="160"/>
      <w:jc w:val="center"/>
    </w:pPr>
    <w:rPr>
      <w:i/>
      <w:iCs/>
      <w:color w:val="404040" w:themeColor="text1" w:themeTint="BF"/>
    </w:rPr>
  </w:style>
  <w:style w:type="character" w:customStyle="1" w:styleId="QuoteChar">
    <w:name w:val="Quote Char"/>
    <w:basedOn w:val="DefaultParagraphFont"/>
    <w:link w:val="Quote"/>
    <w:uiPriority w:val="29"/>
    <w:rsid w:val="00E100B8"/>
    <w:rPr>
      <w:i/>
      <w:iCs/>
      <w:color w:val="404040" w:themeColor="text1" w:themeTint="BF"/>
    </w:rPr>
  </w:style>
  <w:style w:type="paragraph" w:styleId="ListParagraph">
    <w:name w:val="List Paragraph"/>
    <w:basedOn w:val="Normal"/>
    <w:uiPriority w:val="34"/>
    <w:qFormat/>
    <w:rsid w:val="00E100B8"/>
    <w:pPr>
      <w:ind w:left="720"/>
      <w:contextualSpacing/>
    </w:pPr>
  </w:style>
  <w:style w:type="character" w:styleId="IntenseEmphasis">
    <w:name w:val="Intense Emphasis"/>
    <w:basedOn w:val="DefaultParagraphFont"/>
    <w:uiPriority w:val="21"/>
    <w:qFormat/>
    <w:rsid w:val="00E100B8"/>
    <w:rPr>
      <w:i/>
      <w:iCs/>
      <w:color w:val="0F4761" w:themeColor="accent1" w:themeShade="BF"/>
    </w:rPr>
  </w:style>
  <w:style w:type="paragraph" w:styleId="IntenseQuote">
    <w:name w:val="Intense Quote"/>
    <w:basedOn w:val="Normal"/>
    <w:next w:val="Normal"/>
    <w:link w:val="IntenseQuoteChar"/>
    <w:uiPriority w:val="30"/>
    <w:qFormat/>
    <w:rsid w:val="00E100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00B8"/>
    <w:rPr>
      <w:i/>
      <w:iCs/>
      <w:color w:val="0F4761" w:themeColor="accent1" w:themeShade="BF"/>
    </w:rPr>
  </w:style>
  <w:style w:type="character" w:styleId="IntenseReference">
    <w:name w:val="Intense Reference"/>
    <w:basedOn w:val="DefaultParagraphFont"/>
    <w:uiPriority w:val="32"/>
    <w:qFormat/>
    <w:rsid w:val="00E100B8"/>
    <w:rPr>
      <w:b/>
      <w:bCs/>
      <w:smallCaps/>
      <w:color w:val="0F4761" w:themeColor="accent1" w:themeShade="BF"/>
      <w:spacing w:val="5"/>
    </w:rPr>
  </w:style>
  <w:style w:type="paragraph" w:styleId="FootnoteText">
    <w:name w:val="footnote text"/>
    <w:basedOn w:val="Normal"/>
    <w:link w:val="FootnoteTextChar"/>
    <w:uiPriority w:val="99"/>
    <w:unhideWhenUsed/>
    <w:rsid w:val="00697B7C"/>
    <w:pPr>
      <w:spacing w:after="0" w:line="240" w:lineRule="auto"/>
    </w:pPr>
    <w:rPr>
      <w:sz w:val="20"/>
      <w:szCs w:val="20"/>
    </w:rPr>
  </w:style>
  <w:style w:type="character" w:customStyle="1" w:styleId="FootnoteTextChar">
    <w:name w:val="Footnote Text Char"/>
    <w:basedOn w:val="DefaultParagraphFont"/>
    <w:link w:val="FootnoteText"/>
    <w:uiPriority w:val="99"/>
    <w:rsid w:val="00697B7C"/>
    <w:rPr>
      <w:sz w:val="20"/>
      <w:szCs w:val="20"/>
    </w:rPr>
  </w:style>
  <w:style w:type="character" w:styleId="FootnoteReference">
    <w:name w:val="footnote reference"/>
    <w:basedOn w:val="DefaultParagraphFont"/>
    <w:uiPriority w:val="99"/>
    <w:semiHidden/>
    <w:unhideWhenUsed/>
    <w:rsid w:val="00697B7C"/>
    <w:rPr>
      <w:vertAlign w:val="superscript"/>
    </w:rPr>
  </w:style>
  <w:style w:type="paragraph" w:styleId="Revision">
    <w:name w:val="Revision"/>
    <w:hidden/>
    <w:uiPriority w:val="99"/>
    <w:semiHidden/>
    <w:rsid w:val="001C30A4"/>
    <w:pPr>
      <w:spacing w:after="0" w:line="240" w:lineRule="auto"/>
    </w:pPr>
  </w:style>
  <w:style w:type="character" w:styleId="Hyperlink">
    <w:name w:val="Hyperlink"/>
    <w:basedOn w:val="DefaultParagraphFont"/>
    <w:uiPriority w:val="99"/>
    <w:unhideWhenUsed/>
    <w:rsid w:val="009E2235"/>
    <w:rPr>
      <w:color w:val="467886" w:themeColor="hyperlink"/>
      <w:u w:val="single"/>
    </w:rPr>
  </w:style>
  <w:style w:type="character" w:customStyle="1" w:styleId="UnresolvedMention1">
    <w:name w:val="Unresolved Mention1"/>
    <w:basedOn w:val="DefaultParagraphFont"/>
    <w:uiPriority w:val="99"/>
    <w:semiHidden/>
    <w:unhideWhenUsed/>
    <w:rsid w:val="009E2235"/>
    <w:rPr>
      <w:color w:val="605E5C"/>
      <w:shd w:val="clear" w:color="auto" w:fill="E1DFDD"/>
    </w:rPr>
  </w:style>
  <w:style w:type="character" w:styleId="CommentReference">
    <w:name w:val="annotation reference"/>
    <w:basedOn w:val="DefaultParagraphFont"/>
    <w:uiPriority w:val="99"/>
    <w:semiHidden/>
    <w:unhideWhenUsed/>
    <w:rsid w:val="00104F31"/>
    <w:rPr>
      <w:sz w:val="16"/>
      <w:szCs w:val="16"/>
    </w:rPr>
  </w:style>
  <w:style w:type="paragraph" w:styleId="CommentText">
    <w:name w:val="annotation text"/>
    <w:basedOn w:val="Normal"/>
    <w:link w:val="CommentTextChar"/>
    <w:uiPriority w:val="99"/>
    <w:unhideWhenUsed/>
    <w:rsid w:val="00104F31"/>
    <w:pPr>
      <w:spacing w:line="240" w:lineRule="auto"/>
    </w:pPr>
    <w:rPr>
      <w:sz w:val="20"/>
      <w:szCs w:val="20"/>
    </w:rPr>
  </w:style>
  <w:style w:type="character" w:customStyle="1" w:styleId="CommentTextChar">
    <w:name w:val="Comment Text Char"/>
    <w:basedOn w:val="DefaultParagraphFont"/>
    <w:link w:val="CommentText"/>
    <w:uiPriority w:val="99"/>
    <w:rsid w:val="00104F31"/>
    <w:rPr>
      <w:sz w:val="20"/>
      <w:szCs w:val="20"/>
    </w:rPr>
  </w:style>
  <w:style w:type="paragraph" w:styleId="CommentSubject">
    <w:name w:val="annotation subject"/>
    <w:basedOn w:val="CommentText"/>
    <w:next w:val="CommentText"/>
    <w:link w:val="CommentSubjectChar"/>
    <w:uiPriority w:val="99"/>
    <w:semiHidden/>
    <w:unhideWhenUsed/>
    <w:rsid w:val="00104F31"/>
    <w:rPr>
      <w:b/>
      <w:bCs/>
    </w:rPr>
  </w:style>
  <w:style w:type="character" w:customStyle="1" w:styleId="CommentSubjectChar">
    <w:name w:val="Comment Subject Char"/>
    <w:basedOn w:val="CommentTextChar"/>
    <w:link w:val="CommentSubject"/>
    <w:uiPriority w:val="99"/>
    <w:semiHidden/>
    <w:rsid w:val="00104F31"/>
    <w:rPr>
      <w:b/>
      <w:bCs/>
      <w:sz w:val="20"/>
      <w:szCs w:val="20"/>
    </w:rPr>
  </w:style>
  <w:style w:type="paragraph" w:styleId="Header">
    <w:name w:val="header"/>
    <w:basedOn w:val="Normal"/>
    <w:link w:val="HeaderChar"/>
    <w:uiPriority w:val="99"/>
    <w:unhideWhenUsed/>
    <w:rsid w:val="003E29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2949"/>
  </w:style>
  <w:style w:type="paragraph" w:styleId="Footer">
    <w:name w:val="footer"/>
    <w:basedOn w:val="Normal"/>
    <w:link w:val="FooterChar"/>
    <w:uiPriority w:val="99"/>
    <w:unhideWhenUsed/>
    <w:rsid w:val="003E29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2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1449E-FCA7-4136-903B-8C4D3C2A9C6D}">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RUS0007</dc:title>
  <cp:revision>0</cp:revision>
</cp:coreProperties>
</file>