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A589F" w:rsidRPr="007560B3" w:rsidP="007560B3">
      <w:pPr>
        <w:jc w:val="center"/>
        <w:rPr>
          <w:b/>
          <w:szCs w:val="24"/>
        </w:rPr>
      </w:pPr>
      <w:r w:rsidRPr="007560B3">
        <w:rPr>
          <w:b/>
          <w:sz w:val="36"/>
          <w:szCs w:val="24"/>
        </w:rPr>
        <w:t>Written evidence submitted by Citizens Advice</w:t>
      </w:r>
      <w:r w:rsidRPr="007560B3">
        <w:rPr>
          <w:b/>
          <w:sz w:val="36"/>
          <w:szCs w:val="24"/>
        </w:rPr>
        <w:t xml:space="preserve"> </w:t>
      </w:r>
      <w:r w:rsidRPr="007560B3">
        <w:rPr>
          <w:b/>
          <w:sz w:val="36"/>
          <w:szCs w:val="24"/>
        </w:rPr>
        <w:t>Middlesbrough</w:t>
      </w:r>
    </w:p>
    <w:p w:rsidR="008A589F" w:rsidRPr="004F3448" w:rsidP="00C216E1">
      <w:pPr>
        <w:pStyle w:val="Heading1"/>
      </w:pPr>
      <w:r w:rsidRPr="004F3448">
        <w:t>About Citizens Advice Middlesbrough</w:t>
      </w:r>
    </w:p>
    <w:p w:rsidR="008A589F" w:rsidRPr="004F3448" w:rsidP="00D42006">
      <w:pPr>
        <w:pStyle w:val="ListParagraph"/>
        <w:numPr>
          <w:ilvl w:val="0"/>
          <w:numId w:val="29"/>
        </w:numPr>
        <w:ind w:left="567" w:hanging="567"/>
        <w:contextualSpacing w:val="0"/>
        <w:jc w:val="both"/>
      </w:pPr>
      <w:r w:rsidRPr="004F3448">
        <w:t xml:space="preserve">Citizens Advice Middlesbrough (MCAB) is an independent local charity providing free, confidential, </w:t>
      </w:r>
      <w:r w:rsidRPr="004F3448">
        <w:t>impartial,</w:t>
      </w:r>
      <w:r w:rsidRPr="004F3448">
        <w:t xml:space="preserve"> and expert advice to people across Middlesbrough. We support residents with a wide range of issues including benefits, debt, housing, employment, energy, immigration, consumer </w:t>
      </w:r>
      <w:r w:rsidRPr="004F3448">
        <w:t>problems,</w:t>
      </w:r>
      <w:r w:rsidRPr="004F3448">
        <w:t xml:space="preserve"> and family-related matters. Through our advice services, we work with thousands of local people each year, helping them overcome financial hardship, navigate complex systems, and access the support they are entitled to</w:t>
      </w:r>
      <w:r w:rsidRPr="004F3448">
        <w:t xml:space="preserve"> - providing a person-centred, holistic, and wrap-around support</w:t>
      </w:r>
      <w:r w:rsidRPr="004F3448">
        <w:t xml:space="preserve"> for each of our clients.</w:t>
      </w:r>
    </w:p>
    <w:p w:rsidR="008A589F" w:rsidRPr="004F3448" w:rsidP="00D42006">
      <w:pPr>
        <w:pStyle w:val="ListParagraph"/>
        <w:numPr>
          <w:ilvl w:val="0"/>
          <w:numId w:val="29"/>
        </w:numPr>
        <w:ind w:left="567" w:hanging="567"/>
        <w:contextualSpacing w:val="0"/>
        <w:jc w:val="both"/>
      </w:pPr>
      <w:r w:rsidRPr="004F3448">
        <w:t xml:space="preserve">Our submission draws on evidence gathered through </w:t>
      </w:r>
      <w:r w:rsidRPr="004F3448">
        <w:t xml:space="preserve">our </w:t>
      </w:r>
      <w:r w:rsidRPr="00AF5EB3">
        <w:rPr>
          <w:i/>
        </w:rPr>
        <w:t>Benefits in Schools Project</w:t>
      </w:r>
      <w:r w:rsidRPr="004F3448">
        <w:t xml:space="preserve"> (which</w:t>
      </w:r>
      <w:r>
        <w:t>,</w:t>
      </w:r>
      <w:r>
        <w:t xml:space="preserve"> from 2023</w:t>
      </w:r>
      <w:r>
        <w:t>, has</w:t>
      </w:r>
      <w:r w:rsidRPr="004F3448">
        <w:t xml:space="preserve"> </w:t>
      </w:r>
      <w:r>
        <w:t>embedded</w:t>
      </w:r>
      <w:r w:rsidRPr="004F3448">
        <w:t xml:space="preserve"> specialist welfare advisers within school settings across Middlesbrough, providing accessible advice and ongoing support to families who may otherwise struggle to engage with traditional services</w:t>
      </w:r>
      <w:r w:rsidRPr="004F3448">
        <w:t>)</w:t>
      </w:r>
      <w:r w:rsidRPr="004F3448">
        <w:t xml:space="preserve">, wider </w:t>
      </w:r>
      <w:r>
        <w:t>MCAB</w:t>
      </w:r>
      <w:r w:rsidRPr="004F3448">
        <w:t xml:space="preserve"> casework, and insights shared by parents, carers, school staff, SEND professionals and families living with disability and additional needs. This evidence provides a unique perspective on how poverty, financial insecurity, disability, transport </w:t>
      </w:r>
      <w:r w:rsidRPr="004F3448">
        <w:t>barriers,</w:t>
      </w:r>
      <w:r w:rsidRPr="004F3448">
        <w:t xml:space="preserve"> and system complexity affect children's ability to achieve and thrive. </w:t>
      </w:r>
    </w:p>
    <w:p w:rsidR="008A589F" w:rsidRPr="004F3448" w:rsidP="00D42006">
      <w:pPr>
        <w:pStyle w:val="ListParagraph"/>
        <w:numPr>
          <w:ilvl w:val="0"/>
          <w:numId w:val="29"/>
        </w:numPr>
        <w:ind w:left="567" w:hanging="567"/>
        <w:contextualSpacing w:val="0"/>
        <w:jc w:val="both"/>
      </w:pPr>
      <w:r w:rsidRPr="004F3448">
        <w:t>By addressing the financial and practical barriers facing families, advice services help create the conditions that enable children and young people to participate fully in education, access appropriate support, and achieve better long-term outcomes.</w:t>
      </w:r>
    </w:p>
    <w:p w:rsidR="008A589F" w:rsidRPr="004F3448" w:rsidP="00C216E1">
      <w:pPr>
        <w:pStyle w:val="Heading1"/>
      </w:pPr>
      <w:r w:rsidRPr="004F3448">
        <w:t>Executive Summary</w:t>
      </w:r>
    </w:p>
    <w:p w:rsidR="008A589F" w:rsidRPr="004F3448" w:rsidP="00D42006">
      <w:pPr>
        <w:pStyle w:val="ListParagraph"/>
        <w:numPr>
          <w:ilvl w:val="0"/>
          <w:numId w:val="29"/>
        </w:numPr>
        <w:ind w:left="567" w:hanging="567"/>
        <w:contextualSpacing w:val="0"/>
        <w:jc w:val="both"/>
      </w:pPr>
      <w:r w:rsidRPr="004F3448">
        <w:t xml:space="preserve">The SEND crisis cannot be addressed through education policy alone. It is fundamentally shaped by poverty, financial insecurity, health inequalities, and barriers that prevent families from fully engaging with systems designed to support their children. Our frontline casework and </w:t>
      </w:r>
      <w:r w:rsidRPr="00AF5EB3">
        <w:rPr>
          <w:i/>
        </w:rPr>
        <w:t>Benefits in Schools Project</w:t>
      </w:r>
      <w:r w:rsidRPr="004F3448">
        <w:t xml:space="preserve"> demonstrate that financial instability and practical barriers can significantly limit meaningful family participation in SEND processes. At the same time, embedding independent welfare advice in trusted school settings improves family engagement, confidence, and outcomes.</w:t>
      </w:r>
    </w:p>
    <w:p w:rsidR="008A589F" w:rsidRPr="004F3448" w:rsidP="00D42006">
      <w:pPr>
        <w:pStyle w:val="ListParagraph"/>
        <w:numPr>
          <w:ilvl w:val="0"/>
          <w:numId w:val="29"/>
        </w:numPr>
        <w:ind w:left="567" w:hanging="567"/>
        <w:contextualSpacing w:val="0"/>
        <w:jc w:val="both"/>
      </w:pPr>
      <w:r w:rsidRPr="004F3448">
        <w:t xml:space="preserve">Our evidence suggests that SEND reform should </w:t>
      </w:r>
      <w:r w:rsidRPr="00AF5EB3">
        <w:rPr>
          <w:b/>
          <w:bCs/>
        </w:rPr>
        <w:t>embed welfare advice</w:t>
      </w:r>
      <w:r w:rsidRPr="004F3448">
        <w:t xml:space="preserve"> as a core component of SEND systems, </w:t>
      </w:r>
      <w:r w:rsidRPr="00AF5EB3">
        <w:rPr>
          <w:b/>
          <w:bCs/>
        </w:rPr>
        <w:t>adopt a needs-led approach</w:t>
      </w:r>
      <w:r w:rsidRPr="004F3448">
        <w:t xml:space="preserve"> rather than relying on diagnosis-led thresholds, </w:t>
      </w:r>
      <w:r w:rsidRPr="00AF5EB3">
        <w:rPr>
          <w:b/>
          <w:bCs/>
        </w:rPr>
        <w:t>invest in workforce capacity and early intervention</w:t>
      </w:r>
      <w:r w:rsidRPr="004F3448">
        <w:t xml:space="preserve">, and </w:t>
      </w:r>
      <w:r w:rsidRPr="00AF5EB3">
        <w:rPr>
          <w:b/>
          <w:bCs/>
        </w:rPr>
        <w:t>improve alignment</w:t>
      </w:r>
      <w:r w:rsidRPr="004F3448">
        <w:t xml:space="preserve"> between education, health, and benefits systems.</w:t>
      </w:r>
      <w:r w:rsidRPr="004F3448">
        <w:t xml:space="preserve"> </w:t>
      </w:r>
    </w:p>
    <w:p w:rsidR="008A589F" w:rsidRPr="004F3448" w:rsidP="00C216E1">
      <w:pPr>
        <w:rPr>
          <w:rFonts w:eastAsiaTheme="majorEastAsia" w:cs="Arial"/>
          <w:color w:val="1F497D" w:themeColor="text2"/>
          <w:sz w:val="28"/>
          <w:szCs w:val="28"/>
          <w:u w:val="single"/>
        </w:rPr>
      </w:pPr>
      <w:r w:rsidRPr="004F3448">
        <w:br w:type="page"/>
      </w:r>
    </w:p>
    <w:p w:rsidR="008A589F" w:rsidRPr="004F3448" w:rsidP="00C216E1">
      <w:pPr>
        <w:pStyle w:val="Heading1"/>
      </w:pPr>
      <w:r w:rsidRPr="004F3448">
        <w:t>Support for Children and Young People with SEND</w:t>
      </w:r>
    </w:p>
    <w:p w:rsidR="008A589F" w:rsidRPr="004F3448" w:rsidP="00D42006">
      <w:pPr>
        <w:pStyle w:val="ListParagraph"/>
        <w:numPr>
          <w:ilvl w:val="0"/>
          <w:numId w:val="29"/>
        </w:numPr>
        <w:ind w:left="567" w:hanging="567"/>
        <w:contextualSpacing w:val="0"/>
        <w:jc w:val="both"/>
      </w:pPr>
      <w:r w:rsidRPr="004F3448">
        <w:t xml:space="preserve">Families can only participate meaningfully in SEND processes when they feel financially secure, supported, and able to engage. Many of the families we support experience income instability, disability-related costs, transport difficulties, language barriers, and anxiety about engaging with statutory services. These factors directly affect their ability to attend meetings, contribute to reviews, and challenge decisions where necessary. </w:t>
      </w:r>
    </w:p>
    <w:p w:rsidR="008A589F" w:rsidRPr="004F3448" w:rsidP="00D42006">
      <w:pPr>
        <w:pStyle w:val="ListParagraph"/>
        <w:numPr>
          <w:ilvl w:val="0"/>
          <w:numId w:val="29"/>
        </w:numPr>
        <w:ind w:left="567" w:hanging="567"/>
        <w:contextualSpacing w:val="0"/>
        <w:jc w:val="both"/>
      </w:pPr>
      <w:r w:rsidRPr="004F3448">
        <w:t xml:space="preserve">Our </w:t>
      </w:r>
      <w:r w:rsidRPr="00AF5EB3">
        <w:rPr>
          <w:i/>
        </w:rPr>
        <w:t>Benefits in Schools Project</w:t>
      </w:r>
      <w:r w:rsidRPr="004F3448">
        <w:t xml:space="preserve"> demonstrates that families are more likely to engage with support when services are co-located within trusted school environments. Approximately 40% of clients had their first appointment at a school, highlighting the importance of bringing services closer to families. Advisers have supported 259 clients through 788 contacts, allowing trusting relationships to develop over time and enabling a more holistic approach to family support. </w:t>
      </w:r>
    </w:p>
    <w:p w:rsidR="008A589F" w:rsidRPr="004F3448" w:rsidP="00D42006">
      <w:pPr>
        <w:pStyle w:val="ListParagraph"/>
        <w:numPr>
          <w:ilvl w:val="0"/>
          <w:numId w:val="29"/>
        </w:numPr>
        <w:ind w:left="567" w:hanging="567"/>
        <w:contextualSpacing w:val="0"/>
        <w:jc w:val="both"/>
      </w:pPr>
      <w:r w:rsidRPr="004F3448">
        <w:t xml:space="preserve">By resolving urgent financial difficulties and increasing household income, welfare advice enables parents to focus more effectively on their child’s needs. Survey findings show that 88% of families felt less anxious about their finances, 88% believed the advice improved their wellbeing and quality of life, and </w:t>
      </w:r>
      <w:r w:rsidRPr="00AF5EB3">
        <w:rPr>
          <w:b/>
          <w:bCs/>
        </w:rPr>
        <w:t>82% said the support had improved their child’s wellbeing and quality of life</w:t>
      </w:r>
      <w:r w:rsidRPr="004F3448">
        <w:t>.</w:t>
      </w:r>
      <w:r w:rsidRPr="004F3448">
        <w:t xml:space="preserve"> </w:t>
      </w:r>
    </w:p>
    <w:p w:rsidR="008A589F" w:rsidRPr="004F3448" w:rsidP="00D42006">
      <w:pPr>
        <w:pStyle w:val="ListParagraph"/>
        <w:numPr>
          <w:ilvl w:val="0"/>
          <w:numId w:val="29"/>
        </w:numPr>
        <w:ind w:left="567" w:hanging="567"/>
        <w:contextualSpacing w:val="0"/>
        <w:jc w:val="both"/>
      </w:pPr>
      <w:r w:rsidRPr="004F3448">
        <w:t xml:space="preserve">For example, one parent, Jenny, approached </w:t>
      </w:r>
      <w:r>
        <w:t>MCAB</w:t>
      </w:r>
      <w:r w:rsidRPr="004F3448">
        <w:t xml:space="preserve"> for support completing Child Disability Living Allowance applications for her two children. Following support from the </w:t>
      </w:r>
      <w:r w:rsidRPr="00AF5EB3">
        <w:rPr>
          <w:i/>
        </w:rPr>
        <w:t>Benefits in Schools Project</w:t>
      </w:r>
      <w:r w:rsidRPr="004F3448">
        <w:t>, the applications were successful, resulting in an annual income increase of £14,532.64 and a backdated payment of £2,783.70. One of Jenny’s children relies on an electric mobility scooter for</w:t>
      </w:r>
      <w:r w:rsidRPr="004F3448">
        <w:t xml:space="preserve"> their mobility and</w:t>
      </w:r>
      <w:r w:rsidRPr="004F3448">
        <w:t xml:space="preserve"> independence. The additional income provided a vital financial buffer to cover disability-related costs and reduced the risk that unexpected expenses, such as repairing or replacing the scooter, would leave the child isolated or housebound. This financial stability enabled </w:t>
      </w:r>
      <w:r w:rsidRPr="004F3448">
        <w:t>Jenny</w:t>
      </w:r>
      <w:r w:rsidRPr="004F3448">
        <w:t xml:space="preserve"> to focus more effectively on meeting </w:t>
      </w:r>
      <w:r w:rsidRPr="004F3448">
        <w:t>her</w:t>
      </w:r>
      <w:r w:rsidRPr="004F3448">
        <w:t xml:space="preserve"> children’s needs and wellbeing. </w:t>
      </w:r>
    </w:p>
    <w:p w:rsidR="008A589F" w:rsidRPr="004F3448" w:rsidP="00D42006">
      <w:pPr>
        <w:pStyle w:val="ListParagraph"/>
        <w:numPr>
          <w:ilvl w:val="0"/>
          <w:numId w:val="29"/>
        </w:numPr>
        <w:ind w:left="567" w:hanging="567"/>
        <w:contextualSpacing w:val="0"/>
        <w:jc w:val="both"/>
      </w:pPr>
      <w:r w:rsidRPr="004F3448">
        <w:t xml:space="preserve">Schools also report that families who receive support are better able to engage with meetings, safeguarding processes, and reviews. A Family Liaison Officer and Deputy Designated Safeguarding Lead reported undertaking joint home visits alongside </w:t>
      </w:r>
      <w:r>
        <w:t>MCAB</w:t>
      </w:r>
      <w:r w:rsidRPr="004F3448">
        <w:t xml:space="preserve"> advisers to support parents </w:t>
      </w:r>
      <w:r w:rsidRPr="004F3448">
        <w:t>and</w:t>
      </w:r>
      <w:r w:rsidRPr="004F3448">
        <w:t xml:space="preserve"> families who might otherwise struggle to engage with services. </w:t>
      </w:r>
    </w:p>
    <w:p w:rsidR="008A589F" w:rsidRPr="004F3448" w:rsidP="00D42006">
      <w:pPr>
        <w:pStyle w:val="ListParagraph"/>
        <w:numPr>
          <w:ilvl w:val="0"/>
          <w:numId w:val="29"/>
        </w:numPr>
        <w:ind w:left="567" w:hanging="567"/>
        <w:contextualSpacing w:val="0"/>
        <w:jc w:val="both"/>
      </w:pPr>
      <w:r w:rsidRPr="004F3448">
        <w:t xml:space="preserve">Embedding independent welfare advice within schools therefore represents </w:t>
      </w:r>
      <w:r w:rsidRPr="00AF5EB3">
        <w:rPr>
          <w:b/>
          <w:bCs/>
        </w:rPr>
        <w:t>a practical and effective early intervention</w:t>
      </w:r>
      <w:r w:rsidRPr="004F3448">
        <w:t xml:space="preserve"> that strengthens family voice and improves outcomes for children and young people with SEND.</w:t>
      </w:r>
      <w:r w:rsidRPr="004F3448">
        <w:t xml:space="preserve"> </w:t>
      </w:r>
    </w:p>
    <w:p w:rsidR="008A589F" w:rsidRPr="004F3448" w:rsidP="00C216E1">
      <w:pPr>
        <w:pStyle w:val="Heading1"/>
      </w:pPr>
      <w:r w:rsidRPr="004F3448">
        <w:t>Current and Future SEND Need</w:t>
      </w:r>
    </w:p>
    <w:p w:rsidR="008A589F" w:rsidRPr="004F3448" w:rsidP="00D42006">
      <w:pPr>
        <w:pStyle w:val="ListParagraph"/>
        <w:numPr>
          <w:ilvl w:val="0"/>
          <w:numId w:val="29"/>
        </w:numPr>
        <w:ind w:left="567" w:hanging="567"/>
        <w:contextualSpacing w:val="0"/>
        <w:jc w:val="both"/>
      </w:pPr>
      <w:r w:rsidRPr="004F3448">
        <w:t xml:space="preserve">Demand for SEND support continues to increase while families face significant delays in diagnosis and assessment processes. Many families report long waiting times for diagnostic assessments and Education, </w:t>
      </w:r>
      <w:r w:rsidRPr="004F3448">
        <w:t>Health,</w:t>
      </w:r>
      <w:r w:rsidRPr="004F3448">
        <w:t xml:space="preserve"> and Care Plan (EHCP) processes, while support is frequently withheld until a formal diagnosis has been secured. At the same </w:t>
      </w:r>
      <w:r w:rsidRPr="004F3448">
        <w:t xml:space="preserve">time, schools </w:t>
      </w:r>
      <w:r w:rsidRPr="004F3448">
        <w:t xml:space="preserve">and families are seeing increasing levels of neurodivergence, complex needs, and mental health difficulties among children and young people. These delays have significant consequences. Children may miss opportunities for early intervention, needs can escalate over time, and families often experience prolonged stress and uncertainty. </w:t>
      </w:r>
    </w:p>
    <w:p w:rsidR="008A589F" w:rsidRPr="004F3448" w:rsidP="00D42006">
      <w:pPr>
        <w:pStyle w:val="ListParagraph"/>
        <w:numPr>
          <w:ilvl w:val="0"/>
          <w:numId w:val="29"/>
        </w:numPr>
        <w:ind w:left="567" w:hanging="567"/>
        <w:contextualSpacing w:val="0"/>
        <w:jc w:val="both"/>
      </w:pPr>
      <w:r w:rsidRPr="004F3448">
        <w:t xml:space="preserve">We therefore recommend that support should be based on demonstrated need and presenting difficulties rather than solely on diagnosis. Evidence from parents, carers, and schools should be sufficient to trigger appropriate interventions while waiting for formal assessments, ensuring children receive help as early as possible. </w:t>
      </w:r>
    </w:p>
    <w:p w:rsidR="008A589F" w:rsidRPr="004F3448" w:rsidP="00C216E1">
      <w:pPr>
        <w:pStyle w:val="Heading1"/>
      </w:pPr>
      <w:r w:rsidRPr="004F3448">
        <w:t>Current and Future Model of SEND Provision</w:t>
      </w:r>
    </w:p>
    <w:p w:rsidR="008A589F" w:rsidRPr="004F3448" w:rsidP="00D42006">
      <w:pPr>
        <w:pStyle w:val="ListParagraph"/>
        <w:numPr>
          <w:ilvl w:val="0"/>
          <w:numId w:val="29"/>
        </w:numPr>
        <w:ind w:left="567" w:hanging="567"/>
        <w:contextualSpacing w:val="0"/>
        <w:jc w:val="both"/>
      </w:pPr>
      <w:r w:rsidRPr="004F3448">
        <w:t>SEND provision should be organised around families’ lived realities rather than the boundaries of individual services. Our experience demonstrates that integrated and multi-agency working leads to better outcomes for families. Co-locating services, including welfare advice within schools, improves coordination and reduces fragmentation between education, health, social care, and support services.</w:t>
      </w:r>
      <w:r w:rsidRPr="004F3448">
        <w:t xml:space="preserve"> </w:t>
      </w:r>
    </w:p>
    <w:p w:rsidR="008A589F" w:rsidRPr="004F3448" w:rsidP="00D42006">
      <w:pPr>
        <w:pStyle w:val="ListParagraph"/>
        <w:numPr>
          <w:ilvl w:val="0"/>
          <w:numId w:val="29"/>
        </w:numPr>
        <w:ind w:left="567" w:hanging="567"/>
        <w:contextualSpacing w:val="0"/>
        <w:jc w:val="both"/>
      </w:pPr>
      <w:r w:rsidRPr="004F3448">
        <w:t xml:space="preserve">Schools participating in our </w:t>
      </w:r>
      <w:r w:rsidRPr="00AF5EB3">
        <w:rPr>
          <w:i/>
        </w:rPr>
        <w:t>Benefits in Schools Project</w:t>
      </w:r>
      <w:r w:rsidRPr="004F3448">
        <w:t xml:space="preserve"> </w:t>
      </w:r>
      <w:r w:rsidRPr="004F3448">
        <w:t>have also highlighted challenges in accessing appropriate mental health support for children attending specialist settings. Staff reported difficulties referring pupils to Child and Adolescent Mental Health Services (CAMHS) through the Tees Valley Getting Help pathway because referrals from specialist schools are processed through the same gateway as those from mainstream schools. As a result, referrals are frequently directed towards lower-level interventions that are not appropriate for many pupils attend</w:t>
      </w:r>
      <w:r w:rsidRPr="004F3448">
        <w:t xml:space="preserve">ing specialist provisions, whose needs are often more complex and already exceed the scope of universal or early-help support available within mainstream settings. </w:t>
      </w:r>
      <w:r w:rsidRPr="004F3448">
        <w:t xml:space="preserve">This can delay access to appropriate mental health services, allowing needs to escalate and negatively affecting attendance, educational engagement, emotional wellbeing, </w:t>
      </w:r>
      <w:r w:rsidRPr="004F3448">
        <w:t>behaviour,</w:t>
      </w:r>
      <w:r w:rsidRPr="004F3448">
        <w:t xml:space="preserve"> and overall outcomes. Specialist schools reported that they are often left managing significant mental health needs without access to the specialist support required, increasing pressure on both school staff and families. Consideration should therefore be given to referral pathways that recognise the distinct needs of pupils in specialist settings and enable referrals to be assessed within an appropriate context.</w:t>
      </w:r>
    </w:p>
    <w:p w:rsidR="008A589F" w:rsidRPr="004F3448" w:rsidP="00D42006">
      <w:pPr>
        <w:pStyle w:val="ListParagraph"/>
        <w:numPr>
          <w:ilvl w:val="0"/>
          <w:numId w:val="29"/>
        </w:numPr>
        <w:ind w:left="567" w:hanging="567"/>
        <w:contextualSpacing w:val="0"/>
        <w:jc w:val="both"/>
      </w:pPr>
      <w:r w:rsidRPr="004F3448">
        <w:t>Additionally, i</w:t>
      </w:r>
      <w:r w:rsidRPr="004F3448">
        <w:t xml:space="preserve">ndependent advice services should be recognised as formal partners within schools, family hubs, and local SEND systems. Their role includes helping families understand complex processes, maximising household income, challenging incorrect decisions, and enabling effective engagement with professionals. Since </w:t>
      </w:r>
      <w:r w:rsidRPr="004F3448">
        <w:t xml:space="preserve">our </w:t>
      </w:r>
      <w:r w:rsidRPr="00AF5EB3">
        <w:rPr>
          <w:i/>
        </w:rPr>
        <w:t>Benefits in Schools Project</w:t>
      </w:r>
      <w:r w:rsidRPr="004F3448">
        <w:t xml:space="preserve"> </w:t>
      </w:r>
      <w:r w:rsidRPr="004F3448">
        <w:t xml:space="preserve">began, advisers have supported families with disability-related benefits, appeals, and wider issues including immigration, housing, debt, and energy concerns through internal referrals. </w:t>
      </w:r>
    </w:p>
    <w:p w:rsidR="008A589F" w:rsidRPr="004F3448" w:rsidP="00D42006">
      <w:pPr>
        <w:pStyle w:val="ListParagraph"/>
        <w:numPr>
          <w:ilvl w:val="0"/>
          <w:numId w:val="29"/>
        </w:numPr>
        <w:ind w:left="567" w:hanging="567"/>
        <w:contextualSpacing w:val="0"/>
        <w:jc w:val="both"/>
      </w:pPr>
      <w:r w:rsidRPr="004F3448">
        <w:t xml:space="preserve">The experience of schools participating in the </w:t>
      </w:r>
      <w:r w:rsidRPr="00AF5EB3">
        <w:rPr>
          <w:i/>
        </w:rPr>
        <w:t>Benefits in Schools Project</w:t>
      </w:r>
      <w:r w:rsidRPr="004F3448">
        <w:t xml:space="preserve"> demonstrates the value of integrated, multi-agency working. Staff at </w:t>
      </w:r>
      <w:r w:rsidRPr="004F3448">
        <w:t>one of the schools</w:t>
      </w:r>
      <w:r w:rsidRPr="004F3448">
        <w:t xml:space="preserve"> reported that </w:t>
      </w:r>
      <w:r w:rsidRPr="004F3448">
        <w:t xml:space="preserve">many parents would not ordinarily seek support independently because of caring responsibilities, disability, learning difficulties, or a lack of confidence navigating complex systems. </w:t>
      </w:r>
      <w:r w:rsidRPr="004F3448">
        <w:t xml:space="preserve">Embedding </w:t>
      </w:r>
      <w:r>
        <w:t>MCAB</w:t>
      </w:r>
      <w:r w:rsidRPr="004F3448">
        <w:t xml:space="preserve"> within a trusted school setting enabled staff to identify families who needed support and connect them directly with specialist advisers. Staff reported that families subsequently felt more confident accessing wider support services, including immigration, food crisis, fuel poverty, and welfare advice. </w:t>
      </w:r>
    </w:p>
    <w:p w:rsidR="008A589F" w:rsidRPr="004F3448" w:rsidP="00D42006">
      <w:pPr>
        <w:pStyle w:val="ListParagraph"/>
        <w:numPr>
          <w:ilvl w:val="0"/>
          <w:numId w:val="29"/>
        </w:numPr>
        <w:ind w:left="567" w:hanging="567"/>
        <w:contextualSpacing w:val="0"/>
        <w:jc w:val="both"/>
      </w:pPr>
      <w:r w:rsidRPr="004F3448">
        <w:t>The project has also supported families from ethnically diverse communities and those newly arrived in the UK. School staff reported that families who might otherwise face barriers to accessing support were able to obtain assistance with benefit claims and immigration matters through services accessed via the school setting. This demonstrates how co-located support can help address language, cultural, and confidence barriers that would otherwise limit participation in SEND and wider support systems.</w:t>
      </w:r>
    </w:p>
    <w:p w:rsidR="008A589F" w:rsidRPr="004F3448" w:rsidP="00D42006">
      <w:pPr>
        <w:pStyle w:val="ListParagraph"/>
        <w:numPr>
          <w:ilvl w:val="0"/>
          <w:numId w:val="29"/>
        </w:numPr>
        <w:ind w:left="567" w:hanging="567"/>
        <w:contextualSpacing w:val="0"/>
        <w:jc w:val="both"/>
      </w:pPr>
      <w:r w:rsidRPr="004F3448">
        <w:t>Families frequently face additional costs associated with disability and caring responsibilities. School staff highlighted that some families incur significant transport costs because specialist school placements are often located some distance from home and local authority transport is not always available. They reported that successful disability benefit claims, particularly those involving mobility components, helped reduce financial hardship and improved families’ ability to access education and support</w:t>
      </w:r>
      <w:r w:rsidRPr="004F3448">
        <w:t xml:space="preserve"> services consistently.</w:t>
      </w:r>
      <w:r w:rsidRPr="004F3448">
        <w:t xml:space="preserve"> </w:t>
      </w:r>
    </w:p>
    <w:p w:rsidR="008A589F" w:rsidRPr="004F3448" w:rsidP="00D42006">
      <w:pPr>
        <w:pStyle w:val="ListParagraph"/>
        <w:numPr>
          <w:ilvl w:val="0"/>
          <w:numId w:val="29"/>
        </w:numPr>
        <w:ind w:left="567" w:hanging="567"/>
        <w:contextualSpacing w:val="0"/>
        <w:jc w:val="both"/>
      </w:pPr>
      <w:r w:rsidRPr="004F3448">
        <w:t xml:space="preserve">Greater </w:t>
      </w:r>
      <w:r w:rsidRPr="00AF5EB3">
        <w:rPr>
          <w:b/>
          <w:bCs/>
        </w:rPr>
        <w:t>investment in early intervention, preventative services, and community-based provision</w:t>
      </w:r>
      <w:r w:rsidRPr="004F3448">
        <w:t xml:space="preserve"> would reduce long-term pressures on statutory systems while improving outcomes for children and families.</w:t>
      </w:r>
      <w:r w:rsidRPr="004F3448">
        <w:t xml:space="preserve"> </w:t>
      </w:r>
      <w:r w:rsidRPr="004F3448">
        <w:t xml:space="preserve">School staff reported that additional income secured through disability benefits enabled some parents to reduce working hours </w:t>
      </w:r>
      <w:r w:rsidRPr="004F3448">
        <w:t>to</w:t>
      </w:r>
      <w:r w:rsidRPr="004F3448">
        <w:t xml:space="preserve"> meet the substantial care needs of their children. This reduced pressure on families and, in some cases, may have prevented situations escalating to the point where more intensive statutory interventions were required. </w:t>
      </w:r>
      <w:r>
        <w:fldChar w:fldCharType="begin"/>
      </w:r>
      <w:r>
        <w:instrText xml:space="preserve"> HYPERLINK "https://middcitizensadvice.sharepoint.com/sites/MCAB/_layouts/15/Doc.aspx?sourcedoc=%7B2F7DA50F-1513-491C-AB4F-F93F8B816874%7D&amp;file=MCAB%20%28July%202026%29%20Call%20for%20Evidence%20on%20Every%20Child%20Achieving%20and%20Thriving%20White%20Paper.docx&amp;action=default&amp;mobileredirect=true" </w:instrText>
      </w:r>
      <w:r>
        <w:fldChar w:fldCharType="separate"/>
      </w:r>
      <w:r>
        <w:fldChar w:fldCharType="end"/>
      </w:r>
    </w:p>
    <w:p w:rsidR="008A589F" w:rsidRPr="004F3448" w:rsidP="00C216E1">
      <w:pPr>
        <w:pStyle w:val="Heading1"/>
      </w:pPr>
      <w:r w:rsidRPr="004F3448">
        <w:t>Accountability and Inspection of SEND Provision</w:t>
      </w:r>
    </w:p>
    <w:p w:rsidR="008A589F" w:rsidRPr="004F3448" w:rsidP="00D42006">
      <w:pPr>
        <w:pStyle w:val="ListParagraph"/>
        <w:numPr>
          <w:ilvl w:val="0"/>
          <w:numId w:val="29"/>
        </w:numPr>
        <w:ind w:left="567" w:hanging="567"/>
        <w:contextualSpacing w:val="0"/>
        <w:jc w:val="both"/>
      </w:pPr>
      <w:r w:rsidRPr="004F3448">
        <w:t xml:space="preserve">Current accountability arrangements do not always reflect the reality of family experiences. SEND documentation can fail to capture the full impact of a child’s needs, while systems often place disproportionate emphasis on medical evidence and insufficient weight on the views of parents, carers, and schools. Misalignment between education and benefits systems can create duplication, requiring families to repeatedly provide similar evidence to different agencies. </w:t>
      </w:r>
    </w:p>
    <w:p w:rsidR="008A589F" w:rsidRPr="004F3448" w:rsidP="00D42006">
      <w:pPr>
        <w:pStyle w:val="ListParagraph"/>
        <w:numPr>
          <w:ilvl w:val="0"/>
          <w:numId w:val="29"/>
        </w:numPr>
        <w:ind w:left="567" w:hanging="567"/>
        <w:contextualSpacing w:val="0"/>
        <w:jc w:val="both"/>
      </w:pPr>
      <w:r w:rsidRPr="004F3448">
        <w:t xml:space="preserve">The challenges families face when navigating disability benefits illustrate the importance of </w:t>
      </w:r>
      <w:r w:rsidRPr="00AF5EB3">
        <w:rPr>
          <w:b/>
          <w:bCs/>
        </w:rPr>
        <w:t>recognising lived experience as evidence</w:t>
      </w:r>
      <w:r w:rsidRPr="004F3448">
        <w:t xml:space="preserve">. Families supported through our project often require substantial assistance to complete applications and challenge decisions, particularly in relation to Child Disability Living Allowance and disability-related benefits. School staff reported that many parents caring for disabled children find disability benefit applications overwhelming and are often unable to navigate complex claims processes without support. Others knew there were problems with existing claims, such as </w:t>
      </w:r>
      <w:r w:rsidRPr="004F3448">
        <w:t xml:space="preserve">overpayments or underpayments, but lacked the confidence, knowledge, or capacity to resolve them. The embedded advice model enabled trusted school professionals to identify these challenges </w:t>
      </w:r>
      <w:r w:rsidRPr="004F3448">
        <w:t xml:space="preserve">early and connect families with specialist support, ensuring that the impact of children’s needs was more accurately captured and evidenced. </w:t>
      </w:r>
    </w:p>
    <w:p w:rsidR="008A589F" w:rsidRPr="004F3448" w:rsidP="00D42006">
      <w:pPr>
        <w:pStyle w:val="ListParagraph"/>
        <w:numPr>
          <w:ilvl w:val="0"/>
          <w:numId w:val="29"/>
        </w:numPr>
        <w:ind w:left="567" w:hanging="567"/>
        <w:contextualSpacing w:val="0"/>
        <w:jc w:val="both"/>
      </w:pPr>
      <w:r w:rsidRPr="004F3448">
        <w:t xml:space="preserve">SEND documentation, including EHCPs and Individual Support Plans, should accurately reflect a child’s needs, barriers, and day-to-day experiences and should be capable of supporting evidence requirements across multiple systems. </w:t>
      </w:r>
      <w:r w:rsidRPr="004F3448">
        <w:t>A</w:t>
      </w:r>
      <w:r w:rsidRPr="004F3448">
        <w:t xml:space="preserve">ccountability frameworks should place greater emphasis on family voice, participation, accessibility, and outcomes. </w:t>
      </w:r>
      <w:r w:rsidRPr="004F3448">
        <w:t>Additionally, i</w:t>
      </w:r>
      <w:r w:rsidRPr="004F3448">
        <w:t xml:space="preserve">nspection regimes should assess the effectiveness of cross-agency working, early intervention, and support for disadvantaged families, rather than focusing solely on compliance measures. </w:t>
      </w:r>
    </w:p>
    <w:p w:rsidR="008A589F" w:rsidRPr="004F3448" w:rsidP="00C216E1">
      <w:pPr>
        <w:pStyle w:val="Heading1"/>
      </w:pPr>
      <w:r w:rsidRPr="004F3448">
        <w:t>Finance, Funding and Capacity of SEND Provision</w:t>
      </w:r>
    </w:p>
    <w:p w:rsidR="008A589F" w:rsidRPr="004F3448" w:rsidP="00D42006">
      <w:pPr>
        <w:pStyle w:val="ListParagraph"/>
        <w:numPr>
          <w:ilvl w:val="0"/>
          <w:numId w:val="29"/>
        </w:numPr>
        <w:ind w:left="567" w:hanging="567"/>
        <w:contextualSpacing w:val="0"/>
        <w:jc w:val="both"/>
      </w:pPr>
      <w:r w:rsidRPr="004F3448">
        <w:t xml:space="preserve">The SEND system is under increasing pressure because of workforce shortages, rising demand, and insufficient investment in preventative support. Shortages of therapists, specialist practitioners, nurses, and mental health professionals limit the capacity of services to respond effectively, while schools face growing administrative burdens. </w:t>
      </w:r>
    </w:p>
    <w:p w:rsidR="008A589F" w:rsidRPr="004F3448" w:rsidP="00D42006">
      <w:pPr>
        <w:pStyle w:val="ListParagraph"/>
        <w:numPr>
          <w:ilvl w:val="0"/>
          <w:numId w:val="29"/>
        </w:numPr>
        <w:ind w:left="567" w:hanging="567"/>
        <w:contextualSpacing w:val="0"/>
        <w:jc w:val="both"/>
      </w:pPr>
      <w:r w:rsidRPr="004F3448">
        <w:t xml:space="preserve">Our evidence suggests that investment in preventative support can deliver significant benefits. </w:t>
      </w:r>
      <w:r>
        <w:t>The</w:t>
      </w:r>
      <w:r w:rsidRPr="004F3448">
        <w:t xml:space="preserve"> </w:t>
      </w:r>
      <w:r w:rsidRPr="00AF5EB3">
        <w:rPr>
          <w:b/>
          <w:bCs/>
        </w:rPr>
        <w:t>financial gains help families manage disability-related costs, reduce stress, improve wellbeing, and create greater stability for children</w:t>
      </w:r>
      <w:r w:rsidRPr="004F3448">
        <w:t>.</w:t>
      </w:r>
    </w:p>
    <w:p w:rsidR="008A589F" w:rsidRPr="004F3448" w:rsidP="00D42006">
      <w:pPr>
        <w:pStyle w:val="ListParagraph"/>
        <w:numPr>
          <w:ilvl w:val="0"/>
          <w:numId w:val="29"/>
        </w:numPr>
        <w:ind w:left="567" w:hanging="567"/>
        <w:contextualSpacing w:val="0"/>
        <w:jc w:val="both"/>
      </w:pPr>
      <w:r w:rsidRPr="004F3448">
        <w:t xml:space="preserve">The financial stability provided through welfare advice can reduce pressure on both families and public services. School staff reported that additional income secured through disability benefits enabled some parents to reduce working hours </w:t>
      </w:r>
      <w:r w:rsidRPr="004F3448">
        <w:t>to</w:t>
      </w:r>
      <w:r w:rsidRPr="004F3448">
        <w:t xml:space="preserve"> meet the substantial care needs of their children. This reduced pressure on families and, in some cases, may have prevented situations escalating to the point where more intensive statutory interventions were required. </w:t>
      </w:r>
    </w:p>
    <w:p w:rsidR="008A589F" w:rsidRPr="004F3448" w:rsidP="00D42006">
      <w:pPr>
        <w:pStyle w:val="ListParagraph"/>
        <w:numPr>
          <w:ilvl w:val="0"/>
          <w:numId w:val="29"/>
        </w:numPr>
        <w:ind w:left="567" w:hanging="567"/>
        <w:contextualSpacing w:val="0"/>
        <w:jc w:val="both"/>
      </w:pPr>
      <w:r w:rsidRPr="004F3448">
        <w:t xml:space="preserve">Staff also noted that financial hardship is frequently linked to safeguarding concerns and that support provided through </w:t>
      </w:r>
      <w:r>
        <w:t>MCAB</w:t>
      </w:r>
      <w:r w:rsidRPr="004F3448">
        <w:t xml:space="preserve"> had contributed to improvements in home circumstances. A Family Liaison Officer and Deputy Designated Safeguarding Lead at </w:t>
      </w:r>
      <w:r w:rsidRPr="004F3448">
        <w:t xml:space="preserve">one of the schools our </w:t>
      </w:r>
      <w:r w:rsidRPr="00AF5EB3">
        <w:rPr>
          <w:i/>
        </w:rPr>
        <w:t xml:space="preserve">Benefits in Schools Project </w:t>
      </w:r>
      <w:r w:rsidRPr="00AF5EB3">
        <w:rPr>
          <w:iCs/>
        </w:rPr>
        <w:t>team are based in</w:t>
      </w:r>
      <w:r w:rsidRPr="004F3448">
        <w:t xml:space="preserve"> stated that financial difficulties are often recognised safeguarding indicators and described instances where securing financial support through </w:t>
      </w:r>
      <w:r>
        <w:t>MCAB</w:t>
      </w:r>
      <w:r w:rsidRPr="004F3448">
        <w:t xml:space="preserve"> improved family circumstances and reduced concerns about neglect. </w:t>
      </w:r>
    </w:p>
    <w:p w:rsidR="008A589F" w:rsidRPr="004F3448" w:rsidP="00D42006">
      <w:pPr>
        <w:pStyle w:val="ListParagraph"/>
        <w:numPr>
          <w:ilvl w:val="0"/>
          <w:numId w:val="29"/>
        </w:numPr>
        <w:ind w:left="567" w:hanging="567"/>
        <w:contextualSpacing w:val="0"/>
        <w:jc w:val="both"/>
      </w:pPr>
      <w:r w:rsidRPr="004F3448">
        <w:t xml:space="preserve">The </w:t>
      </w:r>
      <w:r w:rsidRPr="004F3448">
        <w:t>school staff member</w:t>
      </w:r>
      <w:r w:rsidRPr="004F3448">
        <w:t xml:space="preserve"> further reported discussing the impact of </w:t>
      </w:r>
      <w:r>
        <w:t>MCAB</w:t>
      </w:r>
      <w:r w:rsidRPr="004F3448">
        <w:t xml:space="preserve"> </w:t>
      </w:r>
      <w:r w:rsidRPr="004F3448">
        <w:t>interventions during Child in Need and Child Protection Conferences, demonstrating how financial stability can have positive effects across multiple public services.</w:t>
      </w:r>
    </w:p>
    <w:p w:rsidR="008A589F" w:rsidRPr="004F3448" w:rsidP="00D42006">
      <w:pPr>
        <w:pStyle w:val="ListParagraph"/>
        <w:numPr>
          <w:ilvl w:val="0"/>
          <w:numId w:val="29"/>
        </w:numPr>
        <w:ind w:left="567" w:hanging="567"/>
        <w:contextualSpacing w:val="0"/>
        <w:jc w:val="both"/>
      </w:pPr>
      <w:r w:rsidRPr="004F3448">
        <w:t xml:space="preserve">We therefore recommend </w:t>
      </w:r>
      <w:r w:rsidRPr="00AF5EB3">
        <w:rPr>
          <w:b/>
          <w:bCs/>
        </w:rPr>
        <w:t>increased investment in specialist workforce capacity, SEND training for school staff, and early intervention services</w:t>
      </w:r>
      <w:r w:rsidRPr="004F3448">
        <w:t xml:space="preserve">. Independent welfare advice should also be recognised as a cost-effective preventative intervention that improves benefit uptake, prevents crisis escalation, strengthens family engagement, and saves time for schools and local authorities. </w:t>
      </w:r>
    </w:p>
    <w:p w:rsidR="008A589F" w:rsidRPr="004F3448" w:rsidP="00331BE0">
      <w:pPr>
        <w:pStyle w:val="Heading1"/>
      </w:pPr>
      <w:r w:rsidRPr="004F3448">
        <w:t>Conclusion</w:t>
      </w:r>
    </w:p>
    <w:p w:rsidR="008A589F" w:rsidRPr="004F3448" w:rsidP="00D42006">
      <w:pPr>
        <w:pStyle w:val="ListParagraph"/>
        <w:numPr>
          <w:ilvl w:val="0"/>
          <w:numId w:val="29"/>
        </w:numPr>
        <w:ind w:left="567" w:hanging="567"/>
        <w:contextualSpacing w:val="0"/>
        <w:jc w:val="both"/>
      </w:pPr>
      <w:r w:rsidRPr="004F3448">
        <w:t xml:space="preserve">The SEND crisis reflects wider social challenges, including poverty, health inequalities, transport barriers, financial insecurity, and fragmentation between services. A sustainable SEND system must enable families to participate meaningfully, provide early and needs-led support, and deliver coordinated multi-agency provision. </w:t>
      </w:r>
    </w:p>
    <w:p w:rsidR="008A589F" w:rsidRPr="004F3448" w:rsidP="00D42006">
      <w:pPr>
        <w:pStyle w:val="ListParagraph"/>
        <w:numPr>
          <w:ilvl w:val="0"/>
          <w:numId w:val="29"/>
        </w:numPr>
        <w:ind w:left="567" w:hanging="567"/>
        <w:contextualSpacing w:val="0"/>
        <w:jc w:val="both"/>
      </w:pPr>
      <w:r w:rsidRPr="004F3448">
        <w:t xml:space="preserve">The experience of families supported through our </w:t>
      </w:r>
      <w:r w:rsidRPr="00AF5EB3">
        <w:rPr>
          <w:i/>
        </w:rPr>
        <w:t>Benefits in Schools Project</w:t>
      </w:r>
      <w:r w:rsidRPr="004F3448">
        <w:t xml:space="preserve"> demonstrates the impact of this approach in practice. Families have secured substantial additional income, reduced financial anxiety, improved engagement with services, and become better able to meet the needs of children with complex disabilities and SEND. Schools have reported improvements in safeguarding outcomes, family engagement, and access to support. </w:t>
      </w:r>
    </w:p>
    <w:p w:rsidR="008A589F" w:rsidP="00D42006">
      <w:pPr>
        <w:pStyle w:val="ListParagraph"/>
        <w:numPr>
          <w:ilvl w:val="0"/>
          <w:numId w:val="29"/>
        </w:numPr>
        <w:ind w:left="567" w:hanging="567"/>
        <w:contextualSpacing w:val="0"/>
        <w:jc w:val="both"/>
      </w:pPr>
      <w:r w:rsidRPr="004F3448">
        <w:t xml:space="preserve">Our </w:t>
      </w:r>
      <w:r w:rsidRPr="00AF5EB3">
        <w:rPr>
          <w:i/>
        </w:rPr>
        <w:t>Benefits in Schools Project</w:t>
      </w:r>
      <w:r w:rsidRPr="004F3448">
        <w:t xml:space="preserve"> provides compelling evidence that </w:t>
      </w:r>
      <w:r w:rsidRPr="00AF5EB3">
        <w:rPr>
          <w:b/>
          <w:bCs/>
        </w:rPr>
        <w:t>embedding independent welfare advice within trusted community settings can play a significant role</w:t>
      </w:r>
      <w:r w:rsidRPr="004F3448">
        <w:t xml:space="preserve"> in achieving these aims. Families and schools consistently report that accessible advice improves confidence, stability, and participation, creating better outcomes for children and young people, including those with SEND.</w:t>
      </w:r>
    </w:p>
    <w:p w:rsidR="007560B3" w:rsidP="007560B3">
      <w:pPr>
        <w:jc w:val="both"/>
        <w:rPr>
          <w:i/>
          <w:iCs/>
        </w:rPr>
      </w:pPr>
    </w:p>
    <w:p w:rsidR="007560B3" w:rsidRPr="007560B3" w:rsidP="007560B3">
      <w:pPr>
        <w:jc w:val="both"/>
        <w:rPr>
          <w:i/>
          <w:iCs/>
        </w:rPr>
      </w:pPr>
      <w:r w:rsidRPr="007560B3">
        <w:rPr>
          <w:i/>
          <w:iCs/>
        </w:rPr>
        <w:t>August 2026</w:t>
      </w:r>
    </w:p>
    <w:sectPr w:rsidSect="004C2CD2">
      <w:pgSz w:w="12240" w:h="15840"/>
      <w:pgMar w:top="1440" w:right="1440" w:bottom="1440" w:left="1440"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0585636"/>
    <w:multiLevelType w:val="hybridMultilevel"/>
    <w:tmpl w:val="515CAE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5110B94"/>
    <w:multiLevelType w:val="hybridMultilevel"/>
    <w:tmpl w:val="D47C57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DB637BB"/>
    <w:multiLevelType w:val="hybridMultilevel"/>
    <w:tmpl w:val="87206C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6C766EF"/>
    <w:multiLevelType w:val="hybridMultilevel"/>
    <w:tmpl w:val="70F296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BEC44FB"/>
    <w:multiLevelType w:val="hybridMultilevel"/>
    <w:tmpl w:val="173A50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7367E5"/>
    <w:multiLevelType w:val="hybridMultilevel"/>
    <w:tmpl w:val="F6722C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F9E7DF4"/>
    <w:multiLevelType w:val="hybridMultilevel"/>
    <w:tmpl w:val="90BE34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0D0603E"/>
    <w:multiLevelType w:val="hybridMultilevel"/>
    <w:tmpl w:val="F612C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4E1BDA"/>
    <w:multiLevelType w:val="hybridMultilevel"/>
    <w:tmpl w:val="3E6654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CFE160F"/>
    <w:multiLevelType w:val="hybridMultilevel"/>
    <w:tmpl w:val="F7A4F9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F3C1C50"/>
    <w:multiLevelType w:val="hybridMultilevel"/>
    <w:tmpl w:val="D312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7BE7EE5"/>
    <w:multiLevelType w:val="hybridMultilevel"/>
    <w:tmpl w:val="F7089F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7E739FE"/>
    <w:multiLevelType w:val="hybridMultilevel"/>
    <w:tmpl w:val="F0847C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9D07948"/>
    <w:multiLevelType w:val="hybridMultilevel"/>
    <w:tmpl w:val="3C5C27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AD92F90"/>
    <w:multiLevelType w:val="hybridMultilevel"/>
    <w:tmpl w:val="DEEEF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E0B3A28"/>
    <w:multiLevelType w:val="hybridMultilevel"/>
    <w:tmpl w:val="867EF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34D663D"/>
    <w:multiLevelType w:val="hybridMultilevel"/>
    <w:tmpl w:val="04FEE5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4EE3B38"/>
    <w:multiLevelType w:val="hybridMultilevel"/>
    <w:tmpl w:val="35B843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11E64B2"/>
    <w:multiLevelType w:val="hybridMultilevel"/>
    <w:tmpl w:val="96C0D2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4B803C1"/>
    <w:multiLevelType w:val="hybridMultilevel"/>
    <w:tmpl w:val="492A3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92D7FC5"/>
    <w:multiLevelType w:val="hybridMultilevel"/>
    <w:tmpl w:val="E25456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CDC45E6"/>
    <w:multiLevelType w:val="hybridMultilevel"/>
    <w:tmpl w:val="7DFA86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DFE58F8"/>
    <w:multiLevelType w:val="hybridMultilevel"/>
    <w:tmpl w:val="CC6602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6"/>
  </w:num>
  <w:num w:numId="8">
    <w:abstractNumId w:val="10"/>
  </w:num>
  <w:num w:numId="9">
    <w:abstractNumId w:val="28"/>
  </w:num>
  <w:num w:numId="10">
    <w:abstractNumId w:val="23"/>
  </w:num>
  <w:num w:numId="11">
    <w:abstractNumId w:val="7"/>
  </w:num>
  <w:num w:numId="12">
    <w:abstractNumId w:val="12"/>
  </w:num>
  <w:num w:numId="13">
    <w:abstractNumId w:val="14"/>
  </w:num>
  <w:num w:numId="14">
    <w:abstractNumId w:val="11"/>
  </w:num>
  <w:num w:numId="15">
    <w:abstractNumId w:val="17"/>
  </w:num>
  <w:num w:numId="16">
    <w:abstractNumId w:val="21"/>
  </w:num>
  <w:num w:numId="17">
    <w:abstractNumId w:val="25"/>
  </w:num>
  <w:num w:numId="18">
    <w:abstractNumId w:val="13"/>
  </w:num>
  <w:num w:numId="19">
    <w:abstractNumId w:val="18"/>
  </w:num>
  <w:num w:numId="20">
    <w:abstractNumId w:val="26"/>
  </w:num>
  <w:num w:numId="21">
    <w:abstractNumId w:val="8"/>
  </w:num>
  <w:num w:numId="22">
    <w:abstractNumId w:val="27"/>
  </w:num>
  <w:num w:numId="23">
    <w:abstractNumId w:val="6"/>
  </w:num>
  <w:num w:numId="24">
    <w:abstractNumId w:val="9"/>
  </w:num>
  <w:num w:numId="25">
    <w:abstractNumId w:val="20"/>
  </w:num>
  <w:num w:numId="26">
    <w:abstractNumId w:val="24"/>
  </w:num>
  <w:num w:numId="27">
    <w:abstractNumId w:val="22"/>
  </w:num>
  <w:num w:numId="28">
    <w:abstractNumId w:val="1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63A1"/>
    <w:rPr>
      <w:rFonts w:ascii="Arial" w:hAnsi="Arial"/>
      <w:lang w:val="en-GB"/>
    </w:rPr>
  </w:style>
  <w:style w:type="paragraph" w:styleId="Heading1">
    <w:name w:val="heading 1"/>
    <w:basedOn w:val="Normal"/>
    <w:next w:val="Normal"/>
    <w:link w:val="Heading1Char"/>
    <w:uiPriority w:val="9"/>
    <w:qFormat/>
    <w:rsid w:val="00883C70"/>
    <w:pPr>
      <w:spacing w:before="240" w:after="0"/>
      <w:jc w:val="both"/>
      <w:outlineLvl w:val="0"/>
    </w:pPr>
    <w:rPr>
      <w:rFonts w:eastAsiaTheme="majorEastAsia" w:cs="Arial"/>
      <w:color w:val="1F497D" w:themeColor="text2"/>
      <w:sz w:val="28"/>
      <w:szCs w:val="28"/>
      <w:u w:val="single"/>
    </w:rPr>
  </w:style>
  <w:style w:type="paragraph" w:styleId="Heading2">
    <w:name w:val="heading 2"/>
    <w:basedOn w:val="Normal"/>
    <w:next w:val="Normal"/>
    <w:link w:val="Heading2Char"/>
    <w:uiPriority w:val="9"/>
    <w:unhideWhenUsed/>
    <w:qFormat/>
    <w:rsid w:val="00FB2160"/>
    <w:pPr>
      <w:keepNext/>
      <w:keepLines/>
      <w:spacing w:before="200" w:after="0"/>
      <w:outlineLvl w:val="1"/>
    </w:pPr>
    <w:rPr>
      <w:rFonts w:eastAsiaTheme="majorEastAsia" w:cs="Arial"/>
      <w:b/>
      <w:bCs/>
      <w:color w:val="1F497D" w:themeColor="text2"/>
      <w:szCs w:val="24"/>
    </w:rPr>
  </w:style>
  <w:style w:type="paragraph" w:styleId="Heading3">
    <w:name w:val="heading 3"/>
    <w:basedOn w:val="Normal"/>
    <w:next w:val="Normal"/>
    <w:link w:val="Heading3Char"/>
    <w:uiPriority w:val="9"/>
    <w:unhideWhenUsed/>
    <w:qFormat/>
    <w:rsid w:val="00B14A27"/>
    <w:pPr>
      <w:keepNext/>
      <w:keepLines/>
      <w:spacing w:before="200" w:after="0"/>
      <w:outlineLvl w:val="2"/>
    </w:pPr>
    <w:rPr>
      <w:rFonts w:eastAsiaTheme="majorEastAsia" w:cs="Arial"/>
      <w:b/>
      <w:bCs/>
      <w:szCs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883C70"/>
    <w:rPr>
      <w:rFonts w:ascii="Arial" w:hAnsi="Arial" w:eastAsiaTheme="majorEastAsia" w:cs="Arial"/>
      <w:color w:val="1F497D" w:themeColor="text2"/>
      <w:sz w:val="28"/>
      <w:szCs w:val="28"/>
      <w:u w:val="single"/>
      <w:lang w:val="en-GB"/>
    </w:rPr>
  </w:style>
  <w:style w:type="character" w:customStyle="1" w:styleId="Heading2Char">
    <w:name w:val="Heading 2 Char"/>
    <w:basedOn w:val="DefaultParagraphFont"/>
    <w:link w:val="Heading2"/>
    <w:uiPriority w:val="9"/>
    <w:rsid w:val="00FB2160"/>
    <w:rPr>
      <w:rFonts w:ascii="Arial" w:hAnsi="Arial" w:eastAsiaTheme="majorEastAsia" w:cs="Arial"/>
      <w:b/>
      <w:bCs/>
      <w:color w:val="1F497D" w:themeColor="text2"/>
      <w:sz w:val="24"/>
      <w:szCs w:val="24"/>
      <w:lang w:val="en-GB"/>
    </w:rPr>
  </w:style>
  <w:style w:type="character" w:customStyle="1" w:styleId="Heading3Char">
    <w:name w:val="Heading 3 Char"/>
    <w:basedOn w:val="DefaultParagraphFont"/>
    <w:link w:val="Heading3"/>
    <w:uiPriority w:val="9"/>
    <w:rsid w:val="00B14A27"/>
    <w:rPr>
      <w:rFonts w:ascii="Arial" w:hAnsi="Arial" w:eastAsiaTheme="majorEastAsia" w:cs="Arial"/>
      <w:b/>
      <w:bCs/>
      <w:sz w:val="24"/>
      <w:szCs w:val="24"/>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735A7"/>
    <w:rPr>
      <w:color w:val="0000FF" w:themeColor="hyperlink"/>
      <w:u w:val="single"/>
    </w:rPr>
  </w:style>
  <w:style w:type="character" w:customStyle="1" w:styleId="UnresolvedMention1">
    <w:name w:val="Unresolved Mention1"/>
    <w:basedOn w:val="DefaultParagraphFont"/>
    <w:uiPriority w:val="99"/>
    <w:semiHidden/>
    <w:unhideWhenUsed/>
    <w:rsid w:val="00B735A7"/>
    <w:rPr>
      <w:color w:val="605E5C"/>
      <w:shd w:val="clear" w:color="auto" w:fill="E1DFDD"/>
    </w:rPr>
  </w:style>
  <w:style w:type="character" w:styleId="CommentReference">
    <w:name w:val="annotation reference"/>
    <w:basedOn w:val="DefaultParagraphFont"/>
    <w:uiPriority w:val="99"/>
    <w:semiHidden/>
    <w:unhideWhenUsed/>
    <w:rsid w:val="00861848"/>
    <w:rPr>
      <w:sz w:val="16"/>
      <w:szCs w:val="16"/>
    </w:rPr>
  </w:style>
  <w:style w:type="paragraph" w:styleId="CommentText">
    <w:name w:val="annotation text"/>
    <w:basedOn w:val="Normal"/>
    <w:link w:val="CommentTextChar"/>
    <w:uiPriority w:val="99"/>
    <w:unhideWhenUsed/>
    <w:rsid w:val="00861848"/>
    <w:pPr>
      <w:spacing w:line="240" w:lineRule="auto"/>
    </w:pPr>
    <w:rPr>
      <w:sz w:val="20"/>
      <w:szCs w:val="20"/>
    </w:rPr>
  </w:style>
  <w:style w:type="character" w:customStyle="1" w:styleId="CommentTextChar">
    <w:name w:val="Comment Text Char"/>
    <w:basedOn w:val="DefaultParagraphFont"/>
    <w:link w:val="CommentText"/>
    <w:uiPriority w:val="99"/>
    <w:rsid w:val="00861848"/>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861848"/>
    <w:rPr>
      <w:b/>
      <w:bCs/>
    </w:rPr>
  </w:style>
  <w:style w:type="character" w:customStyle="1" w:styleId="CommentSubjectChar">
    <w:name w:val="Comment Subject Char"/>
    <w:basedOn w:val="CommentTextChar"/>
    <w:link w:val="CommentSubject"/>
    <w:uiPriority w:val="99"/>
    <w:semiHidden/>
    <w:rsid w:val="00861848"/>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asprovidedbyKatieSmith xmlns="37389dc7-c2af-4a79-a4fb-54fca9749366" xsi:nil="true"/>
    <_ip_UnifiedCompliancePolicyProperties xmlns="http://schemas.microsoft.com/sharepoint/v3" xsi:nil="true"/>
    <lcf76f155ced4ddcb4097134ff3c332f xmlns="37389dc7-c2af-4a79-a4fb-54fca9749366">
      <Terms xmlns="http://schemas.microsoft.com/office/infopath/2007/PartnerControls"/>
    </lcf76f155ced4ddcb4097134ff3c332f>
    <TaxCatchAll xmlns="6aee4a22-bb97-4a21-8634-79999dff482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F08FCB8BF62A449B68F2A11CAA8F0E" ma:contentTypeVersion="21" ma:contentTypeDescription="Create a new document." ma:contentTypeScope="" ma:versionID="3016a94c10aa073b6fd5db3c60068cfa">
  <xsd:schema xmlns:xsd="http://www.w3.org/2001/XMLSchema" xmlns:xs="http://www.w3.org/2001/XMLSchema" xmlns:p="http://schemas.microsoft.com/office/2006/metadata/properties" xmlns:ns1="http://schemas.microsoft.com/sharepoint/v3" xmlns:ns2="37389dc7-c2af-4a79-a4fb-54fca9749366" xmlns:ns3="6aee4a22-bb97-4a21-8634-79999dff4825" targetNamespace="http://schemas.microsoft.com/office/2006/metadata/properties" ma:root="true" ma:fieldsID="70a6d7d20c9fb55295d798ad6dda44e3" ns1:_="" ns2:_="" ns3:_="">
    <xsd:import namespace="http://schemas.microsoft.com/sharepoint/v3"/>
    <xsd:import namespace="37389dc7-c2af-4a79-a4fb-54fca9749366"/>
    <xsd:import namespace="6aee4a22-bb97-4a21-8634-79999dff48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asprovidedbyKatieSmith"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389dc7-c2af-4a79-a4fb-54fca9749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sprovidedbyKatieSmith" ma:index="20" nillable="true" ma:displayName="Author" ma:format="Dropdown" ma:internalName="asprovidedbyKatieSmith">
      <xsd:simpleType>
        <xsd:restriction base="dms:Text">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4360cc5-2517-441e-9415-37c8ec4a47b2"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ee4a22-bb97-4a21-8634-79999dff482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fbfb267-f9e3-4457-8177-06026ead730f}" ma:internalName="TaxCatchAll" ma:showField="CatchAllData" ma:web="6aee4a22-bb97-4a21-8634-79999dff48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23D08-95B1-4D4C-BDB6-C27545326F46}">
  <ds:schemaRefs>
    <ds:schemaRef ds:uri="http://schemas.microsoft.com/sharepoint/v3/contenttype/forms"/>
  </ds:schemaRefs>
</ds:datastoreItem>
</file>

<file path=customXml/itemProps2.xml><?xml version="1.0" encoding="utf-8"?>
<ds:datastoreItem xmlns:ds="http://schemas.openxmlformats.org/officeDocument/2006/customXml" ds:itemID="{13EBFFDA-4ED8-44E1-BC04-59386455B7BE}">
  <ds:schemaRefs>
    <ds:schemaRef ds:uri="http://schemas.microsoft.com/office/2006/metadata/properties"/>
    <ds:schemaRef ds:uri="http://schemas.microsoft.com/office/infopath/2007/PartnerControls"/>
    <ds:schemaRef ds:uri="http://schemas.microsoft.com/sharepoint/v3"/>
    <ds:schemaRef ds:uri="37389dc7-c2af-4a79-a4fb-54fca9749366"/>
    <ds:schemaRef ds:uri="6aee4a22-bb97-4a21-8634-79999dff4825"/>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8B56CF63-B4FB-40D9-8BF0-973335C94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389dc7-c2af-4a79-a4fb-54fca9749366"/>
    <ds:schemaRef ds:uri="6aee4a22-bb97-4a21-8634-79999dff4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ECA0010</dc:title>
  <cp:revision>0</cp:revision>
</cp:coreProperties>
</file>