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C7021" w:rsidRPr="004E7E12" w:rsidP="004E7E12">
      <w:pPr>
        <w:rPr>
          <w:rFonts w:ascii="Verdana" w:hAnsi="Verdana"/>
          <w:b/>
          <w:sz w:val="28"/>
          <w:szCs w:val="28"/>
        </w:rPr>
      </w:pPr>
      <w:r w:rsidRPr="004E7E12">
        <w:rPr>
          <w:rFonts w:ascii="Verdana" w:hAnsi="Verdana"/>
          <w:b/>
          <w:bCs/>
          <w:sz w:val="28"/>
          <w:szCs w:val="28"/>
        </w:rPr>
        <w:t>Dr Ronan Champion</w:t>
      </w:r>
      <w:r w:rsidRPr="004E7E12" w:rsidR="004E7E12">
        <w:rPr>
          <w:rFonts w:ascii="Verdana" w:hAnsi="Verdana"/>
          <w:b/>
          <w:bCs/>
          <w:sz w:val="28"/>
          <w:szCs w:val="28"/>
        </w:rPr>
        <w:t xml:space="preserve"> – Written evidence (NTB0005)</w:t>
      </w:r>
    </w:p>
    <w:p w:rsidR="007C7021" w:rsidRPr="004E7E12" w:rsidP="004E7E12">
      <w:pPr>
        <w:rPr>
          <w:rFonts w:ascii="Verdana" w:hAnsi="Verdana"/>
        </w:rPr>
      </w:pPr>
      <w:r w:rsidRPr="004E7E12">
        <w:rPr>
          <w:rFonts w:ascii="Verdana" w:hAnsi="Verdana"/>
        </w:rPr>
        <w:t>School of Construction Management and Engineering, University of Reading</w:t>
      </w:r>
    </w:p>
    <w:p w:rsidR="007C7021" w:rsidRPr="004E7E12" w:rsidP="00265D9B">
      <w:pPr>
        <w:rPr>
          <w:rFonts w:ascii="Verdana" w:hAnsi="Verdana"/>
        </w:rPr>
      </w:pPr>
      <w:r w:rsidRPr="004E7E12">
        <w:rPr>
          <w:rFonts w:ascii="Verdana" w:hAnsi="Verdana"/>
        </w:rPr>
        <w:t xml:space="preserve">The committee is interested in </w:t>
      </w:r>
      <w:r w:rsidRPr="004E7E12">
        <w:rPr>
          <w:rFonts w:ascii="Verdana" w:hAnsi="Verdana"/>
          <w:i/>
        </w:rPr>
        <w:t xml:space="preserve">"construction and development and seeks to answer a fundamental question: what are the factors limiting the construction of new towns? Or put another way, what might be stopping us from getting spades in the ground and having new towns built quickly and to a high standard? The committee plans on examining material supply chains, labour shortages, connections to utility providers, and the role of diverse house builders, but it is keen to hear of other potential topics of interest.” </w:t>
      </w:r>
    </w:p>
    <w:p w:rsidR="007C7021" w:rsidRPr="004E7E12" w:rsidP="00265D9B">
      <w:pPr>
        <w:rPr>
          <w:rFonts w:ascii="Verdana" w:hAnsi="Verdana"/>
        </w:rPr>
      </w:pPr>
    </w:p>
    <w:p w:rsidR="007C7021" w:rsidRPr="004E7E12" w:rsidP="00265D9B">
      <w:pPr>
        <w:rPr>
          <w:rFonts w:ascii="Verdana" w:hAnsi="Verdana"/>
          <w:b/>
        </w:rPr>
      </w:pPr>
      <w:r w:rsidRPr="004E7E12">
        <w:rPr>
          <w:rFonts w:ascii="Verdana" w:hAnsi="Verdana"/>
          <w:b/>
        </w:rPr>
        <w:t>Introduction</w:t>
      </w:r>
    </w:p>
    <w:p w:rsidR="007C7021" w:rsidRPr="004E7E12" w:rsidP="00C86ACA">
      <w:pPr>
        <w:pStyle w:val="ListParagraph"/>
        <w:numPr>
          <w:ilvl w:val="0"/>
          <w:numId w:val="1"/>
        </w:numPr>
        <w:ind w:left="357" w:hanging="357"/>
        <w:contextualSpacing w:val="0"/>
        <w:rPr>
          <w:rFonts w:ascii="Verdana" w:hAnsi="Verdana"/>
        </w:rPr>
      </w:pPr>
      <w:r w:rsidRPr="004E7E12">
        <w:rPr>
          <w:rFonts w:ascii="Verdana" w:hAnsi="Verdana"/>
        </w:rPr>
        <w:t>This response sets out first three case studies involving residential development: one small scheme, one medium scheme and one town-centre block scheme. Next, some analysis is provided noting some common elements:</w:t>
      </w:r>
    </w:p>
    <w:p w:rsidR="007C7021" w:rsidRPr="004E7E12" w:rsidP="00265D9B">
      <w:pPr>
        <w:rPr>
          <w:rFonts w:ascii="Verdana" w:hAnsi="Verdana"/>
        </w:rPr>
      </w:pPr>
    </w:p>
    <w:p w:rsidR="007C7021" w:rsidRPr="004E7E12" w:rsidP="00265D9B">
      <w:pPr>
        <w:rPr>
          <w:rFonts w:ascii="Verdana" w:hAnsi="Verdana"/>
          <w:b/>
        </w:rPr>
      </w:pPr>
      <w:r w:rsidRPr="004E7E12">
        <w:rPr>
          <w:rFonts w:ascii="Verdana" w:hAnsi="Verdana"/>
          <w:b/>
        </w:rPr>
        <w:t>Three case studies</w:t>
      </w:r>
    </w:p>
    <w:p w:rsidR="007C7021" w:rsidRPr="004E7E12" w:rsidP="00724A05">
      <w:pPr>
        <w:pStyle w:val="ListParagraph"/>
        <w:numPr>
          <w:ilvl w:val="0"/>
          <w:numId w:val="1"/>
        </w:numPr>
        <w:contextualSpacing w:val="0"/>
        <w:rPr>
          <w:rFonts w:ascii="Verdana" w:hAnsi="Verdana"/>
        </w:rPr>
      </w:pPr>
      <w:r w:rsidRPr="004E7E12">
        <w:rPr>
          <w:rFonts w:ascii="Verdana" w:hAnsi="Verdana"/>
        </w:rPr>
        <w:t xml:space="preserve">Small scheme. In </w:t>
      </w:r>
      <w:r w:rsidRPr="004E7E12">
        <w:rPr>
          <w:rFonts w:ascii="Verdana" w:hAnsi="Verdana"/>
        </w:rPr>
        <w:t>Kinnerley</w:t>
      </w:r>
      <w:r w:rsidRPr="004E7E12">
        <w:rPr>
          <w:rFonts w:ascii="Verdana" w:hAnsi="Verdana"/>
        </w:rPr>
        <w:t xml:space="preserve">, Shropshire, </w:t>
      </w:r>
      <w:r w:rsidRPr="004E7E12">
        <w:rPr>
          <w:rFonts w:ascii="Verdana" w:hAnsi="Verdana"/>
        </w:rPr>
        <w:t>Chartland</w:t>
      </w:r>
      <w:r w:rsidRPr="004E7E12">
        <w:rPr>
          <w:rFonts w:ascii="Verdana" w:hAnsi="Verdana"/>
        </w:rPr>
        <w:t xml:space="preserve"> Homes has a neighbourhood development underway: Willow Grove (20 units). It is small, but one of half a dozen schemes underway by the same developer in the region </w:t>
      </w:r>
      <w:r>
        <w:fldChar w:fldCharType="begin"/>
      </w:r>
      <w:r>
        <w:instrText xml:space="preserve"> HYPERLINK "https://www.chartlandhomes.co.uk/recently-completed/" </w:instrText>
      </w:r>
      <w:r>
        <w:fldChar w:fldCharType="separate"/>
      </w:r>
      <w:r w:rsidRPr="004E7E12" w:rsidR="00067D5A">
        <w:rPr>
          <w:rStyle w:val="Hyperlink"/>
          <w:rFonts w:ascii="Verdana" w:hAnsi="Verdana"/>
        </w:rPr>
        <w:t>https://www.chartlandhomes.co.uk/recently-completed/</w:t>
      </w:r>
      <w:r>
        <w:fldChar w:fldCharType="end"/>
      </w:r>
      <w:r w:rsidRPr="004E7E12" w:rsidR="00067D5A">
        <w:rPr>
          <w:rFonts w:ascii="Verdana" w:hAnsi="Verdana"/>
        </w:rPr>
        <w:t>.</w:t>
      </w:r>
      <w:r w:rsidRPr="004E7E12">
        <w:rPr>
          <w:rFonts w:ascii="Verdana" w:hAnsi="Verdana"/>
        </w:rPr>
        <w:t xml:space="preserve"> This developer also acts as builder. But that Willow Grove scheme has been under construction for almost 5 years. The reason why is simple: the developer does not want to flood the mark with units for sale in a soft market, and find they do not sell and then has to reduce prices. Instead, a very small number is available. Scarcity holds the price up. This is a scheme that could have been completed in full in under 1 year. It had full funding. The only constraint was perceived sales and prices likely to be achieved. </w:t>
      </w:r>
    </w:p>
    <w:p w:rsidR="007C7021" w:rsidRPr="004E7E12" w:rsidP="00724A05">
      <w:pPr>
        <w:pStyle w:val="ListParagraph"/>
        <w:numPr>
          <w:ilvl w:val="0"/>
          <w:numId w:val="1"/>
        </w:numPr>
        <w:contextualSpacing w:val="0"/>
        <w:rPr>
          <w:rFonts w:ascii="Verdana" w:hAnsi="Verdana"/>
        </w:rPr>
      </w:pPr>
      <w:r w:rsidRPr="004E7E12">
        <w:rPr>
          <w:rFonts w:ascii="Verdana" w:hAnsi="Verdana"/>
        </w:rPr>
        <w:t xml:space="preserve">Larger Scheme. Abbey Homes, Whitford, Kent. 120 units. All houses in a conventional estate. The scheme was in two phases, now three phases. But phases 2 and 3 were deferred. The question is why. Here, Abbey Homes has all work carried out by contractors. There is no shortage or contractors, or subcontractors or designers or materials. Phases 2 and 3 were deferred because of concerns they would not sell. Specifically, slow sales on phase 1 at required prices meant it was not worth flooding the market in new homes for sale by starting phase 2 or 3. Financially modelling indicated the investment sums were better invested elsewhere. What is significant here is that the site as a whole was earmarked for development more than 15 years ago. Even when the land was purchased, the constraint on development was lack of rising house prices or market price uncertainty. </w:t>
      </w:r>
    </w:p>
    <w:p w:rsidR="007C7021" w:rsidRPr="004E7E12" w:rsidP="00724A05">
      <w:pPr>
        <w:pStyle w:val="ListParagraph"/>
        <w:numPr>
          <w:ilvl w:val="0"/>
          <w:numId w:val="1"/>
        </w:numPr>
        <w:contextualSpacing w:val="0"/>
        <w:rPr>
          <w:rFonts w:ascii="Verdana" w:hAnsi="Verdana"/>
        </w:rPr>
      </w:pPr>
      <w:r w:rsidRPr="004E7E12">
        <w:rPr>
          <w:rFonts w:ascii="Verdana" w:hAnsi="Verdana"/>
        </w:rPr>
        <w:t>Town centre scheme: Inland Homes. High blocks, 85 units, located in centre of High Wycombe (Centre Square). On this scheme the entire block as completed was sold to Build-to-Rent fund Kooky.</w:t>
      </w:r>
    </w:p>
    <w:p w:rsidR="007C7021" w:rsidRPr="004E7E12" w:rsidP="00265D9B">
      <w:pPr>
        <w:rPr>
          <w:rFonts w:ascii="Verdana" w:hAnsi="Verdana"/>
        </w:rPr>
      </w:pPr>
    </w:p>
    <w:p w:rsidR="007C7021" w:rsidRPr="004E7E12" w:rsidP="00265D9B">
      <w:pPr>
        <w:rPr>
          <w:rFonts w:ascii="Verdana" w:hAnsi="Verdana"/>
          <w:b/>
        </w:rPr>
      </w:pPr>
      <w:r w:rsidRPr="004E7E12">
        <w:rPr>
          <w:rFonts w:ascii="Verdana" w:hAnsi="Verdana"/>
          <w:b/>
        </w:rPr>
        <w:t>Commentary</w:t>
      </w:r>
    </w:p>
    <w:p w:rsidR="007C7021" w:rsidRPr="004E7E12" w:rsidP="00422FB9">
      <w:pPr>
        <w:pStyle w:val="ListParagraph"/>
        <w:numPr>
          <w:ilvl w:val="0"/>
          <w:numId w:val="1"/>
        </w:numPr>
        <w:ind w:left="357" w:hanging="357"/>
        <w:contextualSpacing w:val="0"/>
        <w:rPr>
          <w:rFonts w:ascii="Verdana" w:hAnsi="Verdana"/>
        </w:rPr>
      </w:pPr>
      <w:r w:rsidRPr="004E7E12">
        <w:rPr>
          <w:rFonts w:ascii="Verdana" w:hAnsi="Verdana"/>
        </w:rPr>
        <w:t xml:space="preserve">A particularly difficulty arises for developers of apartment blocks that is different from an estate of 2, 3 or 4 bed houses. It is that the completion of the block cannot be phased. One entire block must be completed at a time. That in turn means the entire block’s units will potentially all go for sale at the same time, thereby flooding the market and risking a pricing collapse – or forced pricing reductions at the behest of funders to achieve sales income to fund loan repayments. Developers of blocks therefore have to mitigate that risk by a sales strategy involving either (a) pre-sales, if the market can bear it, and/or (b) block sales (selling a collection of units) to an institution such as a housing association or (c) holding for letting. In a sales market where inflation is low and sales not strong, option (a) is not available. The result then is the entire profitability of the development depends on institutional sales. The cold reality is that developers will not build speculatively unless the market is strong. They need the security of sales being achieved. </w:t>
      </w:r>
    </w:p>
    <w:p w:rsidR="007C7021" w:rsidRPr="004E7E12" w:rsidP="00422FB9">
      <w:pPr>
        <w:pStyle w:val="ListParagraph"/>
        <w:numPr>
          <w:ilvl w:val="0"/>
          <w:numId w:val="1"/>
        </w:numPr>
        <w:ind w:left="357" w:hanging="357"/>
        <w:contextualSpacing w:val="0"/>
        <w:rPr>
          <w:rFonts w:ascii="Verdana" w:hAnsi="Verdana"/>
        </w:rPr>
      </w:pPr>
      <w:r w:rsidRPr="004E7E12">
        <w:rPr>
          <w:rFonts w:ascii="Verdana" w:hAnsi="Verdana"/>
        </w:rPr>
        <w:t xml:space="preserve">What is apparent from the three case studies above, and the commentary, is that the main constraint to development – and to increasing the pace of development – is an understanding on the part of the developer as to whether planned sales might be achieved at the planned prices. The sales might be individual or, in blocks (to a housing association, say) or entire. Where a part of the scheme is set aside for affordable housing (and thus sold to a housing association), the developer’s concern is whether the remaining units will sell at the planned prices. If not, it is safer not to start the scheme at all. </w:t>
      </w:r>
    </w:p>
    <w:p w:rsidR="007C7021" w:rsidRPr="004E7E12">
      <w:pPr>
        <w:rPr>
          <w:rFonts w:ascii="Verdana" w:hAnsi="Verdana"/>
        </w:rPr>
      </w:pPr>
    </w:p>
    <w:p w:rsidR="007C7021" w:rsidRPr="004E7E12">
      <w:pPr>
        <w:rPr>
          <w:rFonts w:ascii="Verdana" w:hAnsi="Verdana"/>
          <w:b/>
        </w:rPr>
      </w:pPr>
      <w:r w:rsidRPr="004E7E12">
        <w:rPr>
          <w:rFonts w:ascii="Verdana" w:hAnsi="Verdana"/>
          <w:b/>
        </w:rPr>
        <w:t>Conclusion</w:t>
      </w:r>
    </w:p>
    <w:p w:rsidR="007C7021" w:rsidRPr="004E7E12" w:rsidP="00422FB9">
      <w:pPr>
        <w:pStyle w:val="ListParagraph"/>
        <w:numPr>
          <w:ilvl w:val="0"/>
          <w:numId w:val="1"/>
        </w:numPr>
        <w:ind w:left="357" w:hanging="357"/>
        <w:contextualSpacing w:val="0"/>
        <w:rPr>
          <w:rFonts w:ascii="Verdana" w:hAnsi="Verdana"/>
        </w:rPr>
      </w:pPr>
      <w:r w:rsidRPr="004E7E12">
        <w:rPr>
          <w:rFonts w:ascii="Verdana" w:hAnsi="Verdana"/>
        </w:rPr>
        <w:t xml:space="preserve">The economics of housing development is sale-price led. Without some measure of certainty that units will sell at a satisfactory price, the case for proceeding with a scheme falls away. Going the other way, if there is some certainty, development can proceed </w:t>
      </w:r>
      <w:r w:rsidRPr="004E7E12">
        <w:rPr>
          <w:rFonts w:ascii="Verdana" w:hAnsi="Verdana"/>
          <w:i/>
        </w:rPr>
        <w:t>at a pace that does not undermine sales volumes and prices</w:t>
      </w:r>
      <w:r w:rsidRPr="004E7E12">
        <w:rPr>
          <w:rFonts w:ascii="Verdana" w:hAnsi="Verdana"/>
        </w:rPr>
        <w:t xml:space="preserve">. That explains why, in a boom market, speculative development is rapid. In a dead market, there is none at all. </w:t>
      </w:r>
    </w:p>
    <w:p w:rsidR="007C7021" w:rsidRPr="004E7E12" w:rsidP="00422FB9">
      <w:pPr>
        <w:pStyle w:val="ListParagraph"/>
        <w:numPr>
          <w:ilvl w:val="0"/>
          <w:numId w:val="1"/>
        </w:numPr>
        <w:ind w:left="357" w:hanging="357"/>
        <w:contextualSpacing w:val="0"/>
        <w:rPr>
          <w:rFonts w:ascii="Verdana" w:hAnsi="Verdana"/>
        </w:rPr>
      </w:pPr>
      <w:r w:rsidRPr="004E7E12">
        <w:rPr>
          <w:rFonts w:ascii="Verdana" w:hAnsi="Verdana"/>
        </w:rPr>
        <w:t xml:space="preserve">If a public sector entity is keen to see developments carried out in a particular location, the key incentive for a developer to start a scheme is certainty of sales at satisfactory prices. A pre-sale of the scheme is one approach; another is if the public sector provides a guaranteed ‘floor’ price whereby if the developer cannot sell to the private sector, the public sector guarantees or to buy the scheme at a pre-agreed price. The UK government already pursues this strategy, in effect, in the power generation market via the contract-for-difference auctions. In PPP schemes, the public sector </w:t>
      </w:r>
      <w:r w:rsidRPr="004E7E12">
        <w:rPr>
          <w:rFonts w:ascii="Verdana" w:hAnsi="Verdana"/>
        </w:rPr>
        <w:t xml:space="preserve">provides a guaranteed demand level, again providing security for the developer to proceed. </w:t>
      </w:r>
    </w:p>
    <w:p w:rsidR="007C7021"/>
    <w:p w:rsidR="007C7021" w:rsidRPr="004E7E12">
      <w:pPr>
        <w:rPr>
          <w:rFonts w:ascii="Verdana" w:hAnsi="Verdana"/>
          <w:i/>
        </w:rPr>
      </w:pPr>
      <w:r w:rsidRPr="004E7E12">
        <w:rPr>
          <w:rFonts w:ascii="Verdana" w:hAnsi="Verdana"/>
          <w:i/>
          <w:iCs/>
        </w:rPr>
        <w:t>7 July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9F561A4"/>
    <w:multiLevelType w:val="hybridMultilevel"/>
    <w:tmpl w:val="3E1AE1E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1E6F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6F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6F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6F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6F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6F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6F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6F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6F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6F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6F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6F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6F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6F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6F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6F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6F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6FEE"/>
    <w:rPr>
      <w:rFonts w:eastAsiaTheme="majorEastAsia" w:cstheme="majorBidi"/>
      <w:color w:val="272727" w:themeColor="text1" w:themeTint="D8"/>
    </w:rPr>
  </w:style>
  <w:style w:type="paragraph" w:styleId="Title">
    <w:name w:val="Title"/>
    <w:basedOn w:val="Normal"/>
    <w:next w:val="Normal"/>
    <w:link w:val="TitleChar"/>
    <w:uiPriority w:val="10"/>
    <w:qFormat/>
    <w:rsid w:val="001E6F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6F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6F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6F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6FEE"/>
    <w:pPr>
      <w:spacing w:before="160"/>
      <w:jc w:val="center"/>
    </w:pPr>
    <w:rPr>
      <w:i/>
      <w:iCs/>
      <w:color w:val="404040" w:themeColor="text1" w:themeTint="BF"/>
    </w:rPr>
  </w:style>
  <w:style w:type="character" w:customStyle="1" w:styleId="QuoteChar">
    <w:name w:val="Quote Char"/>
    <w:basedOn w:val="DefaultParagraphFont"/>
    <w:link w:val="Quote"/>
    <w:uiPriority w:val="29"/>
    <w:rsid w:val="001E6FEE"/>
    <w:rPr>
      <w:i/>
      <w:iCs/>
      <w:color w:val="404040" w:themeColor="text1" w:themeTint="BF"/>
    </w:rPr>
  </w:style>
  <w:style w:type="paragraph" w:styleId="ListParagraph">
    <w:name w:val="List Paragraph"/>
    <w:basedOn w:val="Normal"/>
    <w:uiPriority w:val="34"/>
    <w:qFormat/>
    <w:rsid w:val="001E6FEE"/>
    <w:pPr>
      <w:ind w:left="720"/>
      <w:contextualSpacing/>
    </w:pPr>
  </w:style>
  <w:style w:type="character" w:styleId="IntenseEmphasis">
    <w:name w:val="Intense Emphasis"/>
    <w:basedOn w:val="DefaultParagraphFont"/>
    <w:uiPriority w:val="21"/>
    <w:qFormat/>
    <w:rsid w:val="001E6FEE"/>
    <w:rPr>
      <w:i/>
      <w:iCs/>
      <w:color w:val="0F4761" w:themeColor="accent1" w:themeShade="BF"/>
    </w:rPr>
  </w:style>
  <w:style w:type="paragraph" w:styleId="IntenseQuote">
    <w:name w:val="Intense Quote"/>
    <w:basedOn w:val="Normal"/>
    <w:next w:val="Normal"/>
    <w:link w:val="IntenseQuoteChar"/>
    <w:uiPriority w:val="30"/>
    <w:qFormat/>
    <w:rsid w:val="001E6F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6FEE"/>
    <w:rPr>
      <w:i/>
      <w:iCs/>
      <w:color w:val="0F4761" w:themeColor="accent1" w:themeShade="BF"/>
    </w:rPr>
  </w:style>
  <w:style w:type="character" w:styleId="IntenseReference">
    <w:name w:val="Intense Reference"/>
    <w:basedOn w:val="DefaultParagraphFont"/>
    <w:uiPriority w:val="32"/>
    <w:qFormat/>
    <w:rsid w:val="001E6FEE"/>
    <w:rPr>
      <w:b/>
      <w:bCs/>
      <w:smallCaps/>
      <w:color w:val="0F4761" w:themeColor="accent1" w:themeShade="BF"/>
      <w:spacing w:val="5"/>
    </w:rPr>
  </w:style>
  <w:style w:type="character" w:styleId="Hyperlink">
    <w:name w:val="Hyperlink"/>
    <w:basedOn w:val="DefaultParagraphFont"/>
    <w:uiPriority w:val="99"/>
    <w:unhideWhenUsed/>
    <w:rsid w:val="001E6FEE"/>
    <w:rPr>
      <w:color w:val="467886" w:themeColor="hyperlink"/>
      <w:u w:val="single"/>
    </w:rPr>
  </w:style>
  <w:style w:type="character" w:customStyle="1" w:styleId="UnresolvedMention1">
    <w:name w:val="Unresolved Mention1"/>
    <w:basedOn w:val="DefaultParagraphFont"/>
    <w:uiPriority w:val="99"/>
    <w:semiHidden/>
    <w:unhideWhenUsed/>
    <w:rsid w:val="001E6FEE"/>
    <w:rPr>
      <w:color w:val="605E5C"/>
      <w:shd w:val="clear" w:color="auto" w:fill="E1DFDD"/>
    </w:rPr>
  </w:style>
  <w:style w:type="character" w:styleId="FollowedHyperlink">
    <w:name w:val="FollowedHyperlink"/>
    <w:basedOn w:val="DefaultParagraphFont"/>
    <w:uiPriority w:val="99"/>
    <w:semiHidden/>
    <w:unhideWhenUsed/>
    <w:rsid w:val="001174B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_dlc_DocId xmlns="70d2f4a9-7027-4c8b-acc6-1861eab93b19">JRFZP62N7HVT-2044078101-1560</_dlc_DocId>
    <TransfertoArchives xmlns="4600776d-0a3c-44b4-bff2-0ceaafb13046">false</TransfertoArchives>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Written Evidence - Unpublished</TermName>
          <TermId xmlns="http://schemas.microsoft.com/office/infopath/2007/PartnerControls">0be253cd-a155-4ec9-872a-26fd359e68f0</TermId>
        </TermInfo>
      </Terms>
    </c10fc15a1e374d7faacfa4b870e47730>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New Towns: Bricks and Mortar</TermName>
          <TermId xmlns="http://schemas.microsoft.com/office/infopath/2007/PartnerControls">f8c7e7a8-34b4-42c2-8a32-8ac970a121ac</TermId>
        </TermInfo>
      </Terms>
    </edc898bf3bb343549b83ac391d519ef2>
    <RetentionTriggerDate xmlns="4600776d-0a3c-44b4-bff2-0ceaafb13046"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fa5079ca-fd3f-4f9f-9e9e-7726fbbe0838</TermId>
        </TermInfo>
      </Terms>
    </e6f926d7f5b14a74bee86c3452d9137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70d2f4a9-7027-4c8b-acc6-1861eab93b19">
      <Url>https://hopuk.sharepoint.com/sites/hlc-builtenviro/_layouts/15/DocIdRedir.aspx?ID=JRFZP62N7HVT-2044078101-1560</Url>
      <Description>JRFZP62N7HVT-2044078101-1560</Description>
    </_dlc_DocIdUrl>
    <RecordNumber xmlns="4600776d-0a3c-44b4-bff2-0ceaafb13046" xsi:nil="true"/>
    <Document_x0020_Status1 xmlns="70d2f4a9-7027-4c8b-acc6-1861eab93b19">Final</Document_x0020_Status1>
    <g3ef09377e3444258679b6035a1ff93a xmlns="4600776d-0a3c-44b4-bff2-0ceaafb13046">
      <Terms xmlns="http://schemas.microsoft.com/office/infopath/2007/PartnerControls"/>
    </g3ef09377e3444258679b6035a1ff93a>
    <TaxCatchAll xmlns="4600776d-0a3c-44b4-bff2-0ceaafb13046">
      <Value>5</Value>
      <Value>104</Value>
      <Value>73</Value>
      <Value>105</Value>
      <Value>2</Value>
      <Value>54</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 For Committee use only</TermName>
          <TermId xmlns="http://schemas.microsoft.com/office/infopath/2007/PartnerControls">48231b65-b073-4b70-bea2-7eed96ffc402</TermId>
        </TermInfo>
      </Terms>
    </k5b153ee974a4a57a7568e533217f2cb>
    <Meeting_x0020_Date xmlns="70d2f4a9-7027-4c8b-acc6-1861eab93b19">2026-07-13T23:00:00+00:00</Meeting_x0020_D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1AEC37402C6145BB418B99DC879C2F" ma:contentTypeVersion="142" ma:contentTypeDescription="Create a new document." ma:contentTypeScope="" ma:versionID="bede8a6e59b9cf804aae913f3ec8a661">
  <xsd:schema xmlns:xsd="http://www.w3.org/2001/XMLSchema" xmlns:xs="http://www.w3.org/2001/XMLSchema" xmlns:p="http://schemas.microsoft.com/office/2006/metadata/properties" xmlns:ns2="70d2f4a9-7027-4c8b-acc6-1861eab93b19" xmlns:ns3="4600776d-0a3c-44b4-bff2-0ceaafb13046" xmlns:ns4="899733ae-5711-47d1-bf6b-1aad0d576b8f" targetNamespace="http://schemas.microsoft.com/office/2006/metadata/properties" ma:root="true" ma:fieldsID="ca367f0a5b7fc8a502817a0af1300ca0" ns2:_="" ns3:_="" ns4:_="">
    <xsd:import namespace="70d2f4a9-7027-4c8b-acc6-1861eab93b19"/>
    <xsd:import namespace="4600776d-0a3c-44b4-bff2-0ceaafb13046"/>
    <xsd:import namespace="899733ae-5711-47d1-bf6b-1aad0d576b8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45;#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44;#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4649852-c0eb-4bee-a0a4-8da5cea12975}"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s" ma:default="104;#2026-27|fa5079ca-fd3f-4f9f-9e9e-7726fbbe0838"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9733ae-5711-47d1-bf6b-1aad0d576b8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2F7FE5F-1893-4DE7-933C-ECDE87EDE309}">
  <ds:schemaRefs>
    <ds:schemaRef ds:uri="http://schemas.microsoft.com/office/2006/metadata/properties"/>
    <ds:schemaRef ds:uri="http://schemas.microsoft.com/office/infopath/2007/PartnerControls"/>
    <ds:schemaRef ds:uri="4600776d-0a3c-44b4-bff2-0ceaafb13046"/>
    <ds:schemaRef ds:uri="70d2f4a9-7027-4c8b-acc6-1861eab93b19"/>
  </ds:schemaRefs>
</ds:datastoreItem>
</file>

<file path=customXml/itemProps2.xml><?xml version="1.0" encoding="utf-8"?>
<ds:datastoreItem xmlns:ds="http://schemas.openxmlformats.org/officeDocument/2006/customXml" ds:itemID="{BBA3FFB4-8DAC-423C-89CE-3448373462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4600776d-0a3c-44b4-bff2-0ceaafb13046"/>
    <ds:schemaRef ds:uri="899733ae-5711-47d1-bf6b-1aad0d576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F46577-0087-41E0-97D3-8C8AC2292A17}">
  <ds:schemaRefs>
    <ds:schemaRef ds:uri="http://schemas.microsoft.com/sharepoint/v3/contenttype/forms"/>
  </ds:schemaRefs>
</ds:datastoreItem>
</file>

<file path=customXml/itemProps4.xml><?xml version="1.0" encoding="utf-8"?>
<ds:datastoreItem xmlns:ds="http://schemas.openxmlformats.org/officeDocument/2006/customXml" ds:itemID="{9A045E19-0B4C-4765-8CFE-A322492CECD3}">
  <ds:schemaRefs>
    <ds:schemaRef ds:uri="http://schemas.microsoft.com/sharepoint/events"/>
  </ds:schemaRefs>
</ds:datastoreItem>
</file>

<file path=docMetadata/LabelInfo.xml><?xml version="1.0" encoding="utf-8"?>
<clbl:labelList xmlns:clbl="http://schemas.microsoft.com/office/2020/mipLabelMetadata">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NTB0005</dc:title>
  <cp:revision>0</cp:revision>
</cp:coreProperties>
</file>